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6"/>
        <w:spacing w:after="0"/>
        <w:rPr>
          <w:sz w:val="20"/>
          <w:szCs w:val="20"/>
          <w:color w:val="auto"/>
        </w:rPr>
      </w:pPr>
      <w:r>
        <w:rPr>
          <w:rFonts w:ascii="Arial" w:cs="Arial" w:eastAsia="Arial" w:hAnsi="Arial"/>
          <w:sz w:val="21"/>
          <w:szCs w:val="21"/>
          <w:b w:val="1"/>
          <w:bCs w:val="1"/>
          <w:color w:val="auto"/>
        </w:rPr>
        <w:t>UNITED STATES</w:t>
      </w:r>
    </w:p>
    <w:p>
      <w:pPr>
        <w:spacing w:after="0" w:line="29" w:lineRule="exact"/>
        <w:rPr>
          <w:sz w:val="24"/>
          <w:szCs w:val="24"/>
          <w:color w:val="auto"/>
        </w:rPr>
      </w:pPr>
    </w:p>
    <w:p>
      <w:pPr>
        <w:jc w:val="center"/>
        <w:ind w:right="-1226"/>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ind w:left="4746"/>
        <w:spacing w:after="0"/>
        <w:rPr>
          <w:sz w:val="20"/>
          <w:szCs w:val="20"/>
          <w:color w:val="auto"/>
        </w:rPr>
      </w:pPr>
      <w:r>
        <w:rPr>
          <w:rFonts w:ascii="Arial" w:cs="Arial" w:eastAsia="Arial" w:hAnsi="Arial"/>
          <w:sz w:val="19"/>
          <w:szCs w:val="19"/>
          <w:b w:val="1"/>
          <w:bCs w:val="1"/>
          <w:color w:val="auto"/>
        </w:rPr>
        <w:t>Washington, D.C. 20549</w:t>
      </w:r>
    </w:p>
    <w:p>
      <w:pPr>
        <w:spacing w:after="0" w:line="101" w:lineRule="exact"/>
        <w:rPr>
          <w:sz w:val="24"/>
          <w:szCs w:val="24"/>
          <w:color w:val="auto"/>
        </w:rPr>
      </w:pPr>
    </w:p>
    <w:p>
      <w:pPr>
        <w:jc w:val="center"/>
        <w:ind w:right="-1226"/>
        <w:spacing w:after="0"/>
        <w:rPr>
          <w:sz w:val="20"/>
          <w:szCs w:val="20"/>
          <w:color w:val="auto"/>
        </w:rPr>
      </w:pPr>
      <w:r>
        <w:rPr>
          <w:rFonts w:ascii="Arial" w:cs="Arial" w:eastAsia="Arial" w:hAnsi="Arial"/>
          <w:sz w:val="28"/>
          <w:szCs w:val="28"/>
          <w:b w:val="1"/>
          <w:bCs w:val="1"/>
          <w:color w:val="auto"/>
        </w:rPr>
        <w:t>SCHEDULE 14A</w:t>
      </w:r>
    </w:p>
    <w:p>
      <w:pPr>
        <w:spacing w:after="0" w:line="166" w:lineRule="exact"/>
        <w:rPr>
          <w:sz w:val="24"/>
          <w:szCs w:val="24"/>
          <w:color w:val="auto"/>
        </w:rPr>
      </w:pPr>
    </w:p>
    <w:p>
      <w:pPr>
        <w:jc w:val="center"/>
        <w:ind w:right="-1226"/>
        <w:spacing w:after="0"/>
        <w:rPr>
          <w:sz w:val="20"/>
          <w:szCs w:val="20"/>
          <w:color w:val="auto"/>
        </w:rPr>
      </w:pPr>
      <w:r>
        <w:rPr>
          <w:rFonts w:ascii="Arial" w:cs="Arial" w:eastAsia="Arial" w:hAnsi="Arial"/>
          <w:sz w:val="15"/>
          <w:szCs w:val="15"/>
          <w:color w:val="auto"/>
        </w:rPr>
        <w:t>PROXY STATEMENT PURSUANT TO SECTION 14(a) OF</w:t>
      </w:r>
    </w:p>
    <w:p>
      <w:pPr>
        <w:spacing w:after="0" w:line="22" w:lineRule="exact"/>
        <w:rPr>
          <w:sz w:val="24"/>
          <w:szCs w:val="24"/>
          <w:color w:val="auto"/>
        </w:rPr>
      </w:pPr>
    </w:p>
    <w:p>
      <w:pPr>
        <w:jc w:val="center"/>
        <w:ind w:right="-1226"/>
        <w:spacing w:after="0"/>
        <w:rPr>
          <w:sz w:val="20"/>
          <w:szCs w:val="20"/>
          <w:color w:val="auto"/>
        </w:rPr>
      </w:pPr>
      <w:r>
        <w:rPr>
          <w:rFonts w:ascii="Arial" w:cs="Arial" w:eastAsia="Arial" w:hAnsi="Arial"/>
          <w:sz w:val="15"/>
          <w:szCs w:val="15"/>
          <w:color w:val="auto"/>
        </w:rPr>
        <w:t>THE SECURITIES EXCHANGE ACT OF 1934</w:t>
      </w:r>
    </w:p>
    <w:p>
      <w:pPr>
        <w:spacing w:after="0" w:line="121" w:lineRule="exact"/>
        <w:rPr>
          <w:sz w:val="24"/>
          <w:szCs w:val="24"/>
          <w:color w:val="auto"/>
        </w:rPr>
      </w:pPr>
    </w:p>
    <w:p>
      <w:pPr>
        <w:ind w:left="6"/>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157" w:lineRule="exact"/>
        <w:rPr>
          <w:sz w:val="24"/>
          <w:szCs w:val="24"/>
          <w:color w:val="auto"/>
        </w:rPr>
      </w:pPr>
    </w:p>
    <w:p>
      <w:pPr>
        <w:ind w:left="6"/>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86" w:lineRule="exact"/>
        <w:rPr>
          <w:sz w:val="24"/>
          <w:szCs w:val="24"/>
          <w:color w:val="auto"/>
        </w:rPr>
      </w:pPr>
    </w:p>
    <w:p>
      <w:pPr>
        <w:ind w:left="6"/>
        <w:spacing w:after="0"/>
        <w:rPr>
          <w:sz w:val="20"/>
          <w:szCs w:val="20"/>
          <w:color w:val="auto"/>
        </w:rPr>
      </w:pPr>
      <w:r>
        <w:rPr>
          <w:rFonts w:ascii="Arial" w:cs="Arial" w:eastAsia="Arial" w:hAnsi="Arial"/>
          <w:sz w:val="15"/>
          <w:szCs w:val="15"/>
          <w:color w:val="auto"/>
        </w:rPr>
        <w:t>Check the appropriate box:</w:t>
      </w:r>
    </w:p>
    <w:p>
      <w:pPr>
        <w:spacing w:after="0" w:line="192"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187"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95"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92" w:lineRule="exact"/>
        <w:rPr>
          <w:sz w:val="24"/>
          <w:szCs w:val="24"/>
          <w:color w:val="auto"/>
        </w:rPr>
      </w:pPr>
    </w:p>
    <w:p>
      <w:pPr>
        <w:ind w:left="446" w:hanging="446"/>
        <w:spacing w:after="0"/>
        <w:tabs>
          <w:tab w:leader="none" w:pos="446"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231" w:lineRule="exact"/>
        <w:rPr>
          <w:sz w:val="24"/>
          <w:szCs w:val="24"/>
          <w:color w:val="auto"/>
        </w:rPr>
      </w:pPr>
    </w:p>
    <w:p>
      <w:pPr>
        <w:ind w:left="4206"/>
        <w:spacing w:after="0"/>
        <w:rPr>
          <w:sz w:val="20"/>
          <w:szCs w:val="20"/>
          <w:color w:val="auto"/>
        </w:rPr>
      </w:pPr>
      <w:r>
        <w:rPr>
          <w:rFonts w:ascii="Arial" w:cs="Arial" w:eastAsia="Arial" w:hAnsi="Arial"/>
          <w:sz w:val="38"/>
          <w:szCs w:val="38"/>
          <w:b w:val="1"/>
          <w:bCs w:val="1"/>
          <w:color w:val="auto"/>
        </w:rPr>
        <w:t>GOLD KIST,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33" w:lineRule="exact"/>
        <w:rPr>
          <w:sz w:val="24"/>
          <w:szCs w:val="24"/>
          <w:color w:val="auto"/>
        </w:rPr>
      </w:pPr>
    </w:p>
    <w:p>
      <w:pPr>
        <w:jc w:val="center"/>
        <w:ind w:right="-1226"/>
        <w:spacing w:after="0"/>
        <w:rPr>
          <w:sz w:val="20"/>
          <w:szCs w:val="20"/>
          <w:color w:val="auto"/>
        </w:rPr>
      </w:pPr>
      <w:r>
        <w:rPr>
          <w:rFonts w:ascii="Arial" w:cs="Arial" w:eastAsia="Arial" w:hAnsi="Arial"/>
          <w:sz w:val="15"/>
          <w:szCs w:val="15"/>
          <w:color w:val="auto"/>
        </w:rPr>
        <w:t>(Name of Registrant as Specified In Its Charter)</w:t>
      </w:r>
    </w:p>
    <w:p>
      <w:pPr>
        <w:spacing w:after="0" w:line="139" w:lineRule="exact"/>
        <w:rPr>
          <w:sz w:val="24"/>
          <w:szCs w:val="24"/>
          <w:color w:val="auto"/>
        </w:rPr>
      </w:pPr>
    </w:p>
    <w:p>
      <w:pPr>
        <w:jc w:val="center"/>
        <w:ind w:right="-1226"/>
        <w:spacing w:after="0"/>
        <w:rPr>
          <w:sz w:val="20"/>
          <w:szCs w:val="20"/>
          <w:color w:val="auto"/>
        </w:rPr>
      </w:pPr>
      <w:r>
        <w:rPr>
          <w:rFonts w:ascii="Arial" w:cs="Arial" w:eastAsia="Arial" w:hAnsi="Arial"/>
          <w:sz w:val="21"/>
          <w:szCs w:val="21"/>
          <w:b w:val="1"/>
          <w:bCs w:val="1"/>
          <w:color w:val="auto"/>
        </w:rPr>
        <w:t>PILGRIM’S PRIDE CORPORATION</w:t>
      </w:r>
    </w:p>
    <w:p>
      <w:pPr>
        <w:spacing w:after="0" w:line="147" w:lineRule="exact"/>
        <w:rPr>
          <w:sz w:val="24"/>
          <w:szCs w:val="24"/>
          <w:color w:val="auto"/>
        </w:rPr>
      </w:pPr>
    </w:p>
    <w:p>
      <w:pPr>
        <w:jc w:val="center"/>
        <w:ind w:right="-1226"/>
        <w:spacing w:after="0"/>
        <w:rPr>
          <w:sz w:val="20"/>
          <w:szCs w:val="20"/>
          <w:color w:val="auto"/>
        </w:rPr>
      </w:pPr>
      <w:r>
        <w:rPr>
          <w:rFonts w:ascii="Arial" w:cs="Arial" w:eastAsia="Arial" w:hAnsi="Arial"/>
          <w:sz w:val="21"/>
          <w:szCs w:val="21"/>
          <w:b w:val="1"/>
          <w:bCs w:val="1"/>
          <w:color w:val="auto"/>
        </w:rPr>
        <w:t>PROTEIN ACQUISITION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26" w:lineRule="exact"/>
        <w:rPr>
          <w:sz w:val="24"/>
          <w:szCs w:val="24"/>
          <w:color w:val="auto"/>
        </w:rPr>
      </w:pPr>
    </w:p>
    <w:p>
      <w:pPr>
        <w:ind w:left="3506"/>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68" w:lineRule="exact"/>
        <w:rPr>
          <w:sz w:val="24"/>
          <w:szCs w:val="24"/>
          <w:color w:val="auto"/>
        </w:rPr>
      </w:pPr>
    </w:p>
    <w:p>
      <w:pPr>
        <w:ind w:left="6"/>
        <w:spacing w:after="0"/>
        <w:rPr>
          <w:sz w:val="20"/>
          <w:szCs w:val="20"/>
          <w:color w:val="auto"/>
        </w:rPr>
      </w:pPr>
      <w:r>
        <w:rPr>
          <w:rFonts w:ascii="Arial" w:cs="Arial" w:eastAsia="Arial" w:hAnsi="Arial"/>
          <w:sz w:val="15"/>
          <w:szCs w:val="15"/>
          <w:color w:val="auto"/>
        </w:rPr>
        <w:t>Payment of Filing Fee (Check the appropriate box):</w:t>
      </w:r>
    </w:p>
    <w:p>
      <w:pPr>
        <w:spacing w:after="0" w:line="192" w:lineRule="exact"/>
        <w:rPr>
          <w:sz w:val="24"/>
          <w:szCs w:val="24"/>
          <w:color w:val="auto"/>
        </w:rPr>
      </w:pPr>
    </w:p>
    <w:p>
      <w:pPr>
        <w:ind w:left="446" w:hanging="446"/>
        <w:spacing w:after="0"/>
        <w:tabs>
          <w:tab w:leader="none" w:pos="446"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92" w:lineRule="exact"/>
        <w:rPr>
          <w:sz w:val="24"/>
          <w:szCs w:val="24"/>
          <w:color w:val="auto"/>
        </w:rPr>
      </w:pPr>
    </w:p>
    <w:p>
      <w:pPr>
        <w:ind w:left="446" w:hanging="446"/>
        <w:spacing w:after="0"/>
        <w:tabs>
          <w:tab w:leader="none" w:pos="446"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91" w:lineRule="exact"/>
        <w:rPr>
          <w:rFonts w:ascii="MS PGothic" w:cs="MS PGothic" w:eastAsia="MS PGothic" w:hAnsi="MS PGothic"/>
          <w:sz w:val="15"/>
          <w:szCs w:val="15"/>
          <w:color w:val="auto"/>
        </w:rPr>
      </w:pPr>
    </w:p>
    <w:p>
      <w:pPr>
        <w:ind w:left="886" w:hanging="439"/>
        <w:spacing w:after="0"/>
        <w:tabs>
          <w:tab w:leader="none" w:pos="886" w:val="left"/>
        </w:tabs>
        <w:numPr>
          <w:ilvl w:val="1"/>
          <w:numId w:val="4"/>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530225</wp:posOffset>
            </wp:positionH>
            <wp:positionV relativeFrom="paragraph">
              <wp:posOffset>208280</wp:posOffset>
            </wp:positionV>
            <wp:extent cx="6637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37020" cy="7620"/>
                    </a:xfrm>
                    <a:prstGeom prst="rect">
                      <a:avLst/>
                    </a:prstGeom>
                    <a:noFill/>
                  </pic:spPr>
                </pic:pic>
              </a:graphicData>
            </a:graphic>
          </wp:anchor>
        </w:drawing>
      </w:r>
    </w:p>
    <w:p>
      <w:pPr>
        <w:sectPr>
          <w:pgSz w:w="11900" w:h="16838" w:orient="portrait"/>
          <w:cols w:equalWidth="0" w:num="1">
            <w:col w:w="10225"/>
          </w:cols>
          <w:pgMar w:left="234" w:top="209" w:right="1440" w:bottom="1440" w:gutter="0" w:footer="0" w:header="0"/>
        </w:sectPr>
      </w:pPr>
    </w:p>
    <w:bookmarkStart w:id="1" w:name="page2"/>
    <w:bookmarkEnd w:id="1"/>
    <w:p>
      <w:pPr>
        <w:ind w:left="886" w:hanging="439"/>
        <w:spacing w:after="0"/>
        <w:tabs>
          <w:tab w:leader="none" w:pos="886" w:val="left"/>
        </w:tabs>
        <w:numPr>
          <w:ilvl w:val="1"/>
          <w:numId w:val="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Aggregate number of securities to which transaction applies: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0" w:lineRule="exact"/>
        <w:rPr>
          <w:rFonts w:ascii="Arial" w:cs="Arial" w:eastAsia="Arial" w:hAnsi="Arial"/>
          <w:sz w:val="15"/>
          <w:szCs w:val="15"/>
          <w:color w:val="auto"/>
        </w:rPr>
      </w:pPr>
    </w:p>
    <w:p>
      <w:pPr>
        <w:ind w:left="886" w:right="220" w:hanging="439"/>
        <w:spacing w:after="0" w:line="291" w:lineRule="auto"/>
        <w:tabs>
          <w:tab w:leader="none" w:pos="886"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5"/>
          <w:szCs w:val="15"/>
          <w:color w:val="auto"/>
        </w:rPr>
      </w:pPr>
    </w:p>
    <w:p>
      <w:pPr>
        <w:spacing w:after="0" w:line="392" w:lineRule="exact"/>
        <w:rPr>
          <w:rFonts w:ascii="Arial" w:cs="Arial" w:eastAsia="Arial" w:hAnsi="Arial"/>
          <w:sz w:val="15"/>
          <w:szCs w:val="15"/>
          <w:color w:val="auto"/>
        </w:rPr>
      </w:pPr>
    </w:p>
    <w:p>
      <w:pPr>
        <w:ind w:left="886" w:hanging="439"/>
        <w:spacing w:after="0"/>
        <w:tabs>
          <w:tab w:leader="none" w:pos="886"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0" w:lineRule="exact"/>
        <w:rPr>
          <w:rFonts w:ascii="Arial" w:cs="Arial" w:eastAsia="Arial" w:hAnsi="Arial"/>
          <w:sz w:val="15"/>
          <w:szCs w:val="15"/>
          <w:color w:val="auto"/>
        </w:rPr>
      </w:pPr>
    </w:p>
    <w:p>
      <w:pPr>
        <w:ind w:left="886" w:hanging="439"/>
        <w:spacing w:after="0"/>
        <w:tabs>
          <w:tab w:leader="none" w:pos="886"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0" w:lineRule="exact"/>
        <w:rPr>
          <w:rFonts w:ascii="Arial" w:cs="Arial" w:eastAsia="Arial" w:hAnsi="Arial"/>
          <w:sz w:val="15"/>
          <w:szCs w:val="15"/>
          <w:color w:val="auto"/>
        </w:rPr>
      </w:pPr>
    </w:p>
    <w:p>
      <w:pPr>
        <w:ind w:left="446" w:hanging="446"/>
        <w:spacing w:after="0"/>
        <w:tabs>
          <w:tab w:leader="none" w:pos="446"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91" w:lineRule="exact"/>
        <w:rPr>
          <w:rFonts w:ascii="MS PGothic" w:cs="MS PGothic" w:eastAsia="MS PGothic" w:hAnsi="MS PGothic"/>
          <w:sz w:val="15"/>
          <w:szCs w:val="15"/>
          <w:color w:val="auto"/>
        </w:rPr>
      </w:pPr>
    </w:p>
    <w:p>
      <w:pPr>
        <w:ind w:left="446" w:hanging="446"/>
        <w:spacing w:after="0" w:line="291" w:lineRule="auto"/>
        <w:tabs>
          <w:tab w:leader="none" w:pos="446"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MS PGothic" w:cs="MS PGothic" w:eastAsia="MS PGothic" w:hAnsi="MS PGothic"/>
          <w:sz w:val="15"/>
          <w:szCs w:val="15"/>
          <w:color w:val="auto"/>
        </w:rPr>
      </w:pPr>
    </w:p>
    <w:p>
      <w:pPr>
        <w:ind w:left="886" w:hanging="439"/>
        <w:spacing w:after="0"/>
        <w:tabs>
          <w:tab w:leader="none" w:pos="886" w:val="left"/>
        </w:tabs>
        <w:numPr>
          <w:ilvl w:val="1"/>
          <w:numId w:val="6"/>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0" w:lineRule="exact"/>
        <w:rPr>
          <w:rFonts w:ascii="Arial" w:cs="Arial" w:eastAsia="Arial" w:hAnsi="Arial"/>
          <w:sz w:val="15"/>
          <w:szCs w:val="15"/>
          <w:color w:val="auto"/>
        </w:rPr>
      </w:pPr>
    </w:p>
    <w:p>
      <w:pPr>
        <w:ind w:left="886" w:hanging="439"/>
        <w:spacing w:after="0"/>
        <w:tabs>
          <w:tab w:leader="none" w:pos="886" w:val="left"/>
        </w:tabs>
        <w:numPr>
          <w:ilvl w:val="1"/>
          <w:numId w:val="6"/>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0" w:lineRule="exact"/>
        <w:rPr>
          <w:rFonts w:ascii="Arial" w:cs="Arial" w:eastAsia="Arial" w:hAnsi="Arial"/>
          <w:sz w:val="15"/>
          <w:szCs w:val="15"/>
          <w:color w:val="auto"/>
        </w:rPr>
      </w:pPr>
    </w:p>
    <w:p>
      <w:pPr>
        <w:ind w:left="886" w:hanging="439"/>
        <w:spacing w:after="0"/>
        <w:tabs>
          <w:tab w:leader="none" w:pos="886" w:val="left"/>
        </w:tabs>
        <w:numPr>
          <w:ilvl w:val="1"/>
          <w:numId w:val="6"/>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50" w:lineRule="exact"/>
        <w:rPr>
          <w:rFonts w:ascii="Arial" w:cs="Arial" w:eastAsia="Arial" w:hAnsi="Arial"/>
          <w:sz w:val="15"/>
          <w:szCs w:val="15"/>
          <w:color w:val="auto"/>
        </w:rPr>
      </w:pPr>
    </w:p>
    <w:p>
      <w:pPr>
        <w:ind w:left="886" w:hanging="439"/>
        <w:spacing w:after="0"/>
        <w:tabs>
          <w:tab w:leader="none" w:pos="886" w:val="left"/>
        </w:tabs>
        <w:numPr>
          <w:ilvl w:val="1"/>
          <w:numId w:val="6"/>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-4150995</wp:posOffset>
            </wp:positionV>
            <wp:extent cx="66370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37020" cy="7620"/>
                    </a:xfrm>
                    <a:prstGeom prst="rect">
                      <a:avLst/>
                    </a:prstGeom>
                    <a:noFill/>
                  </pic:spPr>
                </pic:pic>
              </a:graphicData>
            </a:graphic>
          </wp:anchor>
        </w:drawing>
        <w:drawing>
          <wp:anchor simplePos="0" relativeHeight="251657728" behindDoc="1" locked="0" layoutInCell="0" allowOverlap="1">
            <wp:simplePos x="0" y="0"/>
            <wp:positionH relativeFrom="column">
              <wp:posOffset>530225</wp:posOffset>
            </wp:positionH>
            <wp:positionV relativeFrom="paragraph">
              <wp:posOffset>-3509010</wp:posOffset>
            </wp:positionV>
            <wp:extent cx="66370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7020" cy="7620"/>
                    </a:xfrm>
                    <a:prstGeom prst="rect">
                      <a:avLst/>
                    </a:prstGeom>
                    <a:noFill/>
                  </pic:spPr>
                </pic:pic>
              </a:graphicData>
            </a:graphic>
          </wp:anchor>
        </w:drawing>
        <w:drawing>
          <wp:anchor simplePos="0" relativeHeight="251657728" behindDoc="1" locked="0" layoutInCell="0" allowOverlap="1">
            <wp:simplePos x="0" y="0"/>
            <wp:positionH relativeFrom="column">
              <wp:posOffset>530225</wp:posOffset>
            </wp:positionH>
            <wp:positionV relativeFrom="paragraph">
              <wp:posOffset>-2986405</wp:posOffset>
            </wp:positionV>
            <wp:extent cx="66370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7020" cy="7620"/>
                    </a:xfrm>
                    <a:prstGeom prst="rect">
                      <a:avLst/>
                    </a:prstGeom>
                    <a:noFill/>
                  </pic:spPr>
                </pic:pic>
              </a:graphicData>
            </a:graphic>
          </wp:anchor>
        </w:drawing>
        <w:drawing>
          <wp:anchor simplePos="0" relativeHeight="251657728" behindDoc="1" locked="0" layoutInCell="0" allowOverlap="1">
            <wp:simplePos x="0" y="0"/>
            <wp:positionH relativeFrom="column">
              <wp:posOffset>530225</wp:posOffset>
            </wp:positionH>
            <wp:positionV relativeFrom="paragraph">
              <wp:posOffset>-2463800</wp:posOffset>
            </wp:positionV>
            <wp:extent cx="66370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7020" cy="7620"/>
                    </a:xfrm>
                    <a:prstGeom prst="rect">
                      <a:avLst/>
                    </a:prstGeom>
                    <a:noFill/>
                  </pic:spPr>
                </pic:pic>
              </a:graphicData>
            </a:graphic>
          </wp:anchor>
        </w:drawing>
        <w:drawing>
          <wp:anchor simplePos="0" relativeHeight="251657728" behindDoc="1" locked="0" layoutInCell="0" allowOverlap="1">
            <wp:simplePos x="0" y="0"/>
            <wp:positionH relativeFrom="column">
              <wp:posOffset>530225</wp:posOffset>
            </wp:positionH>
            <wp:positionV relativeFrom="paragraph">
              <wp:posOffset>-1358900</wp:posOffset>
            </wp:positionV>
            <wp:extent cx="66370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7020" cy="7620"/>
                    </a:xfrm>
                    <a:prstGeom prst="rect">
                      <a:avLst/>
                    </a:prstGeom>
                    <a:noFill/>
                  </pic:spPr>
                </pic:pic>
              </a:graphicData>
            </a:graphic>
          </wp:anchor>
        </w:drawing>
        <w:drawing>
          <wp:anchor simplePos="0" relativeHeight="251657728" behindDoc="1" locked="0" layoutInCell="0" allowOverlap="1">
            <wp:simplePos x="0" y="0"/>
            <wp:positionH relativeFrom="column">
              <wp:posOffset>530225</wp:posOffset>
            </wp:positionH>
            <wp:positionV relativeFrom="paragraph">
              <wp:posOffset>-836295</wp:posOffset>
            </wp:positionV>
            <wp:extent cx="66370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7020" cy="7620"/>
                    </a:xfrm>
                    <a:prstGeom prst="rect">
                      <a:avLst/>
                    </a:prstGeom>
                    <a:noFill/>
                  </pic:spPr>
                </pic:pic>
              </a:graphicData>
            </a:graphic>
          </wp:anchor>
        </w:drawing>
        <w:drawing>
          <wp:anchor simplePos="0" relativeHeight="251657728" behindDoc="1" locked="0" layoutInCell="0" allowOverlap="1">
            <wp:simplePos x="0" y="0"/>
            <wp:positionH relativeFrom="column">
              <wp:posOffset>530225</wp:posOffset>
            </wp:positionH>
            <wp:positionV relativeFrom="paragraph">
              <wp:posOffset>-313690</wp:posOffset>
            </wp:positionV>
            <wp:extent cx="66370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7020" cy="7620"/>
                    </a:xfrm>
                    <a:prstGeom prst="rect">
                      <a:avLst/>
                    </a:prstGeom>
                    <a:noFill/>
                  </pic:spPr>
                </pic:pic>
              </a:graphicData>
            </a:graphic>
          </wp:anchor>
        </w:drawing>
        <w:drawing>
          <wp:anchor simplePos="0" relativeHeight="251657728" behindDoc="1" locked="0" layoutInCell="0" allowOverlap="1">
            <wp:simplePos x="0" y="0"/>
            <wp:positionH relativeFrom="column">
              <wp:posOffset>530225</wp:posOffset>
            </wp:positionH>
            <wp:positionV relativeFrom="paragraph">
              <wp:posOffset>208280</wp:posOffset>
            </wp:positionV>
            <wp:extent cx="6637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7020" cy="7620"/>
                    </a:xfrm>
                    <a:prstGeom prst="rect">
                      <a:avLst/>
                    </a:prstGeom>
                    <a:noFill/>
                  </pic:spPr>
                </pic:pic>
              </a:graphicData>
            </a:graphic>
          </wp:anchor>
        </w:drawing>
      </w:r>
    </w:p>
    <w:p>
      <w:pPr>
        <w:sectPr>
          <w:pgSz w:w="11900" w:h="16838" w:orient="portrait"/>
          <w:cols w:equalWidth="0" w:num="1">
            <w:col w:w="11406"/>
          </w:cols>
          <w:pgMar w:left="234" w:top="262" w:right="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880" w:right="599"/>
        <w:spacing w:after="0" w:line="253" w:lineRule="auto"/>
        <w:rPr>
          <w:sz w:val="20"/>
          <w:szCs w:val="20"/>
          <w:color w:val="auto"/>
        </w:rPr>
      </w:pPr>
      <w:r>
        <w:rPr>
          <w:rFonts w:ascii="Arial" w:cs="Arial" w:eastAsia="Arial" w:hAnsi="Arial"/>
          <w:sz w:val="28"/>
          <w:szCs w:val="28"/>
          <w:color w:val="auto"/>
        </w:rPr>
        <w:t>The following presentation was posted on Pilgrim’s Pride’s Corporation’s external web site:</w:t>
      </w:r>
    </w:p>
    <w:p>
      <w:pPr>
        <w:spacing w:after="0" w:line="1" w:lineRule="exact"/>
        <w:rPr>
          <w:sz w:val="20"/>
          <w:szCs w:val="20"/>
          <w:color w:val="auto"/>
        </w:rPr>
      </w:pPr>
    </w:p>
    <w:p>
      <w:pPr>
        <w:jc w:val="both"/>
        <w:ind w:left="980" w:right="539" w:hanging="105"/>
        <w:spacing w:after="0" w:line="244" w:lineRule="auto"/>
        <w:rPr>
          <w:sz w:val="20"/>
          <w:szCs w:val="20"/>
          <w:color w:val="auto"/>
        </w:rPr>
      </w:pPr>
      <w:r>
        <w:rPr>
          <w:rFonts w:ascii="Arial" w:cs="Arial" w:eastAsia="Arial" w:hAnsi="Arial"/>
          <w:sz w:val="55"/>
          <w:szCs w:val="55"/>
          <w:b w:val="1"/>
          <w:bCs w:val="1"/>
          <w:color w:val="auto"/>
        </w:rPr>
        <w:t>Pilgrim's Pride Corporation's Acquisition of Gold Kist Inc.</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32"/>
          <w:szCs w:val="32"/>
          <w:color w:val="auto"/>
        </w:rPr>
        <w:t>Creating the World’s Leading Chicken Producer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60"/>
        <w:spacing w:after="0"/>
        <w:rPr>
          <w:sz w:val="20"/>
          <w:szCs w:val="20"/>
          <w:color w:val="auto"/>
        </w:rPr>
      </w:pPr>
      <w:r>
        <w:rPr>
          <w:rFonts w:ascii="Arial" w:cs="Arial" w:eastAsia="Arial" w:hAnsi="Arial"/>
          <w:sz w:val="25"/>
          <w:szCs w:val="25"/>
          <w:color w:val="auto"/>
        </w:rPr>
        <w:t>December 12, 2006</w:t>
      </w:r>
    </w:p>
    <w:p>
      <w:pPr>
        <w:sectPr>
          <w:pgSz w:w="11900" w:h="16838" w:orient="portrait"/>
          <w:cols w:equalWidth="0" w:num="1">
            <w:col w:w="9019"/>
          </w:cols>
          <w:pgMar w:left="1440" w:top="1440" w:right="1440"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Proposed Transaction</w:t>
      </w:r>
    </w:p>
    <w:p>
      <w:pPr>
        <w:spacing w:after="0" w:line="200" w:lineRule="exact"/>
        <w:rPr>
          <w:sz w:val="20"/>
          <w:szCs w:val="20"/>
          <w:color w:val="auto"/>
        </w:rPr>
      </w:pPr>
    </w:p>
    <w:p>
      <w:pPr>
        <w:spacing w:after="0" w:line="324" w:lineRule="exact"/>
        <w:rPr>
          <w:sz w:val="20"/>
          <w:szCs w:val="20"/>
          <w:color w:val="auto"/>
        </w:rPr>
      </w:pPr>
    </w:p>
    <w:p>
      <w:pPr>
        <w:ind w:left="1060" w:right="620" w:hanging="212"/>
        <w:spacing w:after="0" w:line="255" w:lineRule="auto"/>
        <w:rPr>
          <w:sz w:val="20"/>
          <w:szCs w:val="20"/>
          <w:color w:val="auto"/>
        </w:rPr>
      </w:pPr>
      <w:r>
        <w:rPr>
          <w:rFonts w:ascii="Arial" w:cs="Arial" w:eastAsia="Arial" w:hAnsi="Arial"/>
          <w:sz w:val="27"/>
          <w:szCs w:val="27"/>
          <w:color w:val="004E90"/>
        </w:rPr>
        <w:t xml:space="preserve">– </w:t>
      </w:r>
      <w:r>
        <w:rPr>
          <w:rFonts w:ascii="Arial" w:cs="Arial" w:eastAsia="Arial" w:hAnsi="Arial"/>
          <w:sz w:val="27"/>
          <w:szCs w:val="27"/>
          <w:color w:val="000000"/>
        </w:rPr>
        <w:t>Pilgrim’s Pride (NYSE:PPC) publicly announced on December 4, 2006</w:t>
      </w:r>
      <w:r>
        <w:rPr>
          <w:rFonts w:ascii="Arial" w:cs="Arial" w:eastAsia="Arial" w:hAnsi="Arial"/>
          <w:sz w:val="27"/>
          <w:szCs w:val="27"/>
          <w:color w:val="004E90"/>
        </w:rPr>
        <w:t xml:space="preserve"> </w:t>
      </w:r>
      <w:r>
        <w:rPr>
          <w:rFonts w:ascii="Arial" w:cs="Arial" w:eastAsia="Arial" w:hAnsi="Arial"/>
          <w:sz w:val="27"/>
          <w:szCs w:val="27"/>
          <w:color w:val="000000"/>
        </w:rPr>
        <w:t>that it had entered into a definitive merger agreement to acquire Gold Kist Inc. (NasdaqGS:GKIS) for $21 per share</w:t>
      </w:r>
    </w:p>
    <w:p>
      <w:pPr>
        <w:spacing w:after="0" w:line="125" w:lineRule="exact"/>
        <w:rPr>
          <w:sz w:val="20"/>
          <w:szCs w:val="20"/>
          <w:color w:val="auto"/>
        </w:rPr>
      </w:pPr>
    </w:p>
    <w:p>
      <w:pPr>
        <w:ind w:left="1420" w:right="1360" w:hanging="216"/>
        <w:spacing w:after="0" w:line="263" w:lineRule="auto"/>
        <w:tabs>
          <w:tab w:leader="none" w:pos="1420" w:val="left"/>
        </w:tabs>
        <w:numPr>
          <w:ilvl w:val="1"/>
          <w:numId w:val="7"/>
        </w:numPr>
        <w:rPr>
          <w:rFonts w:ascii="Arial" w:cs="Arial" w:eastAsia="Arial" w:hAnsi="Arial"/>
          <w:sz w:val="25"/>
          <w:szCs w:val="25"/>
          <w:color w:val="004E90"/>
        </w:rPr>
      </w:pPr>
      <w:r>
        <w:rPr>
          <w:rFonts w:ascii="Arial" w:cs="Arial" w:eastAsia="Arial" w:hAnsi="Arial"/>
          <w:sz w:val="25"/>
          <w:szCs w:val="25"/>
          <w:color w:val="auto"/>
        </w:rPr>
        <w:t>Represents a 62% premium to the August 18, 2006 closing price of $12.93</w:t>
      </w:r>
    </w:p>
    <w:p>
      <w:pPr>
        <w:spacing w:after="0" w:line="122" w:lineRule="exact"/>
        <w:rPr>
          <w:rFonts w:ascii="Arial" w:cs="Arial" w:eastAsia="Arial" w:hAnsi="Arial"/>
          <w:sz w:val="25"/>
          <w:szCs w:val="25"/>
          <w:color w:val="004E90"/>
        </w:rPr>
      </w:pPr>
    </w:p>
    <w:p>
      <w:pPr>
        <w:ind w:left="1420" w:hanging="216"/>
        <w:spacing w:after="0"/>
        <w:tabs>
          <w:tab w:leader="none" w:pos="1420" w:val="left"/>
        </w:tabs>
        <w:numPr>
          <w:ilvl w:val="1"/>
          <w:numId w:val="7"/>
        </w:numPr>
        <w:rPr>
          <w:rFonts w:ascii="Arial" w:cs="Arial" w:eastAsia="Arial" w:hAnsi="Arial"/>
          <w:sz w:val="25"/>
          <w:szCs w:val="25"/>
          <w:color w:val="004E90"/>
        </w:rPr>
      </w:pPr>
      <w:r>
        <w:rPr>
          <w:rFonts w:ascii="Arial" w:cs="Arial" w:eastAsia="Arial" w:hAnsi="Arial"/>
          <w:sz w:val="25"/>
          <w:szCs w:val="25"/>
          <w:color w:val="auto"/>
        </w:rPr>
        <w:t>Initially approached Gold Kist in 2004 prior to its IPO</w:t>
      </w:r>
    </w:p>
    <w:p>
      <w:pPr>
        <w:spacing w:after="0" w:line="171" w:lineRule="exact"/>
        <w:rPr>
          <w:rFonts w:ascii="Arial" w:cs="Arial" w:eastAsia="Arial" w:hAnsi="Arial"/>
          <w:sz w:val="25"/>
          <w:szCs w:val="25"/>
          <w:color w:val="004E90"/>
        </w:rPr>
      </w:pPr>
    </w:p>
    <w:p>
      <w:pPr>
        <w:ind w:left="1420" w:hanging="216"/>
        <w:spacing w:after="0"/>
        <w:tabs>
          <w:tab w:leader="none" w:pos="1420" w:val="left"/>
        </w:tabs>
        <w:numPr>
          <w:ilvl w:val="1"/>
          <w:numId w:val="7"/>
        </w:numPr>
        <w:rPr>
          <w:rFonts w:ascii="Arial" w:cs="Arial" w:eastAsia="Arial" w:hAnsi="Arial"/>
          <w:sz w:val="25"/>
          <w:szCs w:val="25"/>
          <w:color w:val="004E90"/>
        </w:rPr>
      </w:pPr>
      <w:r>
        <w:rPr>
          <w:rFonts w:ascii="Arial" w:cs="Arial" w:eastAsia="Arial" w:hAnsi="Arial"/>
          <w:sz w:val="25"/>
          <w:szCs w:val="25"/>
          <w:color w:val="auto"/>
        </w:rPr>
        <w:t>Recent offer proposals began in February 2006</w:t>
      </w:r>
    </w:p>
    <w:p>
      <w:pPr>
        <w:spacing w:after="0" w:line="173" w:lineRule="exact"/>
        <w:rPr>
          <w:rFonts w:ascii="Arial" w:cs="Arial" w:eastAsia="Arial" w:hAnsi="Arial"/>
          <w:sz w:val="25"/>
          <w:szCs w:val="25"/>
          <w:color w:val="004E90"/>
        </w:rPr>
      </w:pPr>
    </w:p>
    <w:p>
      <w:pPr>
        <w:ind w:left="1060" w:right="800" w:hanging="212"/>
        <w:spacing w:after="0" w:line="256" w:lineRule="auto"/>
        <w:rPr>
          <w:rFonts w:ascii="Arial" w:cs="Arial" w:eastAsia="Arial" w:hAnsi="Arial"/>
          <w:sz w:val="25"/>
          <w:szCs w:val="25"/>
          <w:color w:val="004E90"/>
        </w:rPr>
      </w:pPr>
      <w:r>
        <w:rPr>
          <w:rFonts w:ascii="Arial" w:cs="Arial" w:eastAsia="Arial" w:hAnsi="Arial"/>
          <w:sz w:val="27"/>
          <w:szCs w:val="27"/>
          <w:color w:val="004E90"/>
        </w:rPr>
        <w:t xml:space="preserve">– </w:t>
      </w:r>
      <w:r>
        <w:rPr>
          <w:rFonts w:ascii="Arial" w:cs="Arial" w:eastAsia="Arial" w:hAnsi="Arial"/>
          <w:sz w:val="27"/>
          <w:szCs w:val="27"/>
          <w:color w:val="000000"/>
        </w:rPr>
        <w:t>We maintain our strong desire to close this transaction with Gold Kist</w:t>
      </w:r>
      <w:r>
        <w:rPr>
          <w:rFonts w:ascii="Arial" w:cs="Arial" w:eastAsia="Arial" w:hAnsi="Arial"/>
          <w:sz w:val="27"/>
          <w:szCs w:val="27"/>
          <w:color w:val="004E90"/>
        </w:rPr>
        <w:t xml:space="preserve"> </w:t>
      </w:r>
      <w:r>
        <w:rPr>
          <w:rFonts w:ascii="Arial" w:cs="Arial" w:eastAsia="Arial" w:hAnsi="Arial"/>
          <w:sz w:val="27"/>
          <w:szCs w:val="27"/>
          <w:color w:val="000000"/>
        </w:rPr>
        <w:t>to create the world’s largest chicken company</w:t>
      </w:r>
    </w:p>
    <w:p>
      <w:pPr>
        <w:spacing w:after="0" w:line="123" w:lineRule="exact"/>
        <w:rPr>
          <w:rFonts w:ascii="Arial" w:cs="Arial" w:eastAsia="Arial" w:hAnsi="Arial"/>
          <w:sz w:val="25"/>
          <w:szCs w:val="25"/>
          <w:color w:val="004E90"/>
        </w:rPr>
      </w:pPr>
    </w:p>
    <w:p>
      <w:pPr>
        <w:ind w:left="1420" w:hanging="216"/>
        <w:spacing w:after="0"/>
        <w:tabs>
          <w:tab w:leader="none" w:pos="1420" w:val="left"/>
        </w:tabs>
        <w:numPr>
          <w:ilvl w:val="1"/>
          <w:numId w:val="7"/>
        </w:numPr>
        <w:rPr>
          <w:rFonts w:ascii="Arial" w:cs="Arial" w:eastAsia="Arial" w:hAnsi="Arial"/>
          <w:sz w:val="25"/>
          <w:szCs w:val="25"/>
          <w:color w:val="004E90"/>
        </w:rPr>
      </w:pPr>
      <w:r>
        <w:rPr>
          <w:rFonts w:ascii="Arial" w:cs="Arial" w:eastAsia="Arial" w:hAnsi="Arial"/>
          <w:sz w:val="25"/>
          <w:szCs w:val="25"/>
          <w:color w:val="auto"/>
        </w:rPr>
        <w:t>Powerful strategic and financial rationale</w:t>
      </w:r>
    </w:p>
    <w:p>
      <w:pPr>
        <w:spacing w:after="0" w:line="197" w:lineRule="exact"/>
        <w:rPr>
          <w:rFonts w:ascii="Arial" w:cs="Arial" w:eastAsia="Arial" w:hAnsi="Arial"/>
          <w:sz w:val="25"/>
          <w:szCs w:val="25"/>
          <w:color w:val="004E90"/>
        </w:rPr>
      </w:pPr>
    </w:p>
    <w:p>
      <w:pPr>
        <w:ind w:left="860"/>
        <w:spacing w:after="0"/>
        <w:rPr>
          <w:rFonts w:ascii="Arial" w:cs="Arial" w:eastAsia="Arial" w:hAnsi="Arial"/>
          <w:sz w:val="25"/>
          <w:szCs w:val="25"/>
          <w:color w:val="004E90"/>
        </w:rPr>
      </w:pPr>
      <w:r>
        <w:rPr>
          <w:rFonts w:ascii="Arial" w:cs="Arial" w:eastAsia="Arial" w:hAnsi="Arial"/>
          <w:sz w:val="28"/>
          <w:szCs w:val="28"/>
          <w:color w:val="004E90"/>
        </w:rPr>
        <w:t xml:space="preserve">– </w:t>
      </w:r>
      <w:r>
        <w:rPr>
          <w:rFonts w:ascii="Arial" w:cs="Arial" w:eastAsia="Arial" w:hAnsi="Arial"/>
          <w:sz w:val="28"/>
          <w:szCs w:val="28"/>
          <w:color w:val="000000"/>
        </w:rPr>
        <w:t>Anticipated close: early CY2007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00"/>
          </w:cols>
          <w:pgMar w:left="1440" w:top="1040" w:right="359" w:bottom="1440" w:gutter="0" w:footer="0" w:header="0"/>
        </w:sectPr>
      </w:pPr>
    </w:p>
    <w:bookmarkStart w:id="5" w:name="page6"/>
    <w:bookmarkEnd w:id="5"/>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Attractive Proposal…</w:t>
      </w:r>
    </w:p>
    <w:p>
      <w:pPr>
        <w:spacing w:after="0" w:line="290" w:lineRule="exact"/>
        <w:rPr>
          <w:sz w:val="20"/>
          <w:szCs w:val="20"/>
          <w:color w:val="auto"/>
        </w:rPr>
      </w:pPr>
    </w:p>
    <w:p>
      <w:pPr>
        <w:ind w:left="860"/>
        <w:spacing w:after="0"/>
        <w:rPr>
          <w:sz w:val="20"/>
          <w:szCs w:val="20"/>
          <w:color w:val="auto"/>
        </w:rPr>
      </w:pPr>
      <w:r>
        <w:rPr>
          <w:rFonts w:ascii="Arial" w:cs="Arial" w:eastAsia="Arial" w:hAnsi="Arial"/>
          <w:sz w:val="28"/>
          <w:szCs w:val="28"/>
          <w:color w:val="004E90"/>
        </w:rPr>
        <w:t xml:space="preserve">– </w:t>
      </w:r>
      <w:r>
        <w:rPr>
          <w:rFonts w:ascii="Arial" w:cs="Arial" w:eastAsia="Arial" w:hAnsi="Arial"/>
          <w:sz w:val="28"/>
          <w:szCs w:val="28"/>
          <w:color w:val="000000"/>
        </w:rPr>
        <w:t>Value creation expected for all shareholders</w:t>
      </w:r>
    </w:p>
    <w:p>
      <w:pPr>
        <w:spacing w:after="0" w:line="300" w:lineRule="exact"/>
        <w:rPr>
          <w:sz w:val="20"/>
          <w:szCs w:val="20"/>
          <w:color w:val="auto"/>
        </w:rPr>
      </w:pPr>
    </w:p>
    <w:p>
      <w:pPr>
        <w:ind w:left="860"/>
        <w:spacing w:after="0"/>
        <w:rPr>
          <w:sz w:val="20"/>
          <w:szCs w:val="20"/>
          <w:color w:val="auto"/>
        </w:rPr>
      </w:pPr>
      <w:r>
        <w:rPr>
          <w:rFonts w:ascii="Arial" w:cs="Arial" w:eastAsia="Arial" w:hAnsi="Arial"/>
          <w:sz w:val="28"/>
          <w:szCs w:val="28"/>
          <w:b w:val="1"/>
          <w:bCs w:val="1"/>
          <w:color w:val="auto"/>
        </w:rPr>
        <w:t>Offer Summary</w:t>
      </w:r>
    </w:p>
    <w:p>
      <w:pPr>
        <w:spacing w:after="0" w:line="6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(amounts in millions except per share amounts)</w:t>
      </w:r>
    </w:p>
    <w:p>
      <w:pPr>
        <w:spacing w:after="0" w:line="382" w:lineRule="exact"/>
        <w:rPr>
          <w:sz w:val="20"/>
          <w:szCs w:val="20"/>
          <w:color w:val="auto"/>
        </w:rPr>
      </w:pPr>
    </w:p>
    <w:tbl>
      <w:tblPr>
        <w:tblLayout w:type="fixed"/>
        <w:tblInd w:w="860" w:type="dxa"/>
        <w:tblCellMar>
          <w:top w:w="0" w:type="dxa"/>
          <w:left w:w="0" w:type="dxa"/>
          <w:bottom w:w="0" w:type="dxa"/>
          <w:right w:w="0" w:type="dxa"/>
        </w:tblCellMar>
      </w:tblPr>
      <w:tr>
        <w:trPr>
          <w:trHeight w:val="226"/>
        </w:trPr>
        <w:tc>
          <w:tcPr>
            <w:tcW w:w="4600" w:type="dxa"/>
            <w:vAlign w:val="bottom"/>
          </w:tcPr>
          <w:p>
            <w:pPr>
              <w:spacing w:after="0"/>
              <w:rPr>
                <w:sz w:val="20"/>
                <w:szCs w:val="20"/>
                <w:color w:val="auto"/>
              </w:rPr>
            </w:pPr>
            <w:r>
              <w:rPr>
                <w:rFonts w:ascii="Arial" w:cs="Arial" w:eastAsia="Arial" w:hAnsi="Arial"/>
                <w:sz w:val="19"/>
                <w:szCs w:val="19"/>
                <w:color w:val="auto"/>
              </w:rPr>
              <w:t>Price Per Share (8/18/06)</w:t>
            </w:r>
          </w:p>
        </w:tc>
        <w:tc>
          <w:tcPr>
            <w:tcW w:w="2040" w:type="dxa"/>
            <w:vAlign w:val="bottom"/>
          </w:tcPr>
          <w:p>
            <w:pPr>
              <w:jc w:val="right"/>
              <w:spacing w:after="0"/>
              <w:rPr>
                <w:sz w:val="20"/>
                <w:szCs w:val="20"/>
                <w:color w:val="auto"/>
              </w:rPr>
            </w:pPr>
            <w:r>
              <w:rPr>
                <w:rFonts w:ascii="Arial" w:cs="Arial" w:eastAsia="Arial" w:hAnsi="Arial"/>
                <w:sz w:val="19"/>
                <w:szCs w:val="19"/>
                <w:color w:val="auto"/>
              </w:rPr>
              <w:t>$12.93</w:t>
            </w:r>
          </w:p>
        </w:tc>
      </w:tr>
      <w:tr>
        <w:trPr>
          <w:trHeight w:val="506"/>
        </w:trPr>
        <w:tc>
          <w:tcPr>
            <w:tcW w:w="4600" w:type="dxa"/>
            <w:vAlign w:val="bottom"/>
          </w:tcPr>
          <w:p>
            <w:pPr>
              <w:ind w:left="140"/>
              <w:spacing w:after="0"/>
              <w:rPr>
                <w:sz w:val="20"/>
                <w:szCs w:val="20"/>
                <w:color w:val="auto"/>
              </w:rPr>
            </w:pPr>
            <w:r>
              <w:rPr>
                <w:rFonts w:ascii="Arial" w:cs="Arial" w:eastAsia="Arial" w:hAnsi="Arial"/>
                <w:sz w:val="19"/>
                <w:szCs w:val="19"/>
                <w:color w:val="auto"/>
              </w:rPr>
              <w:t>Offer Price Per Share</w:t>
            </w:r>
          </w:p>
        </w:tc>
        <w:tc>
          <w:tcPr>
            <w:tcW w:w="2040" w:type="dxa"/>
            <w:vAlign w:val="bottom"/>
          </w:tcPr>
          <w:p>
            <w:pPr>
              <w:jc w:val="right"/>
              <w:spacing w:after="0"/>
              <w:rPr>
                <w:sz w:val="20"/>
                <w:szCs w:val="20"/>
                <w:color w:val="auto"/>
              </w:rPr>
            </w:pPr>
            <w:r>
              <w:rPr>
                <w:rFonts w:ascii="Arial" w:cs="Arial" w:eastAsia="Arial" w:hAnsi="Arial"/>
                <w:sz w:val="19"/>
                <w:szCs w:val="19"/>
                <w:color w:val="auto"/>
              </w:rPr>
              <w:t>$21.00</w:t>
            </w:r>
          </w:p>
        </w:tc>
      </w:tr>
      <w:tr>
        <w:trPr>
          <w:trHeight w:val="259"/>
        </w:trPr>
        <w:tc>
          <w:tcPr>
            <w:tcW w:w="4600" w:type="dxa"/>
            <w:vAlign w:val="bottom"/>
          </w:tcPr>
          <w:p>
            <w:pPr>
              <w:ind w:left="140"/>
              <w:spacing w:after="0"/>
              <w:rPr>
                <w:sz w:val="20"/>
                <w:szCs w:val="20"/>
                <w:color w:val="auto"/>
              </w:rPr>
            </w:pPr>
            <w:r>
              <w:rPr>
                <w:rFonts w:ascii="Arial" w:cs="Arial" w:eastAsia="Arial" w:hAnsi="Arial"/>
                <w:sz w:val="19"/>
                <w:szCs w:val="19"/>
                <w:color w:val="auto"/>
              </w:rPr>
              <w:t xml:space="preserve">Fully-Diluted Share Count </w:t>
            </w:r>
            <w:r>
              <w:rPr>
                <w:rFonts w:ascii="Arial" w:cs="Arial" w:eastAsia="Arial" w:hAnsi="Arial"/>
                <w:sz w:val="10"/>
                <w:szCs w:val="10"/>
                <w:color w:val="auto"/>
              </w:rPr>
              <w:t>(1)(2)</w:t>
            </w:r>
          </w:p>
        </w:tc>
        <w:tc>
          <w:tcPr>
            <w:tcW w:w="2040" w:type="dxa"/>
            <w:vAlign w:val="bottom"/>
          </w:tcPr>
          <w:p>
            <w:pPr>
              <w:jc w:val="right"/>
              <w:spacing w:after="0"/>
              <w:rPr>
                <w:sz w:val="20"/>
                <w:szCs w:val="20"/>
                <w:color w:val="auto"/>
              </w:rPr>
            </w:pPr>
            <w:r>
              <w:rPr>
                <w:rFonts w:ascii="Arial" w:cs="Arial" w:eastAsia="Arial" w:hAnsi="Arial"/>
                <w:sz w:val="19"/>
                <w:szCs w:val="19"/>
                <w:color w:val="auto"/>
              </w:rPr>
              <w:t>51.4</w:t>
            </w:r>
          </w:p>
        </w:tc>
      </w:tr>
      <w:tr>
        <w:trPr>
          <w:trHeight w:val="247"/>
        </w:trPr>
        <w:tc>
          <w:tcPr>
            <w:tcW w:w="4600" w:type="dxa"/>
            <w:vAlign w:val="bottom"/>
          </w:tcPr>
          <w:p>
            <w:pPr>
              <w:spacing w:after="0"/>
              <w:rPr>
                <w:sz w:val="20"/>
                <w:szCs w:val="20"/>
                <w:color w:val="auto"/>
              </w:rPr>
            </w:pPr>
            <w:r>
              <w:rPr>
                <w:rFonts w:ascii="Arial" w:cs="Arial" w:eastAsia="Arial" w:hAnsi="Arial"/>
                <w:sz w:val="19"/>
                <w:szCs w:val="19"/>
                <w:color w:val="auto"/>
              </w:rPr>
              <w:t>Purchase Price of Gold Kist equity</w:t>
            </w:r>
          </w:p>
        </w:tc>
        <w:tc>
          <w:tcPr>
            <w:tcW w:w="2040" w:type="dxa"/>
            <w:vAlign w:val="bottom"/>
          </w:tcPr>
          <w:p>
            <w:pPr>
              <w:jc w:val="right"/>
              <w:spacing w:after="0"/>
              <w:rPr>
                <w:sz w:val="20"/>
                <w:szCs w:val="20"/>
                <w:color w:val="auto"/>
              </w:rPr>
            </w:pPr>
            <w:r>
              <w:rPr>
                <w:rFonts w:ascii="Arial" w:cs="Arial" w:eastAsia="Arial" w:hAnsi="Arial"/>
                <w:sz w:val="19"/>
                <w:szCs w:val="19"/>
                <w:color w:val="auto"/>
              </w:rPr>
              <w:t>$1,079</w:t>
            </w:r>
          </w:p>
        </w:tc>
      </w:tr>
      <w:tr>
        <w:trPr>
          <w:trHeight w:val="573"/>
        </w:trPr>
        <w:tc>
          <w:tcPr>
            <w:tcW w:w="4600" w:type="dxa"/>
            <w:vAlign w:val="bottom"/>
          </w:tcPr>
          <w:p>
            <w:pPr>
              <w:ind w:left="140"/>
              <w:spacing w:after="0"/>
              <w:rPr>
                <w:sz w:val="20"/>
                <w:szCs w:val="20"/>
                <w:color w:val="auto"/>
              </w:rPr>
            </w:pPr>
            <w:r>
              <w:rPr>
                <w:rFonts w:ascii="Arial" w:cs="Arial" w:eastAsia="Arial" w:hAnsi="Arial"/>
                <w:sz w:val="19"/>
                <w:szCs w:val="19"/>
                <w:color w:val="auto"/>
              </w:rPr>
              <w:t>Assumed Gold Kist Debt</w:t>
            </w:r>
            <w:r>
              <w:rPr>
                <w:rFonts w:ascii="Arial" w:cs="Arial" w:eastAsia="Arial" w:hAnsi="Arial"/>
                <w:sz w:val="21"/>
                <w:szCs w:val="21"/>
                <w:color w:val="auto"/>
                <w:vertAlign w:val="superscript"/>
              </w:rPr>
              <w:t>(3)</w:t>
            </w:r>
          </w:p>
        </w:tc>
        <w:tc>
          <w:tcPr>
            <w:tcW w:w="2040" w:type="dxa"/>
            <w:vAlign w:val="bottom"/>
          </w:tcPr>
          <w:p>
            <w:pPr>
              <w:jc w:val="right"/>
              <w:spacing w:after="0"/>
              <w:rPr>
                <w:sz w:val="20"/>
                <w:szCs w:val="20"/>
                <w:color w:val="auto"/>
              </w:rPr>
            </w:pPr>
            <w:r>
              <w:rPr>
                <w:rFonts w:ascii="Arial" w:cs="Arial" w:eastAsia="Arial" w:hAnsi="Arial"/>
                <w:sz w:val="19"/>
                <w:szCs w:val="19"/>
                <w:color w:val="auto"/>
              </w:rPr>
              <w:t>$144</w:t>
            </w:r>
          </w:p>
        </w:tc>
      </w:tr>
      <w:tr>
        <w:trPr>
          <w:trHeight w:val="226"/>
        </w:trPr>
        <w:tc>
          <w:tcPr>
            <w:tcW w:w="4600" w:type="dxa"/>
            <w:vAlign w:val="bottom"/>
          </w:tcPr>
          <w:p>
            <w:pPr>
              <w:ind w:left="140"/>
              <w:spacing w:after="0"/>
              <w:rPr>
                <w:sz w:val="20"/>
                <w:szCs w:val="20"/>
                <w:color w:val="auto"/>
              </w:rPr>
            </w:pPr>
            <w:r>
              <w:rPr>
                <w:rFonts w:ascii="Arial" w:cs="Arial" w:eastAsia="Arial" w:hAnsi="Arial"/>
                <w:sz w:val="19"/>
                <w:szCs w:val="19"/>
                <w:color w:val="auto"/>
              </w:rPr>
              <w:t>Cash on Gold Kist Balance Sheet</w:t>
            </w:r>
            <w:r>
              <w:rPr>
                <w:rFonts w:ascii="Arial" w:cs="Arial" w:eastAsia="Arial" w:hAnsi="Arial"/>
                <w:sz w:val="10"/>
                <w:szCs w:val="10"/>
                <w:color w:val="auto"/>
              </w:rPr>
              <w:t>(3)(4)</w:t>
            </w:r>
          </w:p>
        </w:tc>
        <w:tc>
          <w:tcPr>
            <w:tcW w:w="2040" w:type="dxa"/>
            <w:vAlign w:val="bottom"/>
          </w:tcPr>
          <w:p>
            <w:pPr>
              <w:jc w:val="right"/>
              <w:spacing w:after="0"/>
              <w:rPr>
                <w:sz w:val="20"/>
                <w:szCs w:val="20"/>
                <w:color w:val="auto"/>
              </w:rPr>
            </w:pPr>
            <w:r>
              <w:rPr>
                <w:rFonts w:ascii="Arial" w:cs="Arial" w:eastAsia="Arial" w:hAnsi="Arial"/>
                <w:sz w:val="19"/>
                <w:szCs w:val="19"/>
                <w:color w:val="auto"/>
              </w:rPr>
              <w:t>93</w:t>
            </w:r>
          </w:p>
        </w:tc>
      </w:tr>
      <w:tr>
        <w:trPr>
          <w:trHeight w:val="259"/>
        </w:trPr>
        <w:tc>
          <w:tcPr>
            <w:tcW w:w="4600" w:type="dxa"/>
            <w:vAlign w:val="bottom"/>
          </w:tcPr>
          <w:p>
            <w:pPr>
              <w:spacing w:after="0"/>
              <w:rPr>
                <w:sz w:val="20"/>
                <w:szCs w:val="20"/>
                <w:color w:val="auto"/>
              </w:rPr>
            </w:pPr>
            <w:r>
              <w:rPr>
                <w:rFonts w:ascii="Arial" w:cs="Arial" w:eastAsia="Arial" w:hAnsi="Arial"/>
                <w:sz w:val="19"/>
                <w:szCs w:val="19"/>
                <w:color w:val="auto"/>
              </w:rPr>
              <w:t xml:space="preserve">Total Enterprise Value of Offer </w:t>
            </w:r>
            <w:r>
              <w:rPr>
                <w:rFonts w:ascii="Arial" w:cs="Arial" w:eastAsia="Arial" w:hAnsi="Arial"/>
                <w:sz w:val="10"/>
                <w:szCs w:val="10"/>
                <w:color w:val="auto"/>
              </w:rPr>
              <w:t>(5)</w:t>
            </w:r>
          </w:p>
        </w:tc>
        <w:tc>
          <w:tcPr>
            <w:tcW w:w="2040" w:type="dxa"/>
            <w:vAlign w:val="bottom"/>
          </w:tcPr>
          <w:p>
            <w:pPr>
              <w:jc w:val="right"/>
              <w:spacing w:after="0"/>
              <w:rPr>
                <w:sz w:val="20"/>
                <w:szCs w:val="20"/>
                <w:color w:val="auto"/>
              </w:rPr>
            </w:pPr>
            <w:r>
              <w:rPr>
                <w:rFonts w:ascii="Arial" w:cs="Arial" w:eastAsia="Arial" w:hAnsi="Arial"/>
                <w:sz w:val="19"/>
                <w:szCs w:val="19"/>
                <w:color w:val="auto"/>
              </w:rPr>
              <w:t>$1,130</w:t>
            </w:r>
          </w:p>
        </w:tc>
      </w:tr>
      <w:tr>
        <w:trPr>
          <w:trHeight w:val="506"/>
        </w:trPr>
        <w:tc>
          <w:tcPr>
            <w:tcW w:w="4600" w:type="dxa"/>
            <w:vAlign w:val="bottom"/>
          </w:tcPr>
          <w:p>
            <w:pPr>
              <w:spacing w:after="0"/>
              <w:rPr>
                <w:sz w:val="20"/>
                <w:szCs w:val="20"/>
                <w:color w:val="auto"/>
              </w:rPr>
            </w:pPr>
            <w:r>
              <w:rPr>
                <w:rFonts w:ascii="Arial" w:cs="Arial" w:eastAsia="Arial" w:hAnsi="Arial"/>
                <w:sz w:val="19"/>
                <w:szCs w:val="19"/>
                <w:color w:val="auto"/>
              </w:rPr>
              <w:t>Offer Price as a Percent of Gold Kist's:</w:t>
            </w:r>
          </w:p>
        </w:tc>
        <w:tc>
          <w:tcPr>
            <w:tcW w:w="2040" w:type="dxa"/>
            <w:vAlign w:val="bottom"/>
          </w:tcPr>
          <w:p>
            <w:pPr>
              <w:spacing w:after="0"/>
              <w:rPr>
                <w:sz w:val="24"/>
                <w:szCs w:val="24"/>
                <w:color w:val="auto"/>
              </w:rPr>
            </w:pPr>
          </w:p>
        </w:tc>
      </w:tr>
      <w:tr>
        <w:trPr>
          <w:trHeight w:val="247"/>
        </w:trPr>
        <w:tc>
          <w:tcPr>
            <w:tcW w:w="4600" w:type="dxa"/>
            <w:vAlign w:val="bottom"/>
          </w:tcPr>
          <w:p>
            <w:pPr>
              <w:ind w:left="140"/>
              <w:spacing w:after="0"/>
              <w:rPr>
                <w:sz w:val="20"/>
                <w:szCs w:val="20"/>
                <w:color w:val="auto"/>
              </w:rPr>
            </w:pPr>
            <w:r>
              <w:rPr>
                <w:rFonts w:ascii="Arial" w:cs="Arial" w:eastAsia="Arial" w:hAnsi="Arial"/>
                <w:sz w:val="19"/>
                <w:szCs w:val="19"/>
                <w:color w:val="auto"/>
              </w:rPr>
              <w:t>Close Price (8/18/06)</w:t>
            </w:r>
          </w:p>
        </w:tc>
        <w:tc>
          <w:tcPr>
            <w:tcW w:w="2040" w:type="dxa"/>
            <w:vAlign w:val="bottom"/>
          </w:tcPr>
          <w:p>
            <w:pPr>
              <w:jc w:val="right"/>
              <w:spacing w:after="0"/>
              <w:rPr>
                <w:sz w:val="20"/>
                <w:szCs w:val="20"/>
                <w:color w:val="auto"/>
              </w:rPr>
            </w:pPr>
            <w:r>
              <w:rPr>
                <w:rFonts w:ascii="Arial" w:cs="Arial" w:eastAsia="Arial" w:hAnsi="Arial"/>
                <w:sz w:val="19"/>
                <w:szCs w:val="19"/>
                <w:color w:val="auto"/>
              </w:rPr>
              <w:t>162%</w:t>
            </w:r>
          </w:p>
        </w:tc>
      </w:tr>
      <w:tr>
        <w:trPr>
          <w:trHeight w:val="259"/>
        </w:trPr>
        <w:tc>
          <w:tcPr>
            <w:tcW w:w="4600" w:type="dxa"/>
            <w:vAlign w:val="bottom"/>
          </w:tcPr>
          <w:p>
            <w:pPr>
              <w:ind w:left="140"/>
              <w:spacing w:after="0"/>
              <w:rPr>
                <w:sz w:val="20"/>
                <w:szCs w:val="20"/>
                <w:color w:val="auto"/>
              </w:rPr>
            </w:pPr>
            <w:r>
              <w:rPr>
                <w:rFonts w:ascii="Arial" w:cs="Arial" w:eastAsia="Arial" w:hAnsi="Arial"/>
                <w:sz w:val="19"/>
                <w:szCs w:val="19"/>
                <w:color w:val="auto"/>
              </w:rPr>
              <w:t>Prior 90-Day Average (8/18/06)</w:t>
            </w:r>
          </w:p>
        </w:tc>
        <w:tc>
          <w:tcPr>
            <w:tcW w:w="2040" w:type="dxa"/>
            <w:vAlign w:val="bottom"/>
          </w:tcPr>
          <w:p>
            <w:pPr>
              <w:jc w:val="right"/>
              <w:spacing w:after="0"/>
              <w:rPr>
                <w:sz w:val="20"/>
                <w:szCs w:val="20"/>
                <w:color w:val="auto"/>
              </w:rPr>
            </w:pPr>
            <w:r>
              <w:rPr>
                <w:rFonts w:ascii="Arial" w:cs="Arial" w:eastAsia="Arial" w:hAnsi="Arial"/>
                <w:sz w:val="19"/>
                <w:szCs w:val="19"/>
                <w:color w:val="auto"/>
              </w:rPr>
              <w:t>154%</w:t>
            </w:r>
          </w:p>
        </w:tc>
      </w:tr>
      <w:tr>
        <w:trPr>
          <w:trHeight w:val="247"/>
        </w:trPr>
        <w:tc>
          <w:tcPr>
            <w:tcW w:w="4600" w:type="dxa"/>
            <w:vAlign w:val="bottom"/>
          </w:tcPr>
          <w:p>
            <w:pPr>
              <w:ind w:left="140"/>
              <w:spacing w:after="0"/>
              <w:rPr>
                <w:sz w:val="20"/>
                <w:szCs w:val="20"/>
                <w:color w:val="auto"/>
              </w:rPr>
            </w:pPr>
            <w:r>
              <w:rPr>
                <w:rFonts w:ascii="Arial" w:cs="Arial" w:eastAsia="Arial" w:hAnsi="Arial"/>
                <w:sz w:val="19"/>
                <w:szCs w:val="19"/>
                <w:color w:val="auto"/>
              </w:rPr>
              <w:t>52-Week High (8/18/06)</w:t>
            </w:r>
          </w:p>
        </w:tc>
        <w:tc>
          <w:tcPr>
            <w:tcW w:w="2040" w:type="dxa"/>
            <w:vAlign w:val="bottom"/>
          </w:tcPr>
          <w:p>
            <w:pPr>
              <w:jc w:val="right"/>
              <w:spacing w:after="0"/>
              <w:rPr>
                <w:sz w:val="20"/>
                <w:szCs w:val="20"/>
                <w:color w:val="auto"/>
              </w:rPr>
            </w:pPr>
            <w:r>
              <w:rPr>
                <w:rFonts w:ascii="Arial" w:cs="Arial" w:eastAsia="Arial" w:hAnsi="Arial"/>
                <w:sz w:val="19"/>
                <w:szCs w:val="19"/>
                <w:color w:val="auto"/>
              </w:rPr>
              <w:t>100%</w:t>
            </w:r>
          </w:p>
        </w:tc>
      </w:tr>
    </w:tbl>
    <w:p>
      <w:pPr>
        <w:spacing w:after="0" w:line="172" w:lineRule="exact"/>
        <w:rPr>
          <w:sz w:val="20"/>
          <w:szCs w:val="20"/>
          <w:color w:val="auto"/>
        </w:rPr>
      </w:pPr>
    </w:p>
    <w:p>
      <w:pPr>
        <w:ind w:left="1160" w:hanging="3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repurchase of shares from option proceeds.</w:t>
      </w:r>
    </w:p>
    <w:p>
      <w:pPr>
        <w:spacing w:after="0" w:line="51" w:lineRule="exact"/>
        <w:rPr>
          <w:rFonts w:ascii="Arial" w:cs="Arial" w:eastAsia="Arial" w:hAnsi="Arial"/>
          <w:sz w:val="18"/>
          <w:szCs w:val="18"/>
          <w:color w:val="auto"/>
        </w:rPr>
      </w:pPr>
    </w:p>
    <w:p>
      <w:pPr>
        <w:ind w:left="1160" w:hanging="3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12/2/06.</w:t>
      </w:r>
    </w:p>
    <w:p>
      <w:pPr>
        <w:spacing w:after="0" w:line="39" w:lineRule="exact"/>
        <w:rPr>
          <w:rFonts w:ascii="Arial" w:cs="Arial" w:eastAsia="Arial" w:hAnsi="Arial"/>
          <w:sz w:val="18"/>
          <w:szCs w:val="18"/>
          <w:color w:val="auto"/>
        </w:rPr>
      </w:pPr>
    </w:p>
    <w:p>
      <w:pPr>
        <w:ind w:left="1160" w:hanging="3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9/30/06.</w:t>
      </w:r>
    </w:p>
    <w:p>
      <w:pPr>
        <w:spacing w:after="0" w:line="51" w:lineRule="exact"/>
        <w:rPr>
          <w:rFonts w:ascii="Arial" w:cs="Arial" w:eastAsia="Arial" w:hAnsi="Arial"/>
          <w:sz w:val="18"/>
          <w:szCs w:val="18"/>
          <w:color w:val="auto"/>
        </w:rPr>
      </w:pPr>
    </w:p>
    <w:p>
      <w:pPr>
        <w:ind w:left="1160" w:hanging="3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$15.9 million in Investments.</w:t>
      </w:r>
    </w:p>
    <w:p>
      <w:pPr>
        <w:spacing w:after="0" w:line="39" w:lineRule="exact"/>
        <w:rPr>
          <w:rFonts w:ascii="Arial" w:cs="Arial" w:eastAsia="Arial" w:hAnsi="Arial"/>
          <w:sz w:val="18"/>
          <w:szCs w:val="18"/>
          <w:color w:val="auto"/>
        </w:rPr>
      </w:pPr>
    </w:p>
    <w:p>
      <w:pPr>
        <w:ind w:left="1160" w:hanging="30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include fees and deal-related expenses.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00"/>
          </w:cols>
          <w:pgMar w:left="1440" w:top="1052" w:right="359" w:bottom="1440" w:gutter="0" w:footer="0" w:header="0"/>
        </w:sectPr>
      </w:pPr>
    </w:p>
    <w:bookmarkStart w:id="6" w:name="page7"/>
    <w:bookmarkEnd w:id="6"/>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…Relative to Historical Multiples</w:t>
      </w:r>
    </w:p>
    <w:p>
      <w:pPr>
        <w:spacing w:after="0" w:line="290" w:lineRule="exact"/>
        <w:rPr>
          <w:sz w:val="20"/>
          <w:szCs w:val="20"/>
          <w:color w:val="auto"/>
        </w:rPr>
      </w:pPr>
    </w:p>
    <w:p>
      <w:pPr>
        <w:ind w:left="860"/>
        <w:spacing w:after="0"/>
        <w:rPr>
          <w:sz w:val="20"/>
          <w:szCs w:val="20"/>
          <w:color w:val="auto"/>
        </w:rPr>
      </w:pPr>
      <w:r>
        <w:rPr>
          <w:rFonts w:ascii="Arial" w:cs="Arial" w:eastAsia="Arial" w:hAnsi="Arial"/>
          <w:sz w:val="28"/>
          <w:szCs w:val="28"/>
          <w:color w:val="004E90"/>
        </w:rPr>
        <w:t xml:space="preserve">– </w:t>
      </w:r>
      <w:r>
        <w:rPr>
          <w:rFonts w:ascii="Arial" w:cs="Arial" w:eastAsia="Arial" w:hAnsi="Arial"/>
          <w:sz w:val="28"/>
          <w:szCs w:val="28"/>
          <w:color w:val="000000"/>
        </w:rPr>
        <w:t>Our proposal represents full value for Gold Kist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28"/>
          <w:szCs w:val="28"/>
          <w:b w:val="1"/>
          <w:bCs w:val="1"/>
          <w:color w:val="auto"/>
        </w:rPr>
        <w:t>Gold Kist Enterprise Value/EBITDA Multiples</w:t>
      </w:r>
    </w:p>
    <w:p>
      <w:pPr>
        <w:spacing w:after="0" w:line="200" w:lineRule="exact"/>
        <w:rPr>
          <w:sz w:val="20"/>
          <w:szCs w:val="20"/>
          <w:color w:val="auto"/>
        </w:rPr>
      </w:pPr>
    </w:p>
    <w:p>
      <w:pPr>
        <w:spacing w:after="0" w:line="323" w:lineRule="exact"/>
        <w:rPr>
          <w:sz w:val="20"/>
          <w:szCs w:val="20"/>
          <w:color w:val="auto"/>
        </w:rPr>
      </w:pPr>
    </w:p>
    <w:p>
      <w:pPr>
        <w:ind w:left="7040"/>
        <w:spacing w:after="0"/>
        <w:rPr>
          <w:sz w:val="20"/>
          <w:szCs w:val="20"/>
          <w:color w:val="auto"/>
        </w:rPr>
      </w:pPr>
      <w:r>
        <w:rPr>
          <w:rFonts w:ascii="Arial" w:cs="Arial" w:eastAsia="Arial" w:hAnsi="Arial"/>
          <w:sz w:val="13"/>
          <w:szCs w:val="13"/>
          <w:color w:val="auto"/>
        </w:rPr>
        <w:t>34.1x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9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Pr>
          <w:p>
            <w:pPr>
              <w:jc w:val="center"/>
              <w:ind w:left="355"/>
              <w:spacing w:after="0"/>
              <w:rPr>
                <w:sz w:val="20"/>
                <w:szCs w:val="20"/>
                <w:color w:val="auto"/>
              </w:rPr>
            </w:pPr>
            <w:r>
              <w:rPr>
                <w:rFonts w:ascii="Arial" w:cs="Arial" w:eastAsia="Arial" w:hAnsi="Arial"/>
                <w:sz w:val="13"/>
                <w:szCs w:val="13"/>
                <w:color w:val="auto"/>
                <w:w w:val="97"/>
              </w:rPr>
              <w:t>9.8x</w:t>
            </w: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gridSpan w:val="2"/>
          </w:tcPr>
          <w:p>
            <w:pPr>
              <w:jc w:val="center"/>
              <w:spacing w:after="0"/>
              <w:rPr>
                <w:sz w:val="20"/>
                <w:szCs w:val="20"/>
                <w:color w:val="auto"/>
              </w:rPr>
            </w:pPr>
            <w:r>
              <w:rPr>
                <w:rFonts w:ascii="Arial" w:cs="Arial" w:eastAsia="Arial" w:hAnsi="Arial"/>
                <w:sz w:val="13"/>
                <w:szCs w:val="13"/>
                <w:color w:val="auto"/>
                <w:w w:val="97"/>
              </w:rPr>
              <w:t>7.2x</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rPr>
              <w:t>6.3x</w:t>
            </w:r>
          </w:p>
        </w:tc>
        <w:tc>
          <w:tcPr>
            <w:tcW w:w="1060" w:type="dxa"/>
            <w:vAlign w:val="bottom"/>
            <w:vMerge w:val="restart"/>
          </w:tcPr>
          <w:p>
            <w:pPr>
              <w:jc w:val="center"/>
              <w:ind w:right="700"/>
              <w:spacing w:after="0"/>
              <w:rPr>
                <w:sz w:val="20"/>
                <w:szCs w:val="20"/>
                <w:color w:val="auto"/>
              </w:rPr>
            </w:pPr>
            <w:r>
              <w:rPr>
                <w:rFonts w:ascii="Arial" w:cs="Arial" w:eastAsia="Arial" w:hAnsi="Arial"/>
                <w:sz w:val="13"/>
                <w:szCs w:val="13"/>
                <w:color w:val="auto"/>
                <w:w w:val="97"/>
              </w:rPr>
              <w:t>5.7x</w:t>
            </w:r>
          </w:p>
        </w:tc>
        <w:tc>
          <w:tcPr>
            <w:tcW w:w="0" w:type="dxa"/>
            <w:vAlign w:val="bottom"/>
          </w:tcPr>
          <w:p>
            <w:pPr>
              <w:spacing w:after="0"/>
              <w:rPr>
                <w:sz w:val="1"/>
                <w:szCs w:val="1"/>
                <w:color w:val="auto"/>
              </w:rPr>
            </w:pPr>
          </w:p>
        </w:tc>
      </w:tr>
      <w:tr>
        <w:trPr>
          <w:trHeight w:val="59"/>
        </w:trPr>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vMerge w:val="restart"/>
          </w:tcPr>
          <w:p>
            <w:pPr>
              <w:jc w:val="center"/>
              <w:ind w:right="55"/>
              <w:spacing w:after="0"/>
              <w:rPr>
                <w:sz w:val="20"/>
                <w:szCs w:val="20"/>
                <w:color w:val="auto"/>
              </w:rPr>
            </w:pPr>
            <w:r>
              <w:rPr>
                <w:rFonts w:ascii="Arial" w:cs="Arial" w:eastAsia="Arial" w:hAnsi="Arial"/>
                <w:sz w:val="13"/>
                <w:szCs w:val="13"/>
                <w:color w:val="auto"/>
                <w:w w:val="97"/>
              </w:rPr>
              <w:t>4.3x</w:t>
            </w:r>
          </w:p>
        </w:tc>
        <w:tc>
          <w:tcPr>
            <w:tcW w:w="700" w:type="dxa"/>
            <w:vAlign w:val="bottom"/>
            <w:vMerge w:val="restart"/>
          </w:tcPr>
          <w:p>
            <w:pPr>
              <w:ind w:left="120"/>
              <w:spacing w:after="0"/>
              <w:rPr>
                <w:sz w:val="20"/>
                <w:szCs w:val="20"/>
                <w:color w:val="auto"/>
              </w:rPr>
            </w:pPr>
            <w:r>
              <w:rPr>
                <w:rFonts w:ascii="Arial" w:cs="Arial" w:eastAsia="Arial" w:hAnsi="Arial"/>
                <w:sz w:val="13"/>
                <w:szCs w:val="13"/>
                <w:color w:val="auto"/>
              </w:rPr>
              <w:t>4.3x</w:t>
            </w: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80" w:type="dxa"/>
            <w:vAlign w:val="bottom"/>
            <w:vMerge w:val="restart"/>
          </w:tcPr>
          <w:p>
            <w:pPr>
              <w:ind w:left="200"/>
              <w:spacing w:after="0"/>
              <w:rPr>
                <w:sz w:val="20"/>
                <w:szCs w:val="20"/>
                <w:color w:val="auto"/>
              </w:rPr>
            </w:pPr>
            <w:r>
              <w:rPr>
                <w:rFonts w:ascii="Arial" w:cs="Arial" w:eastAsia="Arial" w:hAnsi="Arial"/>
                <w:sz w:val="13"/>
                <w:szCs w:val="13"/>
                <w:color w:val="auto"/>
              </w:rPr>
              <w:t>4.8x</w:t>
            </w:r>
          </w:p>
        </w:tc>
        <w:tc>
          <w:tcPr>
            <w:tcW w:w="1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620" w:type="dxa"/>
            <w:vAlign w:val="bottom"/>
            <w:gridSpan w:val="2"/>
            <w:vMerge w:val="restart"/>
          </w:tcPr>
          <w:p>
            <w:pPr>
              <w:jc w:val="center"/>
              <w:ind w:right="29"/>
              <w:spacing w:after="0"/>
              <w:rPr>
                <w:sz w:val="20"/>
                <w:szCs w:val="20"/>
                <w:color w:val="auto"/>
              </w:rPr>
            </w:pPr>
            <w:r>
              <w:rPr>
                <w:rFonts w:ascii="Arial" w:cs="Arial" w:eastAsia="Arial" w:hAnsi="Arial"/>
                <w:sz w:val="13"/>
                <w:szCs w:val="13"/>
                <w:color w:val="auto"/>
                <w:w w:val="97"/>
              </w:rPr>
              <w:t>2.8x</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3.3x</w:t>
            </w: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auto"/>
              </w:rPr>
              <w:t>3.0x</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97"/>
              </w:rPr>
              <w:t>2.7x</w:t>
            </w:r>
          </w:p>
        </w:tc>
        <w:tc>
          <w:tcPr>
            <w:tcW w:w="15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6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3"/>
        </w:trPr>
        <w:tc>
          <w:tcPr>
            <w:tcW w:w="620" w:type="dxa"/>
            <w:vAlign w:val="bottom"/>
            <w:gridSpan w:val="2"/>
          </w:tcPr>
          <w:p>
            <w:pPr>
              <w:jc w:val="right"/>
              <w:ind w:right="29"/>
              <w:spacing w:after="0"/>
              <w:rPr>
                <w:sz w:val="20"/>
                <w:szCs w:val="20"/>
                <w:color w:val="auto"/>
              </w:rPr>
            </w:pPr>
            <w:r>
              <w:rPr>
                <w:rFonts w:ascii="Arial" w:cs="Arial" w:eastAsia="Arial" w:hAnsi="Arial"/>
                <w:sz w:val="13"/>
                <w:szCs w:val="13"/>
                <w:color w:val="auto"/>
                <w:w w:val="98"/>
              </w:rPr>
              <w:t>12/31/04</w:t>
            </w:r>
          </w:p>
        </w:tc>
        <w:tc>
          <w:tcPr>
            <w:tcW w:w="660" w:type="dxa"/>
            <w:vAlign w:val="bottom"/>
          </w:tcPr>
          <w:p>
            <w:pPr>
              <w:jc w:val="right"/>
              <w:ind w:right="55"/>
              <w:spacing w:after="0"/>
              <w:rPr>
                <w:sz w:val="20"/>
                <w:szCs w:val="20"/>
                <w:color w:val="auto"/>
              </w:rPr>
            </w:pPr>
            <w:r>
              <w:rPr>
                <w:rFonts w:ascii="Arial" w:cs="Arial" w:eastAsia="Arial" w:hAnsi="Arial"/>
                <w:sz w:val="13"/>
                <w:szCs w:val="13"/>
                <w:color w:val="auto"/>
              </w:rPr>
              <w:t>3/31/05</w:t>
            </w:r>
          </w:p>
        </w:tc>
        <w:tc>
          <w:tcPr>
            <w:tcW w:w="760" w:type="dxa"/>
            <w:vAlign w:val="bottom"/>
          </w:tcPr>
          <w:p>
            <w:pPr>
              <w:jc w:val="right"/>
              <w:ind w:right="155"/>
              <w:spacing w:after="0"/>
              <w:rPr>
                <w:sz w:val="20"/>
                <w:szCs w:val="20"/>
                <w:color w:val="auto"/>
              </w:rPr>
            </w:pPr>
            <w:r>
              <w:rPr>
                <w:rFonts w:ascii="Arial" w:cs="Arial" w:eastAsia="Arial" w:hAnsi="Arial"/>
                <w:sz w:val="13"/>
                <w:szCs w:val="13"/>
                <w:color w:val="auto"/>
              </w:rPr>
              <w:t>6/30/05</w:t>
            </w:r>
          </w:p>
        </w:tc>
        <w:tc>
          <w:tcPr>
            <w:tcW w:w="1260" w:type="dxa"/>
            <w:vAlign w:val="bottom"/>
            <w:gridSpan w:val="2"/>
          </w:tcPr>
          <w:p>
            <w:pPr>
              <w:jc w:val="right"/>
              <w:ind w:right="35"/>
              <w:spacing w:after="0"/>
              <w:rPr>
                <w:sz w:val="20"/>
                <w:szCs w:val="20"/>
                <w:color w:val="auto"/>
              </w:rPr>
            </w:pPr>
            <w:r>
              <w:rPr>
                <w:rFonts w:ascii="Arial" w:cs="Arial" w:eastAsia="Arial" w:hAnsi="Arial"/>
                <w:sz w:val="13"/>
                <w:szCs w:val="13"/>
                <w:color w:val="auto"/>
              </w:rPr>
              <w:t>9/30/05   12/31/05</w:t>
            </w:r>
          </w:p>
        </w:tc>
        <w:tc>
          <w:tcPr>
            <w:tcW w:w="640" w:type="dxa"/>
            <w:vAlign w:val="bottom"/>
          </w:tcPr>
          <w:p>
            <w:pPr>
              <w:jc w:val="right"/>
              <w:ind w:right="55"/>
              <w:spacing w:after="0"/>
              <w:rPr>
                <w:sz w:val="20"/>
                <w:szCs w:val="20"/>
                <w:color w:val="auto"/>
              </w:rPr>
            </w:pPr>
            <w:r>
              <w:rPr>
                <w:rFonts w:ascii="Arial" w:cs="Arial" w:eastAsia="Arial" w:hAnsi="Arial"/>
                <w:sz w:val="13"/>
                <w:szCs w:val="13"/>
                <w:color w:val="auto"/>
              </w:rPr>
              <w:t>3/31/06</w:t>
            </w:r>
          </w:p>
        </w:tc>
        <w:tc>
          <w:tcPr>
            <w:tcW w:w="1580" w:type="dxa"/>
            <w:vAlign w:val="bottom"/>
          </w:tcPr>
          <w:p>
            <w:pPr>
              <w:ind w:left="120"/>
              <w:spacing w:after="0"/>
              <w:rPr>
                <w:sz w:val="20"/>
                <w:szCs w:val="20"/>
                <w:color w:val="auto"/>
              </w:rPr>
            </w:pPr>
            <w:r>
              <w:rPr>
                <w:rFonts w:ascii="Arial" w:cs="Arial" w:eastAsia="Arial" w:hAnsi="Arial"/>
                <w:sz w:val="13"/>
                <w:szCs w:val="13"/>
                <w:color w:val="auto"/>
              </w:rPr>
              <w:t>6/30/06  Multiple as</w:t>
            </w:r>
          </w:p>
        </w:tc>
        <w:tc>
          <w:tcPr>
            <w:tcW w:w="1280" w:type="dxa"/>
            <w:vAlign w:val="bottom"/>
          </w:tcPr>
          <w:p>
            <w:pPr>
              <w:jc w:val="center"/>
              <w:ind w:left="215"/>
              <w:spacing w:after="0"/>
              <w:rPr>
                <w:sz w:val="20"/>
                <w:szCs w:val="20"/>
                <w:color w:val="auto"/>
              </w:rPr>
            </w:pPr>
            <w:r>
              <w:rPr>
                <w:rFonts w:ascii="Arial" w:cs="Arial" w:eastAsia="Arial" w:hAnsi="Arial"/>
                <w:sz w:val="13"/>
                <w:szCs w:val="13"/>
                <w:color w:val="auto"/>
                <w:w w:val="98"/>
              </w:rPr>
              <w:t>(1%) LTM</w:t>
            </w: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24"/>
                <w:szCs w:val="24"/>
                <w:color w:val="auto"/>
              </w:rPr>
            </w:pPr>
          </w:p>
        </w:tc>
        <w:tc>
          <w:tcPr>
            <w:tcW w:w="1060" w:type="dxa"/>
            <w:vAlign w:val="bottom"/>
          </w:tcPr>
          <w:p>
            <w:pPr>
              <w:jc w:val="right"/>
              <w:ind w:right="375"/>
              <w:spacing w:after="0"/>
              <w:rPr>
                <w:sz w:val="20"/>
                <w:szCs w:val="20"/>
                <w:color w:val="auto"/>
              </w:rPr>
            </w:pPr>
            <w:r>
              <w:rPr>
                <w:rFonts w:ascii="Arial" w:cs="Arial" w:eastAsia="Arial" w:hAnsi="Arial"/>
                <w:sz w:val="13"/>
                <w:szCs w:val="13"/>
                <w:color w:val="auto"/>
              </w:rPr>
              <w:t>6%</w:t>
            </w:r>
          </w:p>
        </w:tc>
        <w:tc>
          <w:tcPr>
            <w:tcW w:w="1060" w:type="dxa"/>
            <w:vAlign w:val="bottom"/>
          </w:tcPr>
          <w:p>
            <w:pPr>
              <w:jc w:val="right"/>
              <w:ind w:right="76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Pr>
          <w:p>
            <w:pPr>
              <w:jc w:val="center"/>
              <w:ind w:left="375"/>
              <w:spacing w:after="0"/>
              <w:rPr>
                <w:sz w:val="20"/>
                <w:szCs w:val="20"/>
                <w:color w:val="auto"/>
              </w:rPr>
            </w:pPr>
            <w:r>
              <w:rPr>
                <w:rFonts w:ascii="Arial" w:cs="Arial" w:eastAsia="Arial" w:hAnsi="Arial"/>
                <w:sz w:val="13"/>
                <w:szCs w:val="13"/>
                <w:color w:val="auto"/>
              </w:rPr>
              <w:t>of 8/18/06</w:t>
            </w:r>
          </w:p>
        </w:tc>
        <w:tc>
          <w:tcPr>
            <w:tcW w:w="1280" w:type="dxa"/>
            <w:vAlign w:val="bottom"/>
          </w:tcPr>
          <w:p>
            <w:pPr>
              <w:jc w:val="center"/>
              <w:ind w:left="195"/>
              <w:spacing w:after="0"/>
              <w:rPr>
                <w:sz w:val="20"/>
                <w:szCs w:val="20"/>
                <w:color w:val="auto"/>
              </w:rPr>
            </w:pPr>
            <w:r>
              <w:rPr>
                <w:rFonts w:ascii="Arial" w:cs="Arial" w:eastAsia="Arial" w:hAnsi="Arial"/>
                <w:sz w:val="13"/>
                <w:szCs w:val="13"/>
                <w:color w:val="auto"/>
              </w:rPr>
              <w:t>Operating</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jc w:val="center"/>
              <w:ind w:left="375"/>
              <w:spacing w:after="0"/>
              <w:rPr>
                <w:sz w:val="20"/>
                <w:szCs w:val="20"/>
                <w:color w:val="auto"/>
              </w:rPr>
            </w:pPr>
            <w:r>
              <w:rPr>
                <w:rFonts w:ascii="Arial" w:cs="Arial" w:eastAsia="Arial" w:hAnsi="Arial"/>
                <w:sz w:val="13"/>
                <w:szCs w:val="13"/>
                <w:color w:val="auto"/>
              </w:rPr>
              <w:t>based on</w:t>
            </w:r>
          </w:p>
        </w:tc>
        <w:tc>
          <w:tcPr>
            <w:tcW w:w="1280" w:type="dxa"/>
            <w:vAlign w:val="bottom"/>
          </w:tcPr>
          <w:p>
            <w:pPr>
              <w:ind w:left="560"/>
              <w:spacing w:after="0" w:line="162" w:lineRule="exact"/>
              <w:rPr>
                <w:sz w:val="20"/>
                <w:szCs w:val="20"/>
                <w:color w:val="auto"/>
              </w:rPr>
            </w:pPr>
            <w:r>
              <w:rPr>
                <w:rFonts w:ascii="Arial" w:cs="Arial" w:eastAsia="Arial" w:hAnsi="Arial"/>
                <w:sz w:val="13"/>
                <w:szCs w:val="13"/>
                <w:color w:val="auto"/>
              </w:rPr>
              <w:t>Margin</w:t>
            </w:r>
            <w:r>
              <w:rPr>
                <w:rFonts w:ascii="Arial" w:cs="Arial" w:eastAsia="Arial" w:hAnsi="Arial"/>
                <w:sz w:val="16"/>
                <w:szCs w:val="16"/>
                <w:color w:val="auto"/>
                <w:vertAlign w:val="superscript"/>
              </w:rPr>
              <w:t>(4)</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tcPr>
          <w:p>
            <w:pPr>
              <w:jc w:val="center"/>
              <w:ind w:left="355"/>
              <w:spacing w:after="0" w:line="118" w:lineRule="exact"/>
              <w:rPr>
                <w:sz w:val="20"/>
                <w:szCs w:val="20"/>
                <w:color w:val="auto"/>
              </w:rPr>
            </w:pPr>
            <w:r>
              <w:rPr>
                <w:rFonts w:ascii="Arial" w:cs="Arial" w:eastAsia="Arial" w:hAnsi="Arial"/>
                <w:sz w:val="13"/>
                <w:szCs w:val="13"/>
                <w:color w:val="auto"/>
                <w:w w:val="92"/>
              </w:rPr>
              <w:t>LTM</w:t>
            </w: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tcPr>
          <w:p>
            <w:pPr>
              <w:ind w:left="780"/>
              <w:spacing w:after="0" w:line="117" w:lineRule="exact"/>
              <w:rPr>
                <w:sz w:val="20"/>
                <w:szCs w:val="20"/>
                <w:color w:val="auto"/>
              </w:rPr>
            </w:pPr>
            <w:r>
              <w:rPr>
                <w:rFonts w:ascii="Arial" w:cs="Arial" w:eastAsia="Arial" w:hAnsi="Arial"/>
                <w:sz w:val="13"/>
                <w:szCs w:val="13"/>
                <w:color w:val="auto"/>
              </w:rPr>
              <w:t>Adjusted</w:t>
            </w:r>
          </w:p>
        </w:tc>
        <w:tc>
          <w:tcPr>
            <w:tcW w:w="1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ind w:left="800"/>
              <w:spacing w:after="0"/>
              <w:rPr>
                <w:sz w:val="20"/>
                <w:szCs w:val="20"/>
                <w:color w:val="auto"/>
              </w:rPr>
            </w:pPr>
            <w:r>
              <w:rPr>
                <w:rFonts w:ascii="Arial" w:cs="Arial" w:eastAsia="Arial" w:hAnsi="Arial"/>
                <w:sz w:val="13"/>
                <w:szCs w:val="13"/>
                <w:color w:val="auto"/>
              </w:rPr>
              <w:t>EBITDA</w:t>
            </w:r>
            <w:r>
              <w:rPr>
                <w:rFonts w:ascii="Arial" w:cs="Arial" w:eastAsia="Arial" w:hAnsi="Arial"/>
                <w:sz w:val="16"/>
                <w:szCs w:val="16"/>
                <w:color w:val="auto"/>
                <w:vertAlign w:val="superscript"/>
              </w:rPr>
              <w:t>(3)</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4"/>
          </w:tcPr>
          <w:p>
            <w:pPr>
              <w:jc w:val="center"/>
              <w:spacing w:after="0"/>
              <w:rPr>
                <w:sz w:val="20"/>
                <w:szCs w:val="20"/>
                <w:color w:val="auto"/>
              </w:rPr>
            </w:pPr>
            <w:r>
              <w:rPr>
                <w:rFonts w:ascii="Arial" w:cs="Arial" w:eastAsia="Arial" w:hAnsi="Arial"/>
                <w:sz w:val="13"/>
                <w:szCs w:val="13"/>
                <w:color w:val="auto"/>
                <w:w w:val="97"/>
              </w:rPr>
              <w:t xml:space="preserve">Historical Trailing EBITDAMultiples </w:t>
            </w:r>
            <w:r>
              <w:rPr>
                <w:rFonts w:ascii="Arial" w:cs="Arial" w:eastAsia="Arial" w:hAnsi="Arial"/>
                <w:sz w:val="8"/>
                <w:szCs w:val="8"/>
                <w:color w:val="auto"/>
                <w:w w:val="97"/>
              </w:rPr>
              <w:t>(1)(2)</w:t>
            </w:r>
          </w:p>
        </w:tc>
        <w:tc>
          <w:tcPr>
            <w:tcW w:w="1580" w:type="dxa"/>
            <w:vAlign w:val="bottom"/>
          </w:tcPr>
          <w:p>
            <w:pPr>
              <w:spacing w:after="0"/>
              <w:rPr>
                <w:sz w:val="24"/>
                <w:szCs w:val="24"/>
                <w:color w:val="auto"/>
              </w:rPr>
            </w:pPr>
          </w:p>
        </w:tc>
        <w:tc>
          <w:tcPr>
            <w:tcW w:w="1280" w:type="dxa"/>
            <w:vAlign w:val="bottom"/>
          </w:tcPr>
          <w:p>
            <w:pPr>
              <w:jc w:val="center"/>
              <w:ind w:left="215"/>
              <w:spacing w:after="0"/>
              <w:rPr>
                <w:sz w:val="20"/>
                <w:szCs w:val="20"/>
                <w:color w:val="auto"/>
              </w:rPr>
            </w:pPr>
            <w:r>
              <w:rPr>
                <w:rFonts w:ascii="Arial" w:cs="Arial" w:eastAsia="Arial" w:hAnsi="Arial"/>
                <w:sz w:val="13"/>
                <w:szCs w:val="13"/>
                <w:color w:val="auto"/>
                <w:w w:val="99"/>
              </w:rPr>
              <w:t>$21.00 Offer as a</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jc w:val="center"/>
              <w:ind w:left="55"/>
              <w:spacing w:after="0"/>
              <w:rPr>
                <w:sz w:val="20"/>
                <w:szCs w:val="20"/>
                <w:color w:val="auto"/>
              </w:rPr>
            </w:pPr>
            <w:r>
              <w:rPr>
                <w:rFonts w:ascii="Arial" w:cs="Arial" w:eastAsia="Arial" w:hAnsi="Arial"/>
                <w:sz w:val="13"/>
                <w:szCs w:val="13"/>
                <w:color w:val="auto"/>
              </w:rPr>
              <w:t>$21.00 Offer as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80" w:type="dxa"/>
            <w:vAlign w:val="bottom"/>
          </w:tcPr>
          <w:p>
            <w:pPr>
              <w:jc w:val="center"/>
              <w:ind w:left="215"/>
              <w:spacing w:after="0"/>
              <w:rPr>
                <w:sz w:val="20"/>
                <w:szCs w:val="20"/>
                <w:color w:val="auto"/>
              </w:rPr>
            </w:pPr>
            <w:r>
              <w:rPr>
                <w:rFonts w:ascii="Arial" w:cs="Arial" w:eastAsia="Arial" w:hAnsi="Arial"/>
                <w:sz w:val="13"/>
                <w:szCs w:val="13"/>
                <w:color w:val="auto"/>
                <w:w w:val="98"/>
              </w:rPr>
              <w:t>Multiple of LTM</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2"/>
          </w:tcPr>
          <w:p>
            <w:pPr>
              <w:jc w:val="center"/>
              <w:ind w:right="840"/>
              <w:spacing w:after="0"/>
              <w:rPr>
                <w:sz w:val="20"/>
                <w:szCs w:val="20"/>
                <w:color w:val="auto"/>
              </w:rPr>
            </w:pPr>
            <w:r>
              <w:rPr>
                <w:rFonts w:ascii="Arial" w:cs="Arial" w:eastAsia="Arial" w:hAnsi="Arial"/>
                <w:sz w:val="13"/>
                <w:szCs w:val="13"/>
                <w:color w:val="auto"/>
                <w:w w:val="99"/>
              </w:rPr>
              <w:t>Multiples of EBITDA</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3"/>
                <w:szCs w:val="13"/>
                <w:color w:val="auto"/>
                <w:w w:val="97"/>
              </w:rPr>
              <w:t>Adjusted EBITDA</w:t>
            </w:r>
            <w:r>
              <w:rPr>
                <w:rFonts w:ascii="Arial" w:cs="Arial" w:eastAsia="Arial" w:hAnsi="Arial"/>
                <w:sz w:val="8"/>
                <w:szCs w:val="8"/>
                <w:color w:val="auto"/>
                <w:w w:val="97"/>
              </w:rPr>
              <w:t>(3)</w:t>
            </w:r>
          </w:p>
        </w:tc>
        <w:tc>
          <w:tcPr>
            <w:tcW w:w="2160" w:type="dxa"/>
            <w:vAlign w:val="bottom"/>
            <w:gridSpan w:val="3"/>
          </w:tcPr>
          <w:p>
            <w:pPr>
              <w:jc w:val="center"/>
              <w:ind w:right="780"/>
              <w:spacing w:after="0"/>
              <w:rPr>
                <w:sz w:val="20"/>
                <w:szCs w:val="20"/>
                <w:color w:val="auto"/>
              </w:rPr>
            </w:pPr>
            <w:r>
              <w:rPr>
                <w:rFonts w:ascii="Arial" w:cs="Arial" w:eastAsia="Arial" w:hAnsi="Arial"/>
                <w:sz w:val="13"/>
                <w:szCs w:val="13"/>
                <w:color w:val="auto"/>
                <w:w w:val="99"/>
              </w:rPr>
              <w:t>Assuming Normalized</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2"/>
          </w:tcPr>
          <w:p>
            <w:pPr>
              <w:jc w:val="center"/>
              <w:ind w:right="860"/>
              <w:spacing w:after="0"/>
              <w:rPr>
                <w:sz w:val="20"/>
                <w:szCs w:val="20"/>
                <w:color w:val="auto"/>
              </w:rPr>
            </w:pPr>
            <w:r>
              <w:rPr>
                <w:rFonts w:ascii="Arial" w:cs="Arial" w:eastAsia="Arial" w:hAnsi="Arial"/>
                <w:sz w:val="13"/>
                <w:szCs w:val="13"/>
                <w:color w:val="auto"/>
                <w:w w:val="97"/>
              </w:rPr>
              <w:t>Operating Margins</w:t>
            </w:r>
            <w:r>
              <w:rPr>
                <w:rFonts w:ascii="Arial" w:cs="Arial" w:eastAsia="Arial" w:hAnsi="Arial"/>
                <w:sz w:val="8"/>
                <w:szCs w:val="8"/>
                <w:color w:val="auto"/>
                <w:w w:val="97"/>
              </w:rPr>
              <w:t>(5)</w:t>
            </w:r>
          </w:p>
        </w:tc>
        <w:tc>
          <w:tcPr>
            <w:tcW w:w="0" w:type="dxa"/>
            <w:vAlign w:val="bottom"/>
          </w:tcPr>
          <w:p>
            <w:pPr>
              <w:spacing w:after="0"/>
              <w:rPr>
                <w:sz w:val="1"/>
                <w:szCs w:val="1"/>
                <w:color w:val="auto"/>
              </w:rPr>
            </w:pPr>
          </w:p>
        </w:tc>
      </w:tr>
      <w:tr>
        <w:trPr>
          <w:trHeight w:val="258"/>
        </w:trPr>
        <w:tc>
          <w:tcPr>
            <w:tcW w:w="220" w:type="dxa"/>
            <w:vAlign w:val="bottom"/>
          </w:tcPr>
          <w:p>
            <w:pPr>
              <w:jc w:val="right"/>
              <w:spacing w:after="0"/>
              <w:rPr>
                <w:sz w:val="20"/>
                <w:szCs w:val="20"/>
                <w:color w:val="auto"/>
              </w:rPr>
            </w:pPr>
            <w:r>
              <w:rPr>
                <w:rFonts w:ascii="Arial" w:cs="Arial" w:eastAsia="Arial" w:hAnsi="Arial"/>
                <w:sz w:val="14"/>
                <w:szCs w:val="14"/>
                <w:color w:val="auto"/>
                <w:w w:val="93"/>
              </w:rPr>
              <w:t>(1)</w:t>
            </w:r>
          </w:p>
        </w:tc>
        <w:tc>
          <w:tcPr>
            <w:tcW w:w="8980" w:type="dxa"/>
            <w:vAlign w:val="bottom"/>
            <w:gridSpan w:val="12"/>
          </w:tcPr>
          <w:p>
            <w:pPr>
              <w:ind w:left="20"/>
              <w:spacing w:after="0"/>
              <w:rPr>
                <w:sz w:val="20"/>
                <w:szCs w:val="20"/>
                <w:color w:val="auto"/>
              </w:rPr>
            </w:pPr>
            <w:r>
              <w:rPr>
                <w:rFonts w:ascii="Arial" w:cs="Arial" w:eastAsia="Arial" w:hAnsi="Arial"/>
                <w:sz w:val="14"/>
                <w:szCs w:val="14"/>
                <w:color w:val="auto"/>
              </w:rPr>
              <w:t>Historical trailing multiples calculated as follows: The numerator is the enterprise value derived from the prior quarter’s balance sheet and</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7920" w:type="dxa"/>
            <w:vAlign w:val="bottom"/>
            <w:gridSpan w:val="11"/>
          </w:tcPr>
          <w:p>
            <w:pPr>
              <w:ind w:left="60"/>
              <w:spacing w:after="0"/>
              <w:rPr>
                <w:sz w:val="20"/>
                <w:szCs w:val="20"/>
                <w:color w:val="auto"/>
              </w:rPr>
            </w:pPr>
            <w:r>
              <w:rPr>
                <w:rFonts w:ascii="Arial" w:cs="Arial" w:eastAsia="Arial" w:hAnsi="Arial"/>
                <w:sz w:val="14"/>
                <w:szCs w:val="14"/>
                <w:color w:val="auto"/>
              </w:rPr>
              <w:t>the final close price at the end of the current quarter. The denominator is the LTM EBITDA as of the prior quarter.</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0" w:type="dxa"/>
            <w:vAlign w:val="bottom"/>
          </w:tcPr>
          <w:p>
            <w:pPr>
              <w:jc w:val="right"/>
              <w:spacing w:after="0"/>
              <w:rPr>
                <w:sz w:val="20"/>
                <w:szCs w:val="20"/>
                <w:color w:val="auto"/>
              </w:rPr>
            </w:pPr>
            <w:r>
              <w:rPr>
                <w:rFonts w:ascii="Arial" w:cs="Arial" w:eastAsia="Arial" w:hAnsi="Arial"/>
                <w:sz w:val="14"/>
                <w:szCs w:val="14"/>
                <w:color w:val="auto"/>
                <w:w w:val="93"/>
              </w:rPr>
              <w:t>(2)</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Data per Capital IQ.</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 w:type="dxa"/>
            <w:vAlign w:val="bottom"/>
          </w:tcPr>
          <w:p>
            <w:pPr>
              <w:jc w:val="right"/>
              <w:spacing w:after="0"/>
              <w:rPr>
                <w:sz w:val="20"/>
                <w:szCs w:val="20"/>
                <w:color w:val="auto"/>
              </w:rPr>
            </w:pPr>
            <w:r>
              <w:rPr>
                <w:rFonts w:ascii="Arial" w:cs="Arial" w:eastAsia="Arial" w:hAnsi="Arial"/>
                <w:sz w:val="14"/>
                <w:szCs w:val="14"/>
                <w:color w:val="auto"/>
                <w:w w:val="93"/>
              </w:rPr>
              <w:t>(3)</w:t>
            </w:r>
          </w:p>
        </w:tc>
        <w:tc>
          <w:tcPr>
            <w:tcW w:w="2520" w:type="dxa"/>
            <w:vAlign w:val="bottom"/>
            <w:gridSpan w:val="4"/>
          </w:tcPr>
          <w:p>
            <w:pPr>
              <w:ind w:left="20"/>
              <w:spacing w:after="0"/>
              <w:rPr>
                <w:sz w:val="20"/>
                <w:szCs w:val="20"/>
                <w:color w:val="auto"/>
              </w:rPr>
            </w:pPr>
            <w:r>
              <w:rPr>
                <w:rFonts w:ascii="Arial" w:cs="Arial" w:eastAsia="Arial" w:hAnsi="Arial"/>
                <w:sz w:val="14"/>
                <w:szCs w:val="14"/>
                <w:color w:val="auto"/>
              </w:rPr>
              <w:t>Please see Appendix A for calculation.</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20" w:type="dxa"/>
            <w:vAlign w:val="bottom"/>
          </w:tcPr>
          <w:p>
            <w:pPr>
              <w:jc w:val="right"/>
              <w:spacing w:after="0"/>
              <w:rPr>
                <w:sz w:val="20"/>
                <w:szCs w:val="20"/>
                <w:color w:val="auto"/>
              </w:rPr>
            </w:pPr>
            <w:r>
              <w:rPr>
                <w:rFonts w:ascii="Arial" w:cs="Arial" w:eastAsia="Arial" w:hAnsi="Arial"/>
                <w:sz w:val="14"/>
                <w:szCs w:val="14"/>
                <w:color w:val="auto"/>
                <w:w w:val="93"/>
              </w:rPr>
              <w:t>(4)</w:t>
            </w:r>
          </w:p>
        </w:tc>
        <w:tc>
          <w:tcPr>
            <w:tcW w:w="1820" w:type="dxa"/>
            <w:vAlign w:val="bottom"/>
            <w:gridSpan w:val="3"/>
          </w:tcPr>
          <w:p>
            <w:pPr>
              <w:ind w:left="20"/>
              <w:spacing w:after="0"/>
              <w:rPr>
                <w:sz w:val="20"/>
                <w:szCs w:val="20"/>
                <w:color w:val="auto"/>
              </w:rPr>
            </w:pPr>
            <w:r>
              <w:rPr>
                <w:rFonts w:ascii="Arial" w:cs="Arial" w:eastAsia="Arial" w:hAnsi="Arial"/>
                <w:sz w:val="14"/>
                <w:szCs w:val="14"/>
                <w:color w:val="auto"/>
              </w:rPr>
              <w:t>Per Gold Kist’s public filings.</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182"/>
        </w:trPr>
        <w:tc>
          <w:tcPr>
            <w:tcW w:w="220" w:type="dxa"/>
            <w:vAlign w:val="bottom"/>
          </w:tcPr>
          <w:p>
            <w:pPr>
              <w:jc w:val="right"/>
              <w:spacing w:after="0"/>
              <w:rPr>
                <w:sz w:val="20"/>
                <w:szCs w:val="20"/>
                <w:color w:val="auto"/>
              </w:rPr>
            </w:pPr>
            <w:r>
              <w:rPr>
                <w:rFonts w:ascii="Arial" w:cs="Arial" w:eastAsia="Arial" w:hAnsi="Arial"/>
                <w:sz w:val="14"/>
                <w:szCs w:val="14"/>
                <w:color w:val="auto"/>
                <w:w w:val="93"/>
              </w:rPr>
              <w:t>(5)</w:t>
            </w:r>
          </w:p>
        </w:tc>
        <w:tc>
          <w:tcPr>
            <w:tcW w:w="2520" w:type="dxa"/>
            <w:vAlign w:val="bottom"/>
            <w:gridSpan w:val="4"/>
          </w:tcPr>
          <w:p>
            <w:pPr>
              <w:ind w:left="20"/>
              <w:spacing w:after="0"/>
              <w:rPr>
                <w:sz w:val="20"/>
                <w:szCs w:val="20"/>
                <w:color w:val="auto"/>
              </w:rPr>
            </w:pPr>
            <w:r>
              <w:rPr>
                <w:rFonts w:ascii="Arial" w:cs="Arial" w:eastAsia="Arial" w:hAnsi="Arial"/>
                <w:sz w:val="14"/>
                <w:szCs w:val="14"/>
                <w:color w:val="auto"/>
              </w:rPr>
              <w:t>Please see Appendix B for calculation.</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1440" w:top="1052" w:right="359" w:bottom="1440" w:gutter="0" w:footer="0" w:header="0"/>
        </w:sectPr>
      </w:pPr>
    </w:p>
    <w:bookmarkStart w:id="7" w:name="page8"/>
    <w:bookmarkEnd w:id="7"/>
    <w:p>
      <w:pPr>
        <w:ind w:left="820" w:right="2180"/>
        <w:spacing w:after="0" w:line="263" w:lineRule="auto"/>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Creates the Number One Chicken Company in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20"/>
        <w:spacing w:after="0"/>
        <w:rPr>
          <w:sz w:val="20"/>
          <w:szCs w:val="20"/>
          <w:color w:val="auto"/>
        </w:rPr>
      </w:pPr>
      <w:r>
        <w:rPr>
          <w:rFonts w:ascii="Arial" w:cs="Arial" w:eastAsia="Arial" w:hAnsi="Arial"/>
          <w:sz w:val="28"/>
          <w:szCs w:val="28"/>
          <w:b w:val="1"/>
          <w:bCs w:val="1"/>
          <w:color w:val="auto"/>
        </w:rPr>
        <w:t>U.S. Chicken Industry Leaders Market Share by Production</w:t>
      </w:r>
      <w:r>
        <w:rPr>
          <w:rFonts w:ascii="Arial" w:cs="Arial" w:eastAsia="Arial" w:hAnsi="Arial"/>
          <w:sz w:val="17"/>
          <w:szCs w:val="17"/>
          <w:b w:val="1"/>
          <w:bCs w:val="1"/>
          <w:color w:val="auto"/>
        </w:rPr>
        <w:t>(1)</w:t>
      </w:r>
    </w:p>
    <w:p>
      <w:pPr>
        <w:spacing w:after="0" w:line="370" w:lineRule="exact"/>
        <w:rPr>
          <w:sz w:val="20"/>
          <w:szCs w:val="20"/>
          <w:color w:val="auto"/>
        </w:rPr>
      </w:pPr>
    </w:p>
    <w:tbl>
      <w:tblPr>
        <w:tblLayout w:type="fixed"/>
        <w:tblInd w:w="1420" w:type="dxa"/>
        <w:tblCellMar>
          <w:top w:w="0" w:type="dxa"/>
          <w:left w:w="0" w:type="dxa"/>
          <w:bottom w:w="0" w:type="dxa"/>
          <w:right w:w="0" w:type="dxa"/>
        </w:tblCellMar>
      </w:tblPr>
      <w:tr>
        <w:trPr>
          <w:trHeight w:val="331"/>
        </w:trPr>
        <w:tc>
          <w:tcPr>
            <w:tcW w:w="2500" w:type="dxa"/>
            <w:vAlign w:val="bottom"/>
          </w:tcPr>
          <w:p>
            <w:pPr>
              <w:jc w:val="right"/>
              <w:ind w:right="226"/>
              <w:spacing w:after="0"/>
              <w:rPr>
                <w:sz w:val="20"/>
                <w:szCs w:val="20"/>
                <w:color w:val="auto"/>
              </w:rPr>
            </w:pPr>
            <w:r>
              <w:rPr>
                <w:rFonts w:ascii="Arial" w:cs="Arial" w:eastAsia="Arial" w:hAnsi="Arial"/>
                <w:sz w:val="19"/>
                <w:szCs w:val="19"/>
                <w:color w:val="auto"/>
                <w:w w:val="97"/>
              </w:rPr>
              <w:t>Pilgrim's Pride &amp; Gold Kist</w:t>
            </w:r>
          </w:p>
        </w:tc>
        <w:tc>
          <w:tcPr>
            <w:tcW w:w="4980" w:type="dxa"/>
            <w:vAlign w:val="bottom"/>
          </w:tcPr>
          <w:p>
            <w:pPr>
              <w:jc w:val="right"/>
              <w:spacing w:after="0"/>
              <w:rPr>
                <w:sz w:val="20"/>
                <w:szCs w:val="20"/>
                <w:color w:val="auto"/>
              </w:rPr>
            </w:pPr>
            <w:r>
              <w:rPr>
                <w:rFonts w:ascii="Arial" w:cs="Arial" w:eastAsia="Arial" w:hAnsi="Arial"/>
                <w:sz w:val="19"/>
                <w:szCs w:val="19"/>
                <w:color w:val="auto"/>
              </w:rPr>
              <w:t xml:space="preserve">PF 24.8% </w:t>
            </w:r>
            <w:r>
              <w:rPr>
                <w:rFonts w:ascii="Arial" w:cs="Arial" w:eastAsia="Arial" w:hAnsi="Arial"/>
                <w:sz w:val="25"/>
                <w:szCs w:val="25"/>
                <w:color w:val="auto"/>
                <w:vertAlign w:val="superscript"/>
              </w:rPr>
              <w:t>(2)</w:t>
            </w:r>
          </w:p>
        </w:tc>
      </w:tr>
      <w:tr>
        <w:trPr>
          <w:trHeight w:val="419"/>
        </w:trPr>
        <w:tc>
          <w:tcPr>
            <w:tcW w:w="2500" w:type="dxa"/>
            <w:vAlign w:val="bottom"/>
          </w:tcPr>
          <w:p>
            <w:pPr>
              <w:jc w:val="right"/>
              <w:ind w:right="206"/>
              <w:spacing w:after="0"/>
              <w:rPr>
                <w:sz w:val="20"/>
                <w:szCs w:val="20"/>
                <w:color w:val="auto"/>
              </w:rPr>
            </w:pPr>
            <w:r>
              <w:rPr>
                <w:rFonts w:ascii="Arial" w:cs="Arial" w:eastAsia="Arial" w:hAnsi="Arial"/>
                <w:sz w:val="19"/>
                <w:szCs w:val="19"/>
                <w:color w:val="auto"/>
              </w:rPr>
              <w:t>Tyson Foods</w:t>
            </w:r>
          </w:p>
        </w:tc>
        <w:tc>
          <w:tcPr>
            <w:tcW w:w="4980" w:type="dxa"/>
            <w:vAlign w:val="bottom"/>
          </w:tcPr>
          <w:p>
            <w:pPr>
              <w:jc w:val="right"/>
              <w:ind w:right="946"/>
              <w:spacing w:after="0"/>
              <w:rPr>
                <w:sz w:val="20"/>
                <w:szCs w:val="20"/>
                <w:color w:val="auto"/>
              </w:rPr>
            </w:pPr>
            <w:r>
              <w:rPr>
                <w:rFonts w:ascii="Arial" w:cs="Arial" w:eastAsia="Arial" w:hAnsi="Arial"/>
                <w:sz w:val="19"/>
                <w:szCs w:val="19"/>
                <w:color w:val="auto"/>
              </w:rPr>
              <w:t>21.4%</w:t>
            </w:r>
          </w:p>
        </w:tc>
      </w:tr>
      <w:tr>
        <w:trPr>
          <w:trHeight w:val="447"/>
        </w:trPr>
        <w:tc>
          <w:tcPr>
            <w:tcW w:w="2500" w:type="dxa"/>
            <w:vAlign w:val="bottom"/>
          </w:tcPr>
          <w:p>
            <w:pPr>
              <w:jc w:val="right"/>
              <w:ind w:right="206"/>
              <w:spacing w:after="0"/>
              <w:rPr>
                <w:sz w:val="20"/>
                <w:szCs w:val="20"/>
                <w:color w:val="auto"/>
              </w:rPr>
            </w:pPr>
            <w:r>
              <w:rPr>
                <w:rFonts w:ascii="Arial" w:cs="Arial" w:eastAsia="Arial" w:hAnsi="Arial"/>
                <w:sz w:val="19"/>
                <w:szCs w:val="19"/>
                <w:color w:val="auto"/>
              </w:rPr>
              <w:t>Pilgrim's Pride</w:t>
            </w:r>
          </w:p>
        </w:tc>
        <w:tc>
          <w:tcPr>
            <w:tcW w:w="4980" w:type="dxa"/>
            <w:vAlign w:val="bottom"/>
          </w:tcPr>
          <w:p>
            <w:pPr>
              <w:jc w:val="right"/>
              <w:ind w:right="1826"/>
              <w:spacing w:after="0"/>
              <w:rPr>
                <w:sz w:val="20"/>
                <w:szCs w:val="20"/>
                <w:color w:val="auto"/>
              </w:rPr>
            </w:pPr>
            <w:r>
              <w:rPr>
                <w:rFonts w:ascii="Arial" w:cs="Arial" w:eastAsia="Arial" w:hAnsi="Arial"/>
                <w:sz w:val="19"/>
                <w:szCs w:val="19"/>
                <w:color w:val="auto"/>
              </w:rPr>
              <w:t>16.0%</w:t>
            </w:r>
          </w:p>
        </w:tc>
      </w:tr>
      <w:tr>
        <w:trPr>
          <w:trHeight w:val="470"/>
        </w:trPr>
        <w:tc>
          <w:tcPr>
            <w:tcW w:w="2500" w:type="dxa"/>
            <w:vAlign w:val="bottom"/>
          </w:tcPr>
          <w:p>
            <w:pPr>
              <w:jc w:val="right"/>
              <w:ind w:right="226"/>
              <w:spacing w:after="0"/>
              <w:rPr>
                <w:sz w:val="20"/>
                <w:szCs w:val="20"/>
                <w:color w:val="auto"/>
              </w:rPr>
            </w:pPr>
            <w:r>
              <w:rPr>
                <w:rFonts w:ascii="Arial" w:cs="Arial" w:eastAsia="Arial" w:hAnsi="Arial"/>
                <w:sz w:val="19"/>
                <w:szCs w:val="19"/>
                <w:color w:val="auto"/>
              </w:rPr>
              <w:t>Gold Kist</w:t>
            </w:r>
          </w:p>
        </w:tc>
        <w:tc>
          <w:tcPr>
            <w:tcW w:w="4980" w:type="dxa"/>
            <w:vAlign w:val="bottom"/>
          </w:tcPr>
          <w:p>
            <w:pPr>
              <w:jc w:val="right"/>
              <w:ind w:right="3126"/>
              <w:spacing w:after="0"/>
              <w:rPr>
                <w:sz w:val="20"/>
                <w:szCs w:val="20"/>
                <w:color w:val="auto"/>
              </w:rPr>
            </w:pPr>
            <w:r>
              <w:rPr>
                <w:rFonts w:ascii="Arial" w:cs="Arial" w:eastAsia="Arial" w:hAnsi="Arial"/>
                <w:sz w:val="19"/>
                <w:szCs w:val="19"/>
                <w:color w:val="auto"/>
              </w:rPr>
              <w:t>8.8%</w:t>
            </w:r>
          </w:p>
        </w:tc>
      </w:tr>
      <w:tr>
        <w:trPr>
          <w:trHeight w:val="459"/>
        </w:trPr>
        <w:tc>
          <w:tcPr>
            <w:tcW w:w="2500" w:type="dxa"/>
            <w:vAlign w:val="bottom"/>
          </w:tcPr>
          <w:p>
            <w:pPr>
              <w:jc w:val="right"/>
              <w:ind w:right="186"/>
              <w:spacing w:after="0"/>
              <w:rPr>
                <w:sz w:val="20"/>
                <w:szCs w:val="20"/>
                <w:color w:val="auto"/>
              </w:rPr>
            </w:pPr>
            <w:r>
              <w:rPr>
                <w:rFonts w:ascii="Arial" w:cs="Arial" w:eastAsia="Arial" w:hAnsi="Arial"/>
                <w:sz w:val="19"/>
                <w:szCs w:val="19"/>
                <w:color w:val="auto"/>
              </w:rPr>
              <w:t>Perdue Farms</w:t>
            </w:r>
          </w:p>
        </w:tc>
        <w:tc>
          <w:tcPr>
            <w:tcW w:w="4980" w:type="dxa"/>
            <w:vAlign w:val="bottom"/>
          </w:tcPr>
          <w:p>
            <w:pPr>
              <w:jc w:val="right"/>
              <w:ind w:right="3366"/>
              <w:spacing w:after="0"/>
              <w:rPr>
                <w:sz w:val="20"/>
                <w:szCs w:val="20"/>
                <w:color w:val="auto"/>
              </w:rPr>
            </w:pPr>
            <w:r>
              <w:rPr>
                <w:rFonts w:ascii="Arial" w:cs="Arial" w:eastAsia="Arial" w:hAnsi="Arial"/>
                <w:sz w:val="19"/>
                <w:szCs w:val="19"/>
                <w:color w:val="auto"/>
              </w:rPr>
              <w:t>7.3%</w:t>
            </w:r>
          </w:p>
        </w:tc>
      </w:tr>
      <w:tr>
        <w:trPr>
          <w:trHeight w:val="470"/>
        </w:trPr>
        <w:tc>
          <w:tcPr>
            <w:tcW w:w="2500" w:type="dxa"/>
            <w:vAlign w:val="bottom"/>
          </w:tcPr>
          <w:p>
            <w:pPr>
              <w:jc w:val="right"/>
              <w:ind w:right="186"/>
              <w:spacing w:after="0"/>
              <w:rPr>
                <w:sz w:val="20"/>
                <w:szCs w:val="20"/>
                <w:color w:val="auto"/>
              </w:rPr>
            </w:pPr>
            <w:r>
              <w:rPr>
                <w:rFonts w:ascii="Arial" w:cs="Arial" w:eastAsia="Arial" w:hAnsi="Arial"/>
                <w:sz w:val="19"/>
                <w:szCs w:val="19"/>
                <w:color w:val="auto"/>
              </w:rPr>
              <w:t>Sanderson Farms</w:t>
            </w:r>
          </w:p>
        </w:tc>
        <w:tc>
          <w:tcPr>
            <w:tcW w:w="4980" w:type="dxa"/>
            <w:vAlign w:val="bottom"/>
          </w:tcPr>
          <w:p>
            <w:pPr>
              <w:jc w:val="right"/>
              <w:ind w:right="3866"/>
              <w:spacing w:after="0"/>
              <w:rPr>
                <w:sz w:val="20"/>
                <w:szCs w:val="20"/>
                <w:color w:val="auto"/>
              </w:rPr>
            </w:pPr>
            <w:r>
              <w:rPr>
                <w:rFonts w:ascii="Arial" w:cs="Arial" w:eastAsia="Arial" w:hAnsi="Arial"/>
                <w:sz w:val="19"/>
                <w:szCs w:val="19"/>
                <w:color w:val="auto"/>
              </w:rPr>
              <w:t>4.3%</w:t>
            </w:r>
          </w:p>
        </w:tc>
      </w:tr>
      <w:tr>
        <w:trPr>
          <w:trHeight w:val="447"/>
        </w:trPr>
        <w:tc>
          <w:tcPr>
            <w:tcW w:w="2500" w:type="dxa"/>
            <w:vAlign w:val="bottom"/>
          </w:tcPr>
          <w:p>
            <w:pPr>
              <w:jc w:val="right"/>
              <w:ind w:right="226"/>
              <w:spacing w:after="0"/>
              <w:rPr>
                <w:sz w:val="20"/>
                <w:szCs w:val="20"/>
                <w:color w:val="auto"/>
              </w:rPr>
            </w:pPr>
            <w:r>
              <w:rPr>
                <w:rFonts w:ascii="Arial" w:cs="Arial" w:eastAsia="Arial" w:hAnsi="Arial"/>
                <w:sz w:val="19"/>
                <w:szCs w:val="19"/>
                <w:color w:val="auto"/>
              </w:rPr>
              <w:t>Wayne Farms</w:t>
            </w:r>
          </w:p>
        </w:tc>
        <w:tc>
          <w:tcPr>
            <w:tcW w:w="4980" w:type="dxa"/>
            <w:vAlign w:val="bottom"/>
          </w:tcPr>
          <w:p>
            <w:pPr>
              <w:jc w:val="right"/>
              <w:ind w:right="3866"/>
              <w:spacing w:after="0"/>
              <w:rPr>
                <w:sz w:val="20"/>
                <w:szCs w:val="20"/>
                <w:color w:val="auto"/>
              </w:rPr>
            </w:pPr>
            <w:r>
              <w:rPr>
                <w:rFonts w:ascii="Arial" w:cs="Arial" w:eastAsia="Arial" w:hAnsi="Arial"/>
                <w:sz w:val="19"/>
                <w:szCs w:val="19"/>
                <w:color w:val="auto"/>
              </w:rPr>
              <w:t>4.3%</w:t>
            </w:r>
          </w:p>
        </w:tc>
      </w:tr>
      <w:tr>
        <w:trPr>
          <w:trHeight w:val="470"/>
        </w:trPr>
        <w:tc>
          <w:tcPr>
            <w:tcW w:w="2500" w:type="dxa"/>
            <w:vAlign w:val="bottom"/>
          </w:tcPr>
          <w:p>
            <w:pPr>
              <w:jc w:val="right"/>
              <w:ind w:right="206"/>
              <w:spacing w:after="0"/>
              <w:rPr>
                <w:sz w:val="20"/>
                <w:szCs w:val="20"/>
                <w:color w:val="auto"/>
              </w:rPr>
            </w:pPr>
            <w:r>
              <w:rPr>
                <w:rFonts w:ascii="Arial" w:cs="Arial" w:eastAsia="Arial" w:hAnsi="Arial"/>
                <w:sz w:val="19"/>
                <w:szCs w:val="19"/>
                <w:color w:val="auto"/>
              </w:rPr>
              <w:t>Mountaire Farms</w:t>
            </w:r>
          </w:p>
        </w:tc>
        <w:tc>
          <w:tcPr>
            <w:tcW w:w="4980" w:type="dxa"/>
            <w:vAlign w:val="bottom"/>
          </w:tcPr>
          <w:p>
            <w:pPr>
              <w:jc w:val="right"/>
              <w:ind w:right="3926"/>
              <w:spacing w:after="0"/>
              <w:rPr>
                <w:sz w:val="20"/>
                <w:szCs w:val="20"/>
                <w:color w:val="auto"/>
              </w:rPr>
            </w:pPr>
            <w:r>
              <w:rPr>
                <w:rFonts w:ascii="Arial" w:cs="Arial" w:eastAsia="Arial" w:hAnsi="Arial"/>
                <w:sz w:val="19"/>
                <w:szCs w:val="19"/>
                <w:color w:val="auto"/>
              </w:rPr>
              <w:t>4.0%</w:t>
            </w:r>
          </w:p>
        </w:tc>
      </w:tr>
      <w:tr>
        <w:trPr>
          <w:trHeight w:val="459"/>
        </w:trPr>
        <w:tc>
          <w:tcPr>
            <w:tcW w:w="2500" w:type="dxa"/>
            <w:vAlign w:val="bottom"/>
          </w:tcPr>
          <w:p>
            <w:pPr>
              <w:jc w:val="right"/>
              <w:ind w:right="206"/>
              <w:spacing w:after="0"/>
              <w:rPr>
                <w:sz w:val="20"/>
                <w:szCs w:val="20"/>
                <w:color w:val="auto"/>
              </w:rPr>
            </w:pPr>
            <w:r>
              <w:rPr>
                <w:rFonts w:ascii="Arial" w:cs="Arial" w:eastAsia="Arial" w:hAnsi="Arial"/>
                <w:sz w:val="19"/>
                <w:szCs w:val="19"/>
                <w:color w:val="auto"/>
              </w:rPr>
              <w:t>Foster Farms</w:t>
            </w:r>
          </w:p>
        </w:tc>
        <w:tc>
          <w:tcPr>
            <w:tcW w:w="4980" w:type="dxa"/>
            <w:vAlign w:val="bottom"/>
          </w:tcPr>
          <w:p>
            <w:pPr>
              <w:jc w:val="right"/>
              <w:ind w:right="4166"/>
              <w:spacing w:after="0"/>
              <w:rPr>
                <w:sz w:val="20"/>
                <w:szCs w:val="20"/>
                <w:color w:val="auto"/>
              </w:rPr>
            </w:pPr>
            <w:r>
              <w:rPr>
                <w:rFonts w:ascii="Arial" w:cs="Arial" w:eastAsia="Arial" w:hAnsi="Arial"/>
                <w:sz w:val="19"/>
                <w:szCs w:val="19"/>
                <w:color w:val="auto"/>
              </w:rPr>
              <w:t>2.5%</w:t>
            </w:r>
          </w:p>
        </w:tc>
      </w:tr>
    </w:tbl>
    <w:p>
      <w:pPr>
        <w:spacing w:after="0" w:line="380"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Source: WATT Poultry USA, January 2006.</w:t>
      </w:r>
    </w:p>
    <w:p>
      <w:pPr>
        <w:ind w:left="1620" w:hanging="239"/>
        <w:spacing w:after="0" w:line="231" w:lineRule="auto"/>
        <w:tabs>
          <w:tab w:leader="none" w:pos="1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Ready-To-Cook million pounds per week.</w:t>
      </w:r>
    </w:p>
    <w:p>
      <w:pPr>
        <w:ind w:left="1620" w:hanging="239"/>
        <w:spacing w:after="0"/>
        <w:tabs>
          <w:tab w:leader="none" w:pos="16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As used in this presentation, PF = Pro Forma.</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00"/>
          </w:cols>
          <w:pgMar w:left="1440" w:top="488" w:right="359" w:bottom="1440" w:gutter="0" w:footer="0" w:header="0"/>
        </w:sectPr>
      </w:pPr>
    </w:p>
    <w:bookmarkStart w:id="8" w:name="page9"/>
    <w:bookmarkEnd w:id="8"/>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Formidable Protein Industry Player</w:t>
      </w:r>
    </w:p>
    <w:p>
      <w:pPr>
        <w:spacing w:after="0" w:line="290" w:lineRule="exact"/>
        <w:rPr>
          <w:sz w:val="20"/>
          <w:szCs w:val="20"/>
          <w:color w:val="auto"/>
        </w:rPr>
      </w:pPr>
    </w:p>
    <w:p>
      <w:pPr>
        <w:ind w:left="860"/>
        <w:spacing w:after="0"/>
        <w:rPr>
          <w:sz w:val="20"/>
          <w:szCs w:val="20"/>
          <w:color w:val="auto"/>
        </w:rPr>
      </w:pPr>
      <w:r>
        <w:rPr>
          <w:rFonts w:ascii="Arial" w:cs="Arial" w:eastAsia="Arial" w:hAnsi="Arial"/>
          <w:sz w:val="28"/>
          <w:szCs w:val="28"/>
          <w:color w:val="004E90"/>
        </w:rPr>
        <w:t xml:space="preserve">– </w:t>
      </w:r>
      <w:r>
        <w:rPr>
          <w:rFonts w:ascii="Arial" w:cs="Arial" w:eastAsia="Arial" w:hAnsi="Arial"/>
          <w:sz w:val="28"/>
          <w:szCs w:val="28"/>
          <w:color w:val="000000"/>
        </w:rPr>
        <w:t>Combined company would be the #3 U.S. protein company by revenue</w:t>
      </w:r>
    </w:p>
    <w:p>
      <w:pPr>
        <w:spacing w:after="0" w:line="77" w:lineRule="exact"/>
        <w:rPr>
          <w:sz w:val="20"/>
          <w:szCs w:val="20"/>
          <w:color w:val="auto"/>
        </w:rPr>
      </w:pPr>
    </w:p>
    <w:p>
      <w:pPr>
        <w:ind w:left="860"/>
        <w:spacing w:after="0"/>
        <w:rPr>
          <w:sz w:val="20"/>
          <w:szCs w:val="20"/>
          <w:color w:val="auto"/>
        </w:rPr>
      </w:pPr>
      <w:r>
        <w:rPr>
          <w:rFonts w:ascii="Arial" w:cs="Arial" w:eastAsia="Arial" w:hAnsi="Arial"/>
          <w:sz w:val="28"/>
          <w:szCs w:val="28"/>
          <w:color w:val="004E90"/>
        </w:rPr>
        <w:t xml:space="preserve">– </w:t>
      </w:r>
      <w:r>
        <w:rPr>
          <w:rFonts w:ascii="Arial" w:cs="Arial" w:eastAsia="Arial" w:hAnsi="Arial"/>
          <w:sz w:val="28"/>
          <w:szCs w:val="28"/>
          <w:color w:val="000000"/>
        </w:rPr>
        <w:t>Largest pure-play dedicated to chicken</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8"/>
          <w:szCs w:val="28"/>
          <w:b w:val="1"/>
          <w:bCs w:val="1"/>
          <w:color w:val="auto"/>
        </w:rPr>
        <w:t>LTM Revenues</w:t>
      </w:r>
    </w:p>
    <w:p>
      <w:pPr>
        <w:sectPr>
          <w:pgSz w:w="11900" w:h="16838" w:orient="portrait"/>
          <w:cols w:equalWidth="0" w:num="1">
            <w:col w:w="10100"/>
          </w:cols>
          <w:pgMar w:left="1440" w:top="1052" w:right="359" w:bottom="1440" w:gutter="0" w:footer="0" w:header="0"/>
        </w:sectPr>
      </w:pPr>
    </w:p>
    <w:p>
      <w:pPr>
        <w:spacing w:after="0" w:line="2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in millions)</w:t>
      </w:r>
    </w:p>
    <w:p>
      <w:pPr>
        <w:spacing w:after="0" w:line="200" w:lineRule="exact"/>
        <w:rPr>
          <w:sz w:val="20"/>
          <w:szCs w:val="20"/>
          <w:color w:val="auto"/>
        </w:rPr>
      </w:pPr>
    </w:p>
    <w:p>
      <w:pPr>
        <w:spacing w:after="0" w:line="38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Tyson Foods</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Smithfield</w:t>
      </w:r>
      <w:r>
        <w:rPr>
          <w:rFonts w:ascii="Arial" w:cs="Arial" w:eastAsia="Arial" w:hAnsi="Arial"/>
          <w:sz w:val="18"/>
          <w:szCs w:val="18"/>
          <w:b w:val="1"/>
          <w:bCs w:val="1"/>
          <w:color w:val="auto"/>
          <w:vertAlign w:val="superscript"/>
        </w:rPr>
        <w:t>(1)</w:t>
      </w:r>
    </w:p>
    <w:p>
      <w:pPr>
        <w:spacing w:after="0" w:line="69"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Foods</w:t>
      </w:r>
    </w:p>
    <w:p>
      <w:pPr>
        <w:spacing w:after="0" w:line="27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Pilgrim's Pride &amp;</w:t>
      </w:r>
    </w:p>
    <w:p>
      <w:pPr>
        <w:spacing w:after="0" w:line="3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Gold Kist</w:t>
      </w:r>
    </w:p>
    <w:p>
      <w:pPr>
        <w:spacing w:after="0" w:line="3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Hormel Foods</w:t>
      </w:r>
    </w:p>
    <w:p>
      <w:pPr>
        <w:spacing w:after="0" w:line="200" w:lineRule="exact"/>
        <w:rPr>
          <w:sz w:val="20"/>
          <w:szCs w:val="20"/>
          <w:color w:val="auto"/>
        </w:rPr>
      </w:pPr>
    </w:p>
    <w:p>
      <w:pPr>
        <w:spacing w:after="0" w:line="29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Pilgrim's Pride</w:t>
      </w:r>
    </w:p>
    <w:p>
      <w:pPr>
        <w:spacing w:after="0" w:line="200" w:lineRule="exact"/>
        <w:rPr>
          <w:sz w:val="20"/>
          <w:szCs w:val="20"/>
          <w:color w:val="auto"/>
        </w:rPr>
      </w:pPr>
    </w:p>
    <w:p>
      <w:pPr>
        <w:spacing w:after="0" w:line="298"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Gold Kist</w:t>
      </w:r>
    </w:p>
    <w:p>
      <w:pPr>
        <w:spacing w:after="0" w:line="36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Sanderson</w:t>
      </w:r>
    </w:p>
    <w:p>
      <w:pPr>
        <w:spacing w:after="0" w:line="39"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Farms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360"/>
        <w:spacing w:after="0"/>
        <w:rPr>
          <w:sz w:val="20"/>
          <w:szCs w:val="20"/>
          <w:color w:val="auto"/>
        </w:rPr>
      </w:pPr>
      <w:r>
        <w:rPr>
          <w:rFonts w:ascii="Arial" w:cs="Arial" w:eastAsia="Arial" w:hAnsi="Arial"/>
          <w:sz w:val="15"/>
          <w:szCs w:val="15"/>
          <w:color w:val="auto"/>
        </w:rPr>
        <w:t>$11,183</w:t>
      </w:r>
    </w:p>
    <w:p>
      <w:pPr>
        <w:spacing w:after="0" w:line="200" w:lineRule="exact"/>
        <w:rPr>
          <w:sz w:val="20"/>
          <w:szCs w:val="20"/>
          <w:color w:val="auto"/>
        </w:rPr>
      </w:pPr>
    </w:p>
    <w:p>
      <w:pPr>
        <w:spacing w:after="0" w:line="298" w:lineRule="exact"/>
        <w:rPr>
          <w:sz w:val="20"/>
          <w:szCs w:val="20"/>
          <w:color w:val="auto"/>
        </w:rPr>
      </w:pPr>
    </w:p>
    <w:p>
      <w:pPr>
        <w:ind w:left="740"/>
        <w:spacing w:after="0"/>
        <w:rPr>
          <w:sz w:val="20"/>
          <w:szCs w:val="20"/>
          <w:color w:val="auto"/>
        </w:rPr>
      </w:pPr>
      <w:r>
        <w:rPr>
          <w:rFonts w:ascii="Arial" w:cs="Arial" w:eastAsia="Arial" w:hAnsi="Arial"/>
          <w:sz w:val="15"/>
          <w:szCs w:val="15"/>
          <w:color w:val="auto"/>
        </w:rPr>
        <w:t>PF $7,363</w:t>
      </w:r>
    </w:p>
    <w:p>
      <w:pPr>
        <w:spacing w:after="0" w:line="200" w:lineRule="exact"/>
        <w:rPr>
          <w:sz w:val="20"/>
          <w:szCs w:val="20"/>
          <w:color w:val="auto"/>
        </w:rPr>
      </w:pPr>
    </w:p>
    <w:p>
      <w:pPr>
        <w:spacing w:after="0" w:line="2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$5,746</w:t>
      </w:r>
    </w:p>
    <w:p>
      <w:pPr>
        <w:spacing w:after="0" w:line="200" w:lineRule="exact"/>
        <w:rPr>
          <w:sz w:val="20"/>
          <w:szCs w:val="20"/>
          <w:color w:val="auto"/>
        </w:rPr>
      </w:pPr>
    </w:p>
    <w:p>
      <w:pPr>
        <w:spacing w:after="0" w:line="28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$5,236</w:t>
      </w:r>
    </w:p>
    <w:p>
      <w:pPr>
        <w:spacing w:after="0" w:line="200" w:lineRule="exact"/>
        <w:rPr>
          <w:sz w:val="20"/>
          <w:szCs w:val="20"/>
          <w:color w:val="auto"/>
        </w:rPr>
      </w:pPr>
    </w:p>
    <w:p>
      <w:pPr>
        <w:spacing w:after="0" w:line="2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$2,127</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$1,048</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ind w:left="2920"/>
        <w:spacing w:after="0"/>
        <w:tabs>
          <w:tab w:leader="none" w:pos="3700" w:val="left"/>
          <w:tab w:leader="none" w:pos="4380" w:val="left"/>
        </w:tabs>
        <w:rPr>
          <w:sz w:val="20"/>
          <w:szCs w:val="20"/>
          <w:color w:val="auto"/>
        </w:rPr>
      </w:pPr>
      <w:r>
        <w:rPr>
          <w:rFonts w:ascii="Arial" w:cs="Arial" w:eastAsia="Arial" w:hAnsi="Arial"/>
          <w:sz w:val="15"/>
          <w:szCs w:val="15"/>
          <w:b w:val="1"/>
          <w:bCs w:val="1"/>
          <w:color w:val="auto"/>
        </w:rPr>
        <w:t>Chicken</w:t>
        <w:tab/>
        <w:t>Beef</w:t>
      </w:r>
      <w:r>
        <w:rPr>
          <w:sz w:val="20"/>
          <w:szCs w:val="20"/>
          <w:color w:val="auto"/>
        </w:rPr>
        <w:tab/>
      </w:r>
      <w:r>
        <w:rPr>
          <w:rFonts w:ascii="Arial" w:cs="Arial" w:eastAsia="Arial" w:hAnsi="Arial"/>
          <w:sz w:val="15"/>
          <w:szCs w:val="15"/>
          <w:b w:val="1"/>
          <w:bCs w:val="1"/>
          <w:color w:val="auto"/>
        </w:rPr>
        <w:t>Pork</w:t>
      </w:r>
    </w:p>
    <w:p>
      <w:pPr>
        <w:spacing w:after="0" w:line="200" w:lineRule="exact"/>
        <w:rPr>
          <w:sz w:val="20"/>
          <w:szCs w:val="20"/>
          <w:color w:val="auto"/>
        </w:rPr>
      </w:pPr>
    </w:p>
    <w:p>
      <w:pPr>
        <w:spacing w:after="0" w:line="292"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$25,559</w:t>
      </w:r>
      <w:r>
        <w:rPr>
          <w:sz w:val="20"/>
          <w:szCs w:val="20"/>
          <w:color w:val="auto"/>
        </w:rPr>
        <w:tab/>
      </w:r>
      <w:r>
        <w:rPr>
          <w:rFonts w:ascii="Arial" w:cs="Arial" w:eastAsia="Arial" w:hAnsi="Arial"/>
          <w:sz w:val="15"/>
          <w:szCs w:val="15"/>
          <w:color w:val="auto"/>
        </w:rPr>
        <w:t>Tyson Foods</w:t>
      </w:r>
    </w:p>
    <w:p>
      <w:pPr>
        <w:spacing w:after="0" w:line="38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Smithfield</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Foods</w:t>
      </w:r>
    </w:p>
    <w:p>
      <w:pPr>
        <w:spacing w:after="0" w:line="333"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Pilgrim’s Pride &amp;</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Gold Kist</w:t>
      </w:r>
    </w:p>
    <w:p>
      <w:pPr>
        <w:spacing w:after="0" w:line="368"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Hormel Foods</w:t>
      </w:r>
    </w:p>
    <w:p>
      <w:pPr>
        <w:spacing w:after="0" w:line="200" w:lineRule="exact"/>
        <w:rPr>
          <w:sz w:val="20"/>
          <w:szCs w:val="20"/>
          <w:color w:val="auto"/>
        </w:rPr>
      </w:pP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Pilgrim’s Pride</w:t>
      </w:r>
    </w:p>
    <w:p>
      <w:pPr>
        <w:spacing w:after="0" w:line="200" w:lineRule="exact"/>
        <w:rPr>
          <w:sz w:val="20"/>
          <w:szCs w:val="20"/>
          <w:color w:val="auto"/>
        </w:rPr>
      </w:pPr>
    </w:p>
    <w:p>
      <w:pPr>
        <w:spacing w:after="0" w:line="274"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Gold Kist</w:t>
      </w:r>
    </w:p>
    <w:p>
      <w:pPr>
        <w:spacing w:after="0" w:line="380"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Sanderson</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Farms</w:t>
      </w:r>
    </w:p>
    <w:p>
      <w:pPr>
        <w:spacing w:after="0" w:line="235" w:lineRule="exact"/>
        <w:rPr>
          <w:sz w:val="20"/>
          <w:szCs w:val="20"/>
          <w:color w:val="auto"/>
        </w:rPr>
      </w:pPr>
    </w:p>
    <w:p>
      <w:pPr>
        <w:sectPr>
          <w:pgSz w:w="11900" w:h="16838" w:orient="portrait"/>
          <w:cols w:equalWidth="0" w:num="3">
            <w:col w:w="2080" w:space="140"/>
            <w:col w:w="2060" w:space="720"/>
            <w:col w:w="5100"/>
          </w:cols>
          <w:pgMar w:left="1440" w:top="1052" w:right="359" w:bottom="1440" w:gutter="0" w:footer="0" w:header="0"/>
          <w:type w:val="continuous"/>
        </w:sectPr>
      </w:pPr>
    </w:p>
    <w:p>
      <w:pPr>
        <w:spacing w:after="0" w:line="42"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7260" w:type="dxa"/>
            <w:vAlign w:val="bottom"/>
          </w:tcPr>
          <w:p>
            <w:pPr>
              <w:spacing w:after="0"/>
              <w:rPr>
                <w:sz w:val="20"/>
                <w:szCs w:val="20"/>
                <w:color w:val="auto"/>
              </w:rPr>
            </w:pPr>
            <w:r>
              <w:rPr>
                <w:rFonts w:ascii="Arial" w:cs="Arial" w:eastAsia="Arial" w:hAnsi="Arial"/>
                <w:sz w:val="13"/>
                <w:szCs w:val="13"/>
                <w:color w:val="auto"/>
              </w:rPr>
              <w:t>Note: LTM results through the most recent twelve-month reporting period for each public entity.</w:t>
            </w:r>
          </w:p>
        </w:tc>
        <w:tc>
          <w:tcPr>
            <w:tcW w:w="19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155"/>
        </w:trPr>
        <w:tc>
          <w:tcPr>
            <w:tcW w:w="7260" w:type="dxa"/>
            <w:vAlign w:val="bottom"/>
          </w:tcPr>
          <w:p>
            <w:pPr>
              <w:spacing w:after="0"/>
              <w:rPr>
                <w:sz w:val="20"/>
                <w:szCs w:val="20"/>
                <w:color w:val="auto"/>
              </w:rPr>
            </w:pPr>
            <w:r>
              <w:rPr>
                <w:rFonts w:ascii="Arial" w:cs="Arial" w:eastAsia="Arial" w:hAnsi="Arial"/>
                <w:sz w:val="13"/>
                <w:szCs w:val="13"/>
                <w:color w:val="auto"/>
              </w:rPr>
              <w:t>(1) Does not include pro forma results from pending acquisition of PremiumStandard Farms.</w:t>
            </w:r>
          </w:p>
        </w:tc>
        <w:tc>
          <w:tcPr>
            <w:tcW w:w="1920" w:type="dxa"/>
            <w:vAlign w:val="bottom"/>
          </w:tcPr>
          <w:p>
            <w:pPr>
              <w:spacing w:after="0"/>
              <w:rPr>
                <w:sz w:val="13"/>
                <w:szCs w:val="13"/>
                <w:color w:val="auto"/>
              </w:rPr>
            </w:pPr>
          </w:p>
        </w:tc>
      </w:tr>
    </w:tbl>
    <w:p>
      <w:pPr>
        <w:sectPr>
          <w:pgSz w:w="11900" w:h="16838" w:orient="portrait"/>
          <w:cols w:equalWidth="0" w:num="1">
            <w:col w:w="10100"/>
          </w:cols>
          <w:pgMar w:left="1440" w:top="1052" w:right="359" w:bottom="1440" w:gutter="0" w:footer="0" w:header="0"/>
          <w:type w:val="continuous"/>
        </w:sectPr>
      </w:pPr>
    </w:p>
    <w:bookmarkStart w:id="9" w:name="page10"/>
    <w:bookmarkEnd w:id="9"/>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Powerful Combination</w:t>
      </w:r>
    </w:p>
    <w:p>
      <w:pPr>
        <w:spacing w:after="0" w:line="200" w:lineRule="exact"/>
        <w:rPr>
          <w:sz w:val="20"/>
          <w:szCs w:val="20"/>
          <w:color w:val="auto"/>
        </w:rPr>
      </w:pPr>
    </w:p>
    <w:p>
      <w:pPr>
        <w:spacing w:after="0" w:line="337" w:lineRule="exact"/>
        <w:rPr>
          <w:sz w:val="20"/>
          <w:szCs w:val="20"/>
          <w:color w:val="auto"/>
        </w:rPr>
      </w:pPr>
    </w:p>
    <w:p>
      <w:pPr>
        <w:ind w:left="1040"/>
        <w:spacing w:after="0"/>
        <w:rPr>
          <w:sz w:val="20"/>
          <w:szCs w:val="20"/>
          <w:color w:val="auto"/>
        </w:rPr>
      </w:pPr>
      <w:r>
        <w:rPr>
          <w:rFonts w:ascii="Arial" w:cs="Arial" w:eastAsia="Arial" w:hAnsi="Arial"/>
          <w:sz w:val="28"/>
          <w:szCs w:val="28"/>
          <w:color w:val="004E90"/>
        </w:rPr>
        <w:t xml:space="preserve">– </w:t>
      </w:r>
      <w:r>
        <w:rPr>
          <w:rFonts w:ascii="Arial" w:cs="Arial" w:eastAsia="Arial" w:hAnsi="Arial"/>
          <w:sz w:val="28"/>
          <w:szCs w:val="28"/>
          <w:color w:val="000000"/>
        </w:rPr>
        <w:t>Delivers compelling economics to shareholders of both companies</w:t>
      </w:r>
    </w:p>
    <w:p>
      <w:pPr>
        <w:spacing w:after="0" w:line="148" w:lineRule="exact"/>
        <w:rPr>
          <w:sz w:val="20"/>
          <w:szCs w:val="20"/>
          <w:color w:val="auto"/>
        </w:rPr>
      </w:pPr>
    </w:p>
    <w:p>
      <w:pPr>
        <w:ind w:left="1600" w:hanging="208"/>
        <w:spacing w:after="0"/>
        <w:tabs>
          <w:tab w:leader="none" w:pos="1600" w:val="left"/>
        </w:tabs>
        <w:numPr>
          <w:ilvl w:val="1"/>
          <w:numId w:val="13"/>
        </w:numPr>
        <w:rPr>
          <w:rFonts w:ascii="Arial" w:cs="Arial" w:eastAsia="Arial" w:hAnsi="Arial"/>
          <w:sz w:val="28"/>
          <w:szCs w:val="28"/>
          <w:color w:val="004E90"/>
        </w:rPr>
      </w:pPr>
      <w:r>
        <w:rPr>
          <w:rFonts w:ascii="Arial" w:cs="Arial" w:eastAsia="Arial" w:hAnsi="Arial"/>
          <w:sz w:val="28"/>
          <w:szCs w:val="28"/>
          <w:color w:val="auto"/>
        </w:rPr>
        <w:t>Balanced portfolio of fresh chicken and value-added products</w:t>
      </w:r>
    </w:p>
    <w:p>
      <w:pPr>
        <w:spacing w:after="0" w:line="148" w:lineRule="exact"/>
        <w:rPr>
          <w:rFonts w:ascii="Arial" w:cs="Arial" w:eastAsia="Arial" w:hAnsi="Arial"/>
          <w:sz w:val="28"/>
          <w:szCs w:val="28"/>
          <w:color w:val="004E90"/>
        </w:rPr>
      </w:pPr>
    </w:p>
    <w:p>
      <w:pPr>
        <w:ind w:left="1600" w:hanging="208"/>
        <w:spacing w:after="0"/>
        <w:tabs>
          <w:tab w:leader="none" w:pos="1600" w:val="left"/>
        </w:tabs>
        <w:numPr>
          <w:ilvl w:val="1"/>
          <w:numId w:val="13"/>
        </w:numPr>
        <w:rPr>
          <w:rFonts w:ascii="Arial" w:cs="Arial" w:eastAsia="Arial" w:hAnsi="Arial"/>
          <w:sz w:val="28"/>
          <w:szCs w:val="28"/>
          <w:color w:val="004E90"/>
        </w:rPr>
      </w:pPr>
      <w:r>
        <w:rPr>
          <w:rFonts w:ascii="Arial" w:cs="Arial" w:eastAsia="Arial" w:hAnsi="Arial"/>
          <w:sz w:val="28"/>
          <w:szCs w:val="28"/>
          <w:color w:val="auto"/>
        </w:rPr>
        <w:t>Further economies of scale</w:t>
      </w:r>
    </w:p>
    <w:p>
      <w:pPr>
        <w:spacing w:after="0" w:line="160" w:lineRule="exact"/>
        <w:rPr>
          <w:rFonts w:ascii="Arial" w:cs="Arial" w:eastAsia="Arial" w:hAnsi="Arial"/>
          <w:sz w:val="28"/>
          <w:szCs w:val="28"/>
          <w:color w:val="004E90"/>
        </w:rPr>
      </w:pPr>
    </w:p>
    <w:p>
      <w:pPr>
        <w:ind w:left="1600" w:hanging="208"/>
        <w:spacing w:after="0"/>
        <w:tabs>
          <w:tab w:leader="none" w:pos="1600" w:val="left"/>
        </w:tabs>
        <w:numPr>
          <w:ilvl w:val="1"/>
          <w:numId w:val="13"/>
        </w:numPr>
        <w:rPr>
          <w:rFonts w:ascii="Arial" w:cs="Arial" w:eastAsia="Arial" w:hAnsi="Arial"/>
          <w:sz w:val="28"/>
          <w:szCs w:val="28"/>
          <w:color w:val="004E90"/>
        </w:rPr>
      </w:pPr>
      <w:r>
        <w:rPr>
          <w:rFonts w:ascii="Arial" w:cs="Arial" w:eastAsia="Arial" w:hAnsi="Arial"/>
          <w:sz w:val="28"/>
          <w:szCs w:val="28"/>
          <w:color w:val="auto"/>
        </w:rPr>
        <w:t>Estimated synergies of $50 million</w:t>
      </w:r>
    </w:p>
    <w:p>
      <w:pPr>
        <w:spacing w:after="0" w:line="148" w:lineRule="exact"/>
        <w:rPr>
          <w:rFonts w:ascii="Arial" w:cs="Arial" w:eastAsia="Arial" w:hAnsi="Arial"/>
          <w:sz w:val="28"/>
          <w:szCs w:val="28"/>
          <w:color w:val="004E90"/>
        </w:rPr>
      </w:pPr>
    </w:p>
    <w:p>
      <w:pPr>
        <w:ind w:left="1740"/>
        <w:spacing w:after="0"/>
        <w:rPr>
          <w:rFonts w:ascii="Arial" w:cs="Arial" w:eastAsia="Arial" w:hAnsi="Arial"/>
          <w:sz w:val="28"/>
          <w:szCs w:val="28"/>
          <w:color w:val="004E90"/>
        </w:rPr>
      </w:pPr>
      <w:r>
        <w:rPr>
          <w:rFonts w:ascii="Arial" w:cs="Arial" w:eastAsia="Arial" w:hAnsi="Arial"/>
          <w:sz w:val="28"/>
          <w:szCs w:val="28"/>
          <w:color w:val="004E90"/>
        </w:rPr>
        <w:t xml:space="preserve">– </w:t>
      </w:r>
      <w:r>
        <w:rPr>
          <w:rFonts w:ascii="Arial" w:cs="Arial" w:eastAsia="Arial" w:hAnsi="Arial"/>
          <w:sz w:val="28"/>
          <w:szCs w:val="28"/>
          <w:color w:val="000000"/>
        </w:rPr>
        <w:t>Production</w:t>
      </w:r>
    </w:p>
    <w:p>
      <w:pPr>
        <w:spacing w:after="0" w:line="148" w:lineRule="exact"/>
        <w:rPr>
          <w:rFonts w:ascii="Arial" w:cs="Arial" w:eastAsia="Arial" w:hAnsi="Arial"/>
          <w:sz w:val="28"/>
          <w:szCs w:val="28"/>
          <w:color w:val="004E90"/>
        </w:rPr>
      </w:pPr>
    </w:p>
    <w:p>
      <w:pPr>
        <w:ind w:left="1740"/>
        <w:spacing w:after="0"/>
        <w:rPr>
          <w:rFonts w:ascii="Arial" w:cs="Arial" w:eastAsia="Arial" w:hAnsi="Arial"/>
          <w:sz w:val="28"/>
          <w:szCs w:val="28"/>
          <w:color w:val="004E90"/>
        </w:rPr>
      </w:pPr>
      <w:r>
        <w:rPr>
          <w:rFonts w:ascii="Arial" w:cs="Arial" w:eastAsia="Arial" w:hAnsi="Arial"/>
          <w:sz w:val="28"/>
          <w:szCs w:val="28"/>
          <w:color w:val="004E90"/>
        </w:rPr>
        <w:t xml:space="preserve">– </w:t>
      </w:r>
      <w:r>
        <w:rPr>
          <w:rFonts w:ascii="Arial" w:cs="Arial" w:eastAsia="Arial" w:hAnsi="Arial"/>
          <w:sz w:val="28"/>
          <w:szCs w:val="28"/>
          <w:color w:val="000000"/>
        </w:rPr>
        <w:t>Purchasing</w:t>
      </w:r>
    </w:p>
    <w:p>
      <w:pPr>
        <w:spacing w:after="0" w:line="160" w:lineRule="exact"/>
        <w:rPr>
          <w:rFonts w:ascii="Arial" w:cs="Arial" w:eastAsia="Arial" w:hAnsi="Arial"/>
          <w:sz w:val="28"/>
          <w:szCs w:val="28"/>
          <w:color w:val="004E90"/>
        </w:rPr>
      </w:pPr>
    </w:p>
    <w:p>
      <w:pPr>
        <w:ind w:left="1740"/>
        <w:spacing w:after="0"/>
        <w:rPr>
          <w:rFonts w:ascii="Arial" w:cs="Arial" w:eastAsia="Arial" w:hAnsi="Arial"/>
          <w:sz w:val="28"/>
          <w:szCs w:val="28"/>
          <w:color w:val="004E90"/>
        </w:rPr>
      </w:pPr>
      <w:r>
        <w:rPr>
          <w:rFonts w:ascii="Arial" w:cs="Arial" w:eastAsia="Arial" w:hAnsi="Arial"/>
          <w:sz w:val="28"/>
          <w:szCs w:val="28"/>
          <w:color w:val="004E90"/>
        </w:rPr>
        <w:t xml:space="preserve">– </w:t>
      </w:r>
      <w:r>
        <w:rPr>
          <w:rFonts w:ascii="Arial" w:cs="Arial" w:eastAsia="Arial" w:hAnsi="Arial"/>
          <w:sz w:val="28"/>
          <w:szCs w:val="28"/>
          <w:color w:val="000000"/>
        </w:rPr>
        <w:t>Distribution</w:t>
      </w:r>
    </w:p>
    <w:p>
      <w:pPr>
        <w:spacing w:after="0" w:line="148" w:lineRule="exact"/>
        <w:rPr>
          <w:rFonts w:ascii="Arial" w:cs="Arial" w:eastAsia="Arial" w:hAnsi="Arial"/>
          <w:sz w:val="28"/>
          <w:szCs w:val="28"/>
          <w:color w:val="004E90"/>
        </w:rPr>
      </w:pPr>
    </w:p>
    <w:p>
      <w:pPr>
        <w:ind w:left="1740"/>
        <w:spacing w:after="0"/>
        <w:rPr>
          <w:rFonts w:ascii="Arial" w:cs="Arial" w:eastAsia="Arial" w:hAnsi="Arial"/>
          <w:sz w:val="28"/>
          <w:szCs w:val="28"/>
          <w:color w:val="004E90"/>
        </w:rPr>
      </w:pPr>
      <w:r>
        <w:rPr>
          <w:rFonts w:ascii="Arial" w:cs="Arial" w:eastAsia="Arial" w:hAnsi="Arial"/>
          <w:sz w:val="28"/>
          <w:szCs w:val="28"/>
          <w:color w:val="004E90"/>
        </w:rPr>
        <w:t xml:space="preserve">– </w:t>
      </w:r>
      <w:r>
        <w:rPr>
          <w:rFonts w:ascii="Arial" w:cs="Arial" w:eastAsia="Arial" w:hAnsi="Arial"/>
          <w:sz w:val="28"/>
          <w:szCs w:val="28"/>
          <w:color w:val="000000"/>
        </w:rPr>
        <w:t>Logistics</w:t>
      </w:r>
    </w:p>
    <w:p>
      <w:pPr>
        <w:spacing w:after="0" w:line="148" w:lineRule="exact"/>
        <w:rPr>
          <w:rFonts w:ascii="Arial" w:cs="Arial" w:eastAsia="Arial" w:hAnsi="Arial"/>
          <w:sz w:val="28"/>
          <w:szCs w:val="28"/>
          <w:color w:val="004E90"/>
        </w:rPr>
      </w:pPr>
    </w:p>
    <w:p>
      <w:pPr>
        <w:ind w:left="1740"/>
        <w:spacing w:after="0"/>
        <w:rPr>
          <w:rFonts w:ascii="Arial" w:cs="Arial" w:eastAsia="Arial" w:hAnsi="Arial"/>
          <w:sz w:val="28"/>
          <w:szCs w:val="28"/>
          <w:color w:val="004E90"/>
        </w:rPr>
      </w:pPr>
      <w:r>
        <w:rPr>
          <w:rFonts w:ascii="Arial" w:cs="Arial" w:eastAsia="Arial" w:hAnsi="Arial"/>
          <w:sz w:val="28"/>
          <w:szCs w:val="28"/>
          <w:color w:val="004E90"/>
        </w:rPr>
        <w:t xml:space="preserve">– </w:t>
      </w:r>
      <w:r>
        <w:rPr>
          <w:rFonts w:ascii="Arial" w:cs="Arial" w:eastAsia="Arial" w:hAnsi="Arial"/>
          <w:sz w:val="28"/>
          <w:szCs w:val="28"/>
          <w:color w:val="000000"/>
        </w:rPr>
        <w:t>Selling, General &amp; Administrative</w:t>
      </w:r>
    </w:p>
    <w:p>
      <w:pPr>
        <w:spacing w:after="0" w:line="160" w:lineRule="exact"/>
        <w:rPr>
          <w:rFonts w:ascii="Arial" w:cs="Arial" w:eastAsia="Arial" w:hAnsi="Arial"/>
          <w:sz w:val="28"/>
          <w:szCs w:val="28"/>
          <w:color w:val="004E90"/>
        </w:rPr>
      </w:pPr>
    </w:p>
    <w:p>
      <w:pPr>
        <w:ind w:left="1960" w:right="1440" w:hanging="212"/>
        <w:spacing w:after="0" w:line="267" w:lineRule="auto"/>
        <w:rPr>
          <w:rFonts w:ascii="Arial" w:cs="Arial" w:eastAsia="Arial" w:hAnsi="Arial"/>
          <w:sz w:val="28"/>
          <w:szCs w:val="28"/>
          <w:color w:val="004E90"/>
        </w:rPr>
      </w:pPr>
      <w:r>
        <w:rPr>
          <w:rFonts w:ascii="Arial" w:cs="Arial" w:eastAsia="Arial" w:hAnsi="Arial"/>
          <w:sz w:val="28"/>
          <w:szCs w:val="28"/>
          <w:color w:val="004E90"/>
        </w:rPr>
        <w:t xml:space="preserve">– </w:t>
      </w:r>
      <w:r>
        <w:rPr>
          <w:rFonts w:ascii="Arial" w:cs="Arial" w:eastAsia="Arial" w:hAnsi="Arial"/>
          <w:sz w:val="28"/>
          <w:szCs w:val="28"/>
          <w:color w:val="000000"/>
        </w:rPr>
        <w:t>No anticipated plant closings or production headcount</w:t>
      </w:r>
      <w:r>
        <w:rPr>
          <w:rFonts w:ascii="Arial" w:cs="Arial" w:eastAsia="Arial" w:hAnsi="Arial"/>
          <w:sz w:val="28"/>
          <w:szCs w:val="28"/>
          <w:color w:val="004E90"/>
        </w:rPr>
        <w:t xml:space="preserve"> </w:t>
      </w:r>
      <w:r>
        <w:rPr>
          <w:rFonts w:ascii="Arial" w:cs="Arial" w:eastAsia="Arial" w:hAnsi="Arial"/>
          <w:sz w:val="28"/>
          <w:szCs w:val="28"/>
          <w:color w:val="000000"/>
        </w:rPr>
        <w:t>reductions</w:t>
      </w:r>
    </w:p>
    <w:p>
      <w:pPr>
        <w:spacing w:after="0" w:line="94" w:lineRule="exact"/>
        <w:rPr>
          <w:rFonts w:ascii="Arial" w:cs="Arial" w:eastAsia="Arial" w:hAnsi="Arial"/>
          <w:sz w:val="28"/>
          <w:szCs w:val="28"/>
          <w:color w:val="004E90"/>
        </w:rPr>
      </w:pPr>
    </w:p>
    <w:p>
      <w:pPr>
        <w:ind w:left="1040"/>
        <w:spacing w:after="0"/>
        <w:rPr>
          <w:rFonts w:ascii="Arial" w:cs="Arial" w:eastAsia="Arial" w:hAnsi="Arial"/>
          <w:sz w:val="28"/>
          <w:szCs w:val="28"/>
          <w:color w:val="004E90"/>
        </w:rPr>
      </w:pPr>
      <w:r>
        <w:rPr>
          <w:rFonts w:ascii="Arial" w:cs="Arial" w:eastAsia="Arial" w:hAnsi="Arial"/>
          <w:sz w:val="28"/>
          <w:szCs w:val="28"/>
          <w:color w:val="004E90"/>
        </w:rPr>
        <w:t xml:space="preserve">– </w:t>
      </w:r>
      <w:r>
        <w:rPr>
          <w:rFonts w:ascii="Arial" w:cs="Arial" w:eastAsia="Arial" w:hAnsi="Arial"/>
          <w:sz w:val="28"/>
          <w:szCs w:val="28"/>
          <w:color w:val="000000"/>
        </w:rPr>
        <w:t>Better serve existing customers and expand customer base</w:t>
      </w:r>
    </w:p>
    <w:p>
      <w:pPr>
        <w:spacing w:after="0" w:line="148" w:lineRule="exact"/>
        <w:rPr>
          <w:rFonts w:ascii="Arial" w:cs="Arial" w:eastAsia="Arial" w:hAnsi="Arial"/>
          <w:sz w:val="28"/>
          <w:szCs w:val="28"/>
          <w:color w:val="004E90"/>
        </w:rPr>
      </w:pPr>
    </w:p>
    <w:p>
      <w:pPr>
        <w:ind w:left="1040"/>
        <w:spacing w:after="0"/>
        <w:rPr>
          <w:rFonts w:ascii="Arial" w:cs="Arial" w:eastAsia="Arial" w:hAnsi="Arial"/>
          <w:sz w:val="28"/>
          <w:szCs w:val="28"/>
          <w:color w:val="004E90"/>
        </w:rPr>
      </w:pPr>
      <w:r>
        <w:rPr>
          <w:rFonts w:ascii="Arial" w:cs="Arial" w:eastAsia="Arial" w:hAnsi="Arial"/>
          <w:sz w:val="28"/>
          <w:szCs w:val="28"/>
          <w:color w:val="004E90"/>
        </w:rPr>
        <w:t xml:space="preserve">– </w:t>
      </w:r>
      <w:r>
        <w:rPr>
          <w:rFonts w:ascii="Arial" w:cs="Arial" w:eastAsia="Arial" w:hAnsi="Arial"/>
          <w:sz w:val="28"/>
          <w:szCs w:val="28"/>
          <w:color w:val="000000"/>
        </w:rPr>
        <w:t>Consolidation of a still fragmented industry</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00"/>
          </w:cols>
          <w:pgMar w:left="1440" w:top="1052" w:right="359" w:bottom="1440" w:gutter="0" w:footer="0" w:header="0"/>
        </w:sectPr>
      </w:pPr>
    </w:p>
    <w:bookmarkStart w:id="10" w:name="page11"/>
    <w:bookmarkEnd w:id="10"/>
    <w:p>
      <w:pPr>
        <w:ind w:left="820" w:right="1520"/>
        <w:spacing w:after="0" w:line="263" w:lineRule="auto"/>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Consistent With Pilgrim’s Pride Long-Standing Business Strategy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0" w:right="960"/>
        <w:spacing w:after="0" w:line="220" w:lineRule="auto"/>
        <w:rPr>
          <w:sz w:val="20"/>
          <w:szCs w:val="20"/>
          <w:color w:val="auto"/>
        </w:rPr>
      </w:pPr>
      <w:r>
        <w:rPr>
          <w:rFonts w:ascii="Arial" w:cs="Arial" w:eastAsia="Arial" w:hAnsi="Arial"/>
          <w:sz w:val="32"/>
          <w:szCs w:val="32"/>
          <w:color w:val="auto"/>
        </w:rPr>
        <w:t>Capitalize on significant scale with leading industry position and brand recognition</w:t>
      </w:r>
    </w:p>
    <w:p>
      <w:pPr>
        <w:spacing w:after="0" w:line="301" w:lineRule="exact"/>
        <w:rPr>
          <w:sz w:val="20"/>
          <w:szCs w:val="20"/>
          <w:color w:val="auto"/>
        </w:rPr>
      </w:pPr>
    </w:p>
    <w:p>
      <w:pPr>
        <w:ind w:left="2000"/>
        <w:spacing w:after="0"/>
        <w:rPr>
          <w:sz w:val="20"/>
          <w:szCs w:val="20"/>
          <w:color w:val="auto"/>
        </w:rPr>
      </w:pPr>
      <w:r>
        <w:rPr>
          <w:rFonts w:ascii="Arial" w:cs="Arial" w:eastAsia="Arial" w:hAnsi="Arial"/>
          <w:sz w:val="32"/>
          <w:szCs w:val="32"/>
          <w:color w:val="auto"/>
        </w:rPr>
        <w:t>Capitalize on attractive U.S. prepared foods market</w:t>
      </w:r>
    </w:p>
    <w:p>
      <w:pPr>
        <w:spacing w:after="0" w:line="314" w:lineRule="exact"/>
        <w:rPr>
          <w:sz w:val="20"/>
          <w:szCs w:val="20"/>
          <w:color w:val="auto"/>
        </w:rPr>
      </w:pPr>
    </w:p>
    <w:p>
      <w:pPr>
        <w:ind w:left="2000" w:right="460"/>
        <w:spacing w:after="0" w:line="220" w:lineRule="auto"/>
        <w:rPr>
          <w:sz w:val="20"/>
          <w:szCs w:val="20"/>
          <w:color w:val="auto"/>
        </w:rPr>
      </w:pPr>
      <w:r>
        <w:rPr>
          <w:rFonts w:ascii="Arial" w:cs="Arial" w:eastAsia="Arial" w:hAnsi="Arial"/>
          <w:sz w:val="32"/>
          <w:szCs w:val="32"/>
          <w:color w:val="auto"/>
        </w:rPr>
        <w:t>Enhance U.S. fresh chicken profitability through value-added, branded products</w:t>
      </w:r>
    </w:p>
    <w:p>
      <w:pPr>
        <w:spacing w:after="0" w:line="301" w:lineRule="exact"/>
        <w:rPr>
          <w:sz w:val="20"/>
          <w:szCs w:val="20"/>
          <w:color w:val="auto"/>
        </w:rPr>
      </w:pPr>
    </w:p>
    <w:p>
      <w:pPr>
        <w:ind w:left="2000" w:right="280"/>
        <w:spacing w:after="0" w:line="224" w:lineRule="auto"/>
        <w:rPr>
          <w:sz w:val="20"/>
          <w:szCs w:val="20"/>
          <w:color w:val="auto"/>
        </w:rPr>
      </w:pPr>
      <w:r>
        <w:rPr>
          <w:rFonts w:ascii="Arial" w:cs="Arial" w:eastAsia="Arial" w:hAnsi="Arial"/>
          <w:sz w:val="32"/>
          <w:szCs w:val="32"/>
          <w:color w:val="auto"/>
        </w:rPr>
        <w:t>Improve operating efficiencies and increase capacity on a cost-effective basis</w:t>
      </w:r>
    </w:p>
    <w:p>
      <w:pPr>
        <w:spacing w:after="0" w:line="289" w:lineRule="exact"/>
        <w:rPr>
          <w:sz w:val="20"/>
          <w:szCs w:val="20"/>
          <w:color w:val="auto"/>
        </w:rPr>
      </w:pPr>
    </w:p>
    <w:p>
      <w:pPr>
        <w:ind w:left="2000" w:right="2680"/>
        <w:spacing w:after="0" w:line="475" w:lineRule="auto"/>
        <w:rPr>
          <w:sz w:val="20"/>
          <w:szCs w:val="20"/>
          <w:color w:val="auto"/>
        </w:rPr>
      </w:pPr>
      <w:r>
        <w:rPr>
          <w:rFonts w:ascii="Arial" w:cs="Arial" w:eastAsia="Arial" w:hAnsi="Arial"/>
          <w:sz w:val="31"/>
          <w:szCs w:val="31"/>
          <w:color w:val="auto"/>
        </w:rPr>
        <w:t>Continue to seek strategic acquisitions Capitalize on export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00"/>
          </w:cols>
          <w:pgMar w:left="1440" w:top="511" w:right="359" w:bottom="1440" w:gutter="0" w:footer="0" w:header="0"/>
        </w:sectPr>
      </w:pPr>
    </w:p>
    <w:bookmarkStart w:id="11" w:name="page12"/>
    <w:bookmarkEnd w:id="11"/>
    <w:p>
      <w:pPr>
        <w:ind w:left="820" w:right="2580"/>
        <w:spacing w:after="0" w:line="263" w:lineRule="auto"/>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Pilgrim’s Pride Stock Since Deal Announcement</w:t>
      </w:r>
    </w:p>
    <w:p>
      <w:pPr>
        <w:spacing w:after="0" w:line="157"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600" w:type="dxa"/>
            <w:vAlign w:val="bottom"/>
          </w:tcPr>
          <w:p>
            <w:pPr>
              <w:spacing w:after="0"/>
              <w:rPr>
                <w:sz w:val="17"/>
                <w:szCs w:val="17"/>
                <w:color w:val="auto"/>
              </w:rPr>
            </w:pPr>
          </w:p>
        </w:tc>
        <w:tc>
          <w:tcPr>
            <w:tcW w:w="2080" w:type="dxa"/>
            <w:vAlign w:val="bottom"/>
            <w:gridSpan w:val="3"/>
          </w:tcPr>
          <w:p>
            <w:pPr>
              <w:jc w:val="center"/>
              <w:ind w:right="9"/>
              <w:spacing w:after="0"/>
              <w:rPr>
                <w:sz w:val="20"/>
                <w:szCs w:val="20"/>
                <w:color w:val="auto"/>
              </w:rPr>
            </w:pPr>
            <w:r>
              <w:rPr>
                <w:rFonts w:ascii="Arial" w:cs="Arial" w:eastAsia="Arial" w:hAnsi="Arial"/>
                <w:sz w:val="15"/>
                <w:szCs w:val="15"/>
                <w:b w:val="1"/>
                <w:bCs w:val="1"/>
                <w:color w:val="auto"/>
              </w:rPr>
              <w:t>December 4, 2006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0" w:type="dxa"/>
            <w:vAlign w:val="bottom"/>
            <w:vMerge w:val="restart"/>
          </w:tcPr>
          <w:p>
            <w:pPr>
              <w:jc w:val="right"/>
              <w:ind w:right="64"/>
              <w:spacing w:after="0"/>
              <w:rPr>
                <w:sz w:val="20"/>
                <w:szCs w:val="20"/>
                <w:color w:val="auto"/>
              </w:rPr>
            </w:pPr>
            <w:r>
              <w:rPr>
                <w:rFonts w:ascii="Arial" w:cs="Arial" w:eastAsia="Arial" w:hAnsi="Arial"/>
                <w:sz w:val="15"/>
                <w:szCs w:val="15"/>
                <w:color w:val="auto"/>
                <w:w w:val="95"/>
              </w:rPr>
              <w:t>$30.00</w:t>
            </w:r>
          </w:p>
        </w:tc>
        <w:tc>
          <w:tcPr>
            <w:tcW w:w="2080" w:type="dxa"/>
            <w:vAlign w:val="bottom"/>
            <w:gridSpan w:val="3"/>
          </w:tcPr>
          <w:p>
            <w:pPr>
              <w:jc w:val="center"/>
              <w:ind w:right="9"/>
              <w:spacing w:after="0"/>
              <w:rPr>
                <w:sz w:val="20"/>
                <w:szCs w:val="20"/>
                <w:color w:val="auto"/>
              </w:rPr>
            </w:pPr>
            <w:r>
              <w:rPr>
                <w:rFonts w:ascii="Arial" w:cs="Arial" w:eastAsia="Arial" w:hAnsi="Arial"/>
                <w:sz w:val="15"/>
                <w:szCs w:val="15"/>
                <w:color w:val="auto"/>
              </w:rPr>
              <w:t>Announcement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0" w:type="dxa"/>
            <w:vAlign w:val="bottom"/>
            <w:vMerge w:val="continue"/>
          </w:tcPr>
          <w:p>
            <w:pPr>
              <w:spacing w:after="0"/>
              <w:rPr>
                <w:sz w:val="16"/>
                <w:szCs w:val="16"/>
                <w:color w:val="auto"/>
              </w:rPr>
            </w:pPr>
          </w:p>
        </w:tc>
        <w:tc>
          <w:tcPr>
            <w:tcW w:w="2080" w:type="dxa"/>
            <w:vAlign w:val="bottom"/>
            <w:gridSpan w:val="3"/>
          </w:tcPr>
          <w:p>
            <w:pPr>
              <w:jc w:val="center"/>
              <w:spacing w:after="0"/>
              <w:rPr>
                <w:sz w:val="20"/>
                <w:szCs w:val="20"/>
                <w:color w:val="auto"/>
              </w:rPr>
            </w:pPr>
            <w:r>
              <w:rPr>
                <w:rFonts w:ascii="Arial" w:cs="Arial" w:eastAsia="Arial" w:hAnsi="Arial"/>
                <w:sz w:val="15"/>
                <w:szCs w:val="15"/>
                <w:color w:val="auto"/>
              </w:rPr>
              <w:t>merger agreement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2080" w:type="dxa"/>
            <w:vAlign w:val="bottom"/>
            <w:gridSpan w:val="3"/>
          </w:tcPr>
          <w:p>
            <w:pPr>
              <w:ind w:left="220"/>
              <w:spacing w:after="0"/>
              <w:rPr>
                <w:sz w:val="20"/>
                <w:szCs w:val="20"/>
                <w:color w:val="auto"/>
              </w:rPr>
            </w:pPr>
            <w:r>
              <w:rPr>
                <w:rFonts w:ascii="Arial" w:cs="Arial" w:eastAsia="Arial" w:hAnsi="Arial"/>
                <w:sz w:val="15"/>
                <w:szCs w:val="15"/>
                <w:color w:val="auto"/>
              </w:rPr>
              <w:t>between Pilgrim’s Pride</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2080" w:type="dxa"/>
            <w:vAlign w:val="bottom"/>
            <w:gridSpan w:val="3"/>
          </w:tcPr>
          <w:p>
            <w:pPr>
              <w:jc w:val="center"/>
              <w:spacing w:after="0"/>
              <w:rPr>
                <w:sz w:val="20"/>
                <w:szCs w:val="20"/>
                <w:color w:val="auto"/>
              </w:rPr>
            </w:pPr>
            <w:r>
              <w:rPr>
                <w:rFonts w:ascii="Arial" w:cs="Arial" w:eastAsia="Arial" w:hAnsi="Arial"/>
                <w:sz w:val="15"/>
                <w:szCs w:val="15"/>
                <w:color w:val="auto"/>
              </w:rPr>
              <w:t>and Gold Kist prior to</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0" w:type="dxa"/>
            <w:vAlign w:val="bottom"/>
          </w:tcPr>
          <w:p>
            <w:pPr>
              <w:jc w:val="right"/>
              <w:ind w:right="64"/>
              <w:spacing w:after="0"/>
              <w:rPr>
                <w:sz w:val="20"/>
                <w:szCs w:val="20"/>
                <w:color w:val="auto"/>
              </w:rPr>
            </w:pPr>
            <w:r>
              <w:rPr>
                <w:rFonts w:ascii="Arial" w:cs="Arial" w:eastAsia="Arial" w:hAnsi="Arial"/>
                <w:sz w:val="15"/>
                <w:szCs w:val="15"/>
                <w:color w:val="auto"/>
                <w:w w:val="95"/>
              </w:rPr>
              <w:t>$29.00</w:t>
            </w:r>
          </w:p>
        </w:tc>
        <w:tc>
          <w:tcPr>
            <w:tcW w:w="2080" w:type="dxa"/>
            <w:vAlign w:val="bottom"/>
            <w:gridSpan w:val="3"/>
          </w:tcPr>
          <w:p>
            <w:pPr>
              <w:ind w:left="540"/>
              <w:spacing w:after="0"/>
              <w:rPr>
                <w:sz w:val="20"/>
                <w:szCs w:val="20"/>
                <w:color w:val="auto"/>
              </w:rPr>
            </w:pPr>
            <w:r>
              <w:rPr>
                <w:rFonts w:ascii="Arial" w:cs="Arial" w:eastAsia="Arial" w:hAnsi="Arial"/>
                <w:sz w:val="15"/>
                <w:szCs w:val="15"/>
                <w:color w:val="auto"/>
              </w:rPr>
              <w:t>market open</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1"/>
        </w:trPr>
        <w:tc>
          <w:tcPr>
            <w:tcW w:w="600" w:type="dxa"/>
            <w:vAlign w:val="bottom"/>
          </w:tcPr>
          <w:p>
            <w:pPr>
              <w:jc w:val="right"/>
              <w:ind w:right="64"/>
              <w:spacing w:after="0"/>
              <w:rPr>
                <w:sz w:val="20"/>
                <w:szCs w:val="20"/>
                <w:color w:val="auto"/>
              </w:rPr>
            </w:pPr>
            <w:r>
              <w:rPr>
                <w:rFonts w:ascii="Arial" w:cs="Arial" w:eastAsia="Arial" w:hAnsi="Arial"/>
                <w:sz w:val="15"/>
                <w:szCs w:val="15"/>
                <w:color w:val="auto"/>
                <w:w w:val="95"/>
              </w:rPr>
              <w:t>$28.00</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600" w:type="dxa"/>
            <w:vAlign w:val="bottom"/>
            <w:vMerge w:val="restart"/>
          </w:tcPr>
          <w:p>
            <w:pPr>
              <w:jc w:val="right"/>
              <w:ind w:right="64"/>
              <w:spacing w:after="0"/>
              <w:rPr>
                <w:sz w:val="20"/>
                <w:szCs w:val="20"/>
                <w:color w:val="auto"/>
              </w:rPr>
            </w:pPr>
            <w:r>
              <w:rPr>
                <w:rFonts w:ascii="Arial" w:cs="Arial" w:eastAsia="Arial" w:hAnsi="Arial"/>
                <w:sz w:val="15"/>
                <w:szCs w:val="15"/>
                <w:color w:val="auto"/>
                <w:w w:val="95"/>
              </w:rPr>
              <w:t>$27.00</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20" w:type="dxa"/>
            <w:vAlign w:val="bottom"/>
            <w:gridSpan w:val="3"/>
          </w:tcPr>
          <w:p>
            <w:pPr>
              <w:ind w:left="120"/>
              <w:spacing w:after="0"/>
              <w:rPr>
                <w:sz w:val="20"/>
                <w:szCs w:val="20"/>
                <w:color w:val="auto"/>
              </w:rPr>
            </w:pPr>
            <w:r>
              <w:rPr>
                <w:rFonts w:ascii="Arial" w:cs="Arial" w:eastAsia="Arial" w:hAnsi="Arial"/>
                <w:sz w:val="14"/>
                <w:szCs w:val="14"/>
                <w:b w:val="1"/>
                <w:bCs w:val="1"/>
                <w:color w:val="auto"/>
              </w:rPr>
              <w:t>Wednesday, December 6, 2006</w:t>
            </w:r>
          </w:p>
        </w:tc>
        <w:tc>
          <w:tcPr>
            <w:tcW w:w="2000" w:type="dxa"/>
            <w:vAlign w:val="bottom"/>
            <w:gridSpan w:val="3"/>
          </w:tcPr>
          <w:p>
            <w:pPr>
              <w:ind w:left="120"/>
              <w:spacing w:after="0"/>
              <w:rPr>
                <w:sz w:val="20"/>
                <w:szCs w:val="20"/>
                <w:color w:val="auto"/>
              </w:rPr>
            </w:pPr>
            <w:r>
              <w:rPr>
                <w:rFonts w:ascii="Arial" w:cs="Arial" w:eastAsia="Arial" w:hAnsi="Arial"/>
                <w:sz w:val="14"/>
                <w:szCs w:val="14"/>
                <w:b w:val="1"/>
                <w:bCs w:val="1"/>
                <w:color w:val="auto"/>
              </w:rPr>
              <w:t>Friday, December 8, 2006</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Close:</w:t>
            </w:r>
          </w:p>
        </w:tc>
        <w:tc>
          <w:tcPr>
            <w:tcW w:w="1120" w:type="dxa"/>
            <w:vAlign w:val="bottom"/>
            <w:vMerge w:val="restart"/>
          </w:tcPr>
          <w:p>
            <w:pPr>
              <w:jc w:val="right"/>
              <w:ind w:right="589"/>
              <w:spacing w:after="0"/>
              <w:rPr>
                <w:sz w:val="20"/>
                <w:szCs w:val="20"/>
                <w:color w:val="auto"/>
              </w:rPr>
            </w:pPr>
            <w:r>
              <w:rPr>
                <w:rFonts w:ascii="Arial" w:cs="Arial" w:eastAsia="Arial" w:hAnsi="Arial"/>
                <w:sz w:val="14"/>
                <w:szCs w:val="14"/>
                <w:color w:val="auto"/>
              </w:rPr>
              <w:t>$29.44</w:t>
            </w:r>
          </w:p>
        </w:tc>
        <w:tc>
          <w:tcPr>
            <w:tcW w:w="660" w:type="dxa"/>
            <w:vAlign w:val="bottom"/>
          </w:tcPr>
          <w:p>
            <w:pPr>
              <w:spacing w:after="0"/>
              <w:rPr>
                <w:sz w:val="7"/>
                <w:szCs w:val="7"/>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Close:</w:t>
            </w: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w w:val="97"/>
              </w:rPr>
              <w:t>$28.98</w:t>
            </w: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w w:val="99"/>
              </w:rPr>
              <w:t>Change:</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0.69 (2.4%)</w:t>
            </w:r>
          </w:p>
        </w:tc>
        <w:tc>
          <w:tcPr>
            <w:tcW w:w="66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jc w:val="right"/>
              <w:ind w:right="388"/>
              <w:spacing w:after="0"/>
              <w:rPr>
                <w:sz w:val="20"/>
                <w:szCs w:val="20"/>
                <w:color w:val="auto"/>
              </w:rPr>
            </w:pPr>
            <w:r>
              <w:rPr>
                <w:rFonts w:ascii="Arial" w:cs="Arial" w:eastAsia="Arial" w:hAnsi="Arial"/>
                <w:sz w:val="14"/>
                <w:szCs w:val="14"/>
                <w:color w:val="auto"/>
              </w:rPr>
              <w:t>0.19 (0.7%)</w:t>
            </w: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600" w:type="dxa"/>
            <w:vAlign w:val="bottom"/>
          </w:tcPr>
          <w:p>
            <w:pPr>
              <w:jc w:val="right"/>
              <w:ind w:right="64"/>
              <w:spacing w:after="0"/>
              <w:rPr>
                <w:sz w:val="20"/>
                <w:szCs w:val="20"/>
                <w:color w:val="auto"/>
              </w:rPr>
            </w:pPr>
            <w:r>
              <w:rPr>
                <w:rFonts w:ascii="Arial" w:cs="Arial" w:eastAsia="Arial" w:hAnsi="Arial"/>
                <w:sz w:val="15"/>
                <w:szCs w:val="15"/>
                <w:color w:val="auto"/>
                <w:w w:val="95"/>
              </w:rPr>
              <w:t>$26.00</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gridSpan w:val="4"/>
          </w:tcPr>
          <w:p>
            <w:pPr>
              <w:ind w:left="620"/>
              <w:spacing w:after="0"/>
              <w:rPr>
                <w:sz w:val="20"/>
                <w:szCs w:val="20"/>
                <w:color w:val="auto"/>
              </w:rPr>
            </w:pPr>
            <w:r>
              <w:rPr>
                <w:rFonts w:ascii="Arial" w:cs="Arial" w:eastAsia="Arial" w:hAnsi="Arial"/>
                <w:sz w:val="14"/>
                <w:szCs w:val="14"/>
                <w:b w:val="1"/>
                <w:bCs w:val="1"/>
                <w:color w:val="auto"/>
              </w:rPr>
              <w:t>Tuesday, December 5, 2006</w:t>
            </w:r>
          </w:p>
        </w:tc>
        <w:tc>
          <w:tcPr>
            <w:tcW w:w="3020" w:type="dxa"/>
            <w:vAlign w:val="bottom"/>
            <w:gridSpan w:val="4"/>
          </w:tcPr>
          <w:p>
            <w:pPr>
              <w:ind w:left="620"/>
              <w:spacing w:after="0"/>
              <w:rPr>
                <w:sz w:val="20"/>
                <w:szCs w:val="20"/>
                <w:color w:val="auto"/>
              </w:rPr>
            </w:pPr>
            <w:r>
              <w:rPr>
                <w:rFonts w:ascii="Arial" w:cs="Arial" w:eastAsia="Arial" w:hAnsi="Arial"/>
                <w:sz w:val="14"/>
                <w:szCs w:val="14"/>
                <w:b w:val="1"/>
                <w:bCs w:val="1"/>
                <w:color w:val="auto"/>
              </w:rPr>
              <w:t>Thursday, December 7, 2006</w:t>
            </w:r>
          </w:p>
        </w:tc>
        <w:tc>
          <w:tcPr>
            <w:tcW w:w="2380" w:type="dxa"/>
            <w:vAlign w:val="bottom"/>
            <w:gridSpan w:val="3"/>
          </w:tcPr>
          <w:p>
            <w:pPr>
              <w:ind w:left="140"/>
              <w:spacing w:after="0"/>
              <w:rPr>
                <w:sz w:val="20"/>
                <w:szCs w:val="20"/>
                <w:color w:val="auto"/>
              </w:rPr>
            </w:pPr>
            <w:r>
              <w:rPr>
                <w:rFonts w:ascii="Arial" w:cs="Arial" w:eastAsia="Arial" w:hAnsi="Arial"/>
                <w:sz w:val="14"/>
                <w:szCs w:val="14"/>
                <w:b w:val="1"/>
                <w:bCs w:val="1"/>
                <w:color w:val="auto"/>
              </w:rPr>
              <w:t>Monday, December 11, 2006</w:t>
            </w: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640"/>
              <w:spacing w:after="0"/>
              <w:rPr>
                <w:sz w:val="20"/>
                <w:szCs w:val="20"/>
                <w:color w:val="auto"/>
              </w:rPr>
            </w:pPr>
            <w:r>
              <w:rPr>
                <w:rFonts w:ascii="Arial" w:cs="Arial" w:eastAsia="Arial" w:hAnsi="Arial"/>
                <w:sz w:val="14"/>
                <w:szCs w:val="14"/>
                <w:b w:val="1"/>
                <w:bCs w:val="1"/>
                <w:color w:val="auto"/>
              </w:rPr>
              <w:t>Close:</w:t>
            </w:r>
          </w:p>
        </w:tc>
        <w:tc>
          <w:tcPr>
            <w:tcW w:w="12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$28.75</w:t>
            </w:r>
          </w:p>
        </w:tc>
        <w:tc>
          <w:tcPr>
            <w:tcW w:w="740" w:type="dxa"/>
            <w:vAlign w:val="bottom"/>
          </w:tcPr>
          <w:p>
            <w:pPr>
              <w:spacing w:after="0"/>
              <w:rPr>
                <w:sz w:val="16"/>
                <w:szCs w:val="16"/>
                <w:color w:val="auto"/>
              </w:rPr>
            </w:pPr>
          </w:p>
        </w:tc>
        <w:tc>
          <w:tcPr>
            <w:tcW w:w="1120" w:type="dxa"/>
            <w:vAlign w:val="bottom"/>
          </w:tcPr>
          <w:p>
            <w:pPr>
              <w:ind w:left="680"/>
              <w:spacing w:after="0"/>
              <w:rPr>
                <w:sz w:val="20"/>
                <w:szCs w:val="20"/>
                <w:color w:val="auto"/>
              </w:rPr>
            </w:pPr>
            <w:r>
              <w:rPr>
                <w:rFonts w:ascii="Arial" w:cs="Arial" w:eastAsia="Arial" w:hAnsi="Arial"/>
                <w:sz w:val="14"/>
                <w:szCs w:val="14"/>
                <w:b w:val="1"/>
                <w:bCs w:val="1"/>
                <w:color w:val="auto"/>
                <w:w w:val="98"/>
              </w:rPr>
              <w:t>Close:</w:t>
            </w:r>
          </w:p>
        </w:tc>
        <w:tc>
          <w:tcPr>
            <w:tcW w:w="660" w:type="dxa"/>
            <w:vAlign w:val="bottom"/>
          </w:tcPr>
          <w:p>
            <w:pPr>
              <w:jc w:val="right"/>
              <w:ind w:right="7"/>
              <w:spacing w:after="0"/>
              <w:rPr>
                <w:sz w:val="20"/>
                <w:szCs w:val="20"/>
                <w:color w:val="auto"/>
              </w:rPr>
            </w:pPr>
            <w:r>
              <w:rPr>
                <w:rFonts w:ascii="Arial" w:cs="Arial" w:eastAsia="Arial" w:hAnsi="Arial"/>
                <w:sz w:val="14"/>
                <w:szCs w:val="14"/>
                <w:color w:val="auto"/>
              </w:rPr>
              <w:t>$28.79</w:t>
            </w: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rPr>
              <w:t>Close:</w:t>
            </w:r>
          </w:p>
        </w:tc>
        <w:tc>
          <w:tcPr>
            <w:tcW w:w="940" w:type="dxa"/>
            <w:vAlign w:val="bottom"/>
          </w:tcPr>
          <w:p>
            <w:pPr>
              <w:jc w:val="right"/>
              <w:ind w:right="429"/>
              <w:spacing w:after="0"/>
              <w:rPr>
                <w:sz w:val="20"/>
                <w:szCs w:val="20"/>
                <w:color w:val="auto"/>
              </w:rPr>
            </w:pPr>
            <w:r>
              <w:rPr>
                <w:rFonts w:ascii="Arial" w:cs="Arial" w:eastAsia="Arial" w:hAnsi="Arial"/>
                <w:sz w:val="14"/>
                <w:szCs w:val="14"/>
                <w:color w:val="auto"/>
                <w:w w:val="97"/>
              </w:rPr>
              <w:t>$29.09</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640"/>
              <w:spacing w:after="0"/>
              <w:rPr>
                <w:sz w:val="20"/>
                <w:szCs w:val="20"/>
                <w:color w:val="auto"/>
              </w:rPr>
            </w:pPr>
            <w:r>
              <w:rPr>
                <w:rFonts w:ascii="Arial" w:cs="Arial" w:eastAsia="Arial" w:hAnsi="Arial"/>
                <w:sz w:val="14"/>
                <w:szCs w:val="14"/>
                <w:b w:val="1"/>
                <w:bCs w:val="1"/>
                <w:color w:val="auto"/>
                <w:w w:val="99"/>
              </w:rPr>
              <w:t>Change:</w:t>
            </w:r>
          </w:p>
        </w:tc>
        <w:tc>
          <w:tcPr>
            <w:tcW w:w="1320" w:type="dxa"/>
            <w:vAlign w:val="bottom"/>
            <w:gridSpan w:val="2"/>
          </w:tcPr>
          <w:p>
            <w:pPr>
              <w:jc w:val="right"/>
              <w:ind w:right="368"/>
              <w:spacing w:after="0"/>
              <w:rPr>
                <w:sz w:val="20"/>
                <w:szCs w:val="20"/>
                <w:color w:val="auto"/>
              </w:rPr>
            </w:pPr>
            <w:r>
              <w:rPr>
                <w:rFonts w:ascii="Arial" w:cs="Arial" w:eastAsia="Arial" w:hAnsi="Arial"/>
                <w:sz w:val="14"/>
                <w:szCs w:val="14"/>
                <w:color w:val="auto"/>
              </w:rPr>
              <w:t>0.85 (3.0%)</w:t>
            </w:r>
          </w:p>
        </w:tc>
        <w:tc>
          <w:tcPr>
            <w:tcW w:w="2460" w:type="dxa"/>
            <w:vAlign w:val="bottom"/>
            <w:gridSpan w:val="3"/>
          </w:tcPr>
          <w:p>
            <w:pPr>
              <w:ind w:left="680"/>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14"/>
                <w:szCs w:val="14"/>
                <w:color w:val="auto"/>
              </w:rPr>
              <w:t>-0.65 (-2.2%)</w:t>
            </w:r>
          </w:p>
        </w:tc>
        <w:tc>
          <w:tcPr>
            <w:tcW w:w="560" w:type="dxa"/>
            <w:vAlign w:val="bottom"/>
          </w:tcPr>
          <w:p>
            <w:pPr>
              <w:spacing w:after="0"/>
              <w:rPr>
                <w:sz w:val="16"/>
                <w:szCs w:val="16"/>
                <w:color w:val="auto"/>
              </w:rPr>
            </w:pPr>
          </w:p>
        </w:tc>
        <w:tc>
          <w:tcPr>
            <w:tcW w:w="760" w:type="dxa"/>
            <w:vAlign w:val="bottom"/>
          </w:tcPr>
          <w:p>
            <w:pPr>
              <w:ind w:left="180"/>
              <w:spacing w:after="0"/>
              <w:rPr>
                <w:sz w:val="20"/>
                <w:szCs w:val="20"/>
                <w:color w:val="auto"/>
              </w:rPr>
            </w:pPr>
            <w:r>
              <w:rPr>
                <w:rFonts w:ascii="Arial" w:cs="Arial" w:eastAsia="Arial" w:hAnsi="Arial"/>
                <w:sz w:val="14"/>
                <w:szCs w:val="14"/>
                <w:b w:val="1"/>
                <w:bCs w:val="1"/>
                <w:color w:val="auto"/>
                <w:w w:val="99"/>
              </w:rPr>
              <w:t>Change:</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0.11 (0.4%)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00" w:type="dxa"/>
            <w:vAlign w:val="bottom"/>
          </w:tcPr>
          <w:p>
            <w:pPr>
              <w:jc w:val="right"/>
              <w:ind w:right="64"/>
              <w:spacing w:after="0"/>
              <w:rPr>
                <w:sz w:val="20"/>
                <w:szCs w:val="20"/>
                <w:color w:val="auto"/>
              </w:rPr>
            </w:pPr>
            <w:r>
              <w:rPr>
                <w:rFonts w:ascii="Arial" w:cs="Arial" w:eastAsia="Arial" w:hAnsi="Arial"/>
                <w:sz w:val="15"/>
                <w:szCs w:val="15"/>
                <w:color w:val="auto"/>
                <w:w w:val="95"/>
              </w:rPr>
              <w:t>$25.00</w:t>
            </w:r>
          </w:p>
        </w:tc>
        <w:tc>
          <w:tcPr>
            <w:tcW w:w="2200" w:type="dxa"/>
            <w:vAlign w:val="bottom"/>
            <w:gridSpan w:val="4"/>
          </w:tcPr>
          <w:p>
            <w:pPr>
              <w:ind w:left="380"/>
              <w:spacing w:after="0"/>
              <w:rPr>
                <w:sz w:val="20"/>
                <w:szCs w:val="20"/>
                <w:color w:val="auto"/>
              </w:rPr>
            </w:pPr>
            <w:r>
              <w:rPr>
                <w:rFonts w:ascii="Arial" w:cs="Arial" w:eastAsia="Arial" w:hAnsi="Arial"/>
                <w:sz w:val="14"/>
                <w:szCs w:val="14"/>
                <w:b w:val="1"/>
                <w:bCs w:val="1"/>
                <w:color w:val="auto"/>
              </w:rPr>
              <w:t>Monday, December 4, 2006</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980" w:type="dxa"/>
            <w:vAlign w:val="bottom"/>
            <w:gridSpan w:val="2"/>
          </w:tcPr>
          <w:p>
            <w:pPr>
              <w:ind w:left="400"/>
              <w:spacing w:after="0"/>
              <w:rPr>
                <w:sz w:val="20"/>
                <w:szCs w:val="20"/>
                <w:color w:val="auto"/>
              </w:rPr>
            </w:pPr>
            <w:r>
              <w:rPr>
                <w:rFonts w:ascii="Arial" w:cs="Arial" w:eastAsia="Arial" w:hAnsi="Arial"/>
                <w:sz w:val="14"/>
                <w:szCs w:val="14"/>
                <w:b w:val="1"/>
                <w:bCs w:val="1"/>
                <w:color w:val="auto"/>
              </w:rPr>
              <w:t>Close:</w:t>
            </w:r>
          </w:p>
        </w:tc>
        <w:tc>
          <w:tcPr>
            <w:tcW w:w="1100" w:type="dxa"/>
            <w:vAlign w:val="bottom"/>
          </w:tcPr>
          <w:p>
            <w:pPr>
              <w:jc w:val="right"/>
              <w:ind w:right="589"/>
              <w:spacing w:after="0"/>
              <w:rPr>
                <w:sz w:val="20"/>
                <w:szCs w:val="20"/>
                <w:color w:val="auto"/>
              </w:rPr>
            </w:pPr>
            <w:r>
              <w:rPr>
                <w:rFonts w:ascii="Arial" w:cs="Arial" w:eastAsia="Arial" w:hAnsi="Arial"/>
                <w:sz w:val="14"/>
                <w:szCs w:val="14"/>
                <w:color w:val="auto"/>
                <w:w w:val="97"/>
              </w:rPr>
              <w:t>$27.90</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980" w:type="dxa"/>
            <w:vAlign w:val="bottom"/>
            <w:gridSpan w:val="2"/>
          </w:tcPr>
          <w:p>
            <w:pPr>
              <w:ind w:left="400"/>
              <w:spacing w:after="0"/>
              <w:rPr>
                <w:sz w:val="20"/>
                <w:szCs w:val="20"/>
                <w:color w:val="auto"/>
              </w:rPr>
            </w:pPr>
            <w:r>
              <w:rPr>
                <w:rFonts w:ascii="Arial" w:cs="Arial" w:eastAsia="Arial" w:hAnsi="Arial"/>
                <w:sz w:val="14"/>
                <w:szCs w:val="14"/>
                <w:b w:val="1"/>
                <w:bCs w:val="1"/>
                <w:color w:val="auto"/>
                <w:w w:val="99"/>
              </w:rPr>
              <w:t>Change:</w:t>
            </w: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2.52 (9.9%)</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600" w:type="dxa"/>
            <w:vAlign w:val="bottom"/>
          </w:tcPr>
          <w:p>
            <w:pPr>
              <w:jc w:val="right"/>
              <w:ind w:right="64"/>
              <w:spacing w:after="0"/>
              <w:rPr>
                <w:sz w:val="20"/>
                <w:szCs w:val="20"/>
                <w:color w:val="auto"/>
              </w:rPr>
            </w:pPr>
            <w:r>
              <w:rPr>
                <w:rFonts w:ascii="Arial" w:cs="Arial" w:eastAsia="Arial" w:hAnsi="Arial"/>
                <w:sz w:val="15"/>
                <w:szCs w:val="15"/>
                <w:color w:val="auto"/>
                <w:w w:val="95"/>
              </w:rPr>
              <w:t>$24.00</w:t>
            </w:r>
          </w:p>
        </w:tc>
        <w:tc>
          <w:tcPr>
            <w:tcW w:w="2080" w:type="dxa"/>
            <w:vAlign w:val="bottom"/>
            <w:gridSpan w:val="3"/>
          </w:tcPr>
          <w:p>
            <w:pPr>
              <w:jc w:val="center"/>
              <w:ind w:right="9"/>
              <w:spacing w:after="0"/>
              <w:rPr>
                <w:sz w:val="20"/>
                <w:szCs w:val="20"/>
                <w:color w:val="auto"/>
              </w:rPr>
            </w:pPr>
            <w:r>
              <w:rPr>
                <w:rFonts w:ascii="Arial" w:cs="Arial" w:eastAsia="Arial" w:hAnsi="Arial"/>
                <w:sz w:val="14"/>
                <w:szCs w:val="14"/>
                <w:b w:val="1"/>
                <w:bCs w:val="1"/>
                <w:color w:val="auto"/>
                <w:w w:val="99"/>
              </w:rPr>
              <w:t>Friday, December 1, 2006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00" w:type="dxa"/>
            <w:vAlign w:val="bottom"/>
          </w:tcPr>
          <w:p>
            <w:pPr>
              <w:spacing w:after="0"/>
              <w:rPr>
                <w:sz w:val="15"/>
                <w:szCs w:val="15"/>
                <w:color w:val="auto"/>
              </w:rPr>
            </w:pPr>
          </w:p>
        </w:tc>
        <w:tc>
          <w:tcPr>
            <w:tcW w:w="640" w:type="dxa"/>
            <w:vAlign w:val="bottom"/>
          </w:tcPr>
          <w:p>
            <w:pPr>
              <w:ind w:left="120"/>
              <w:spacing w:after="0"/>
              <w:rPr>
                <w:sz w:val="20"/>
                <w:szCs w:val="20"/>
                <w:color w:val="auto"/>
              </w:rPr>
            </w:pPr>
            <w:r>
              <w:rPr>
                <w:rFonts w:ascii="Arial" w:cs="Arial" w:eastAsia="Arial" w:hAnsi="Arial"/>
                <w:sz w:val="14"/>
                <w:szCs w:val="14"/>
                <w:b w:val="1"/>
                <w:bCs w:val="1"/>
                <w:color w:val="auto"/>
              </w:rPr>
              <w:t>Close:</w:t>
            </w:r>
          </w:p>
        </w:tc>
        <w:tc>
          <w:tcPr>
            <w:tcW w:w="1440" w:type="dxa"/>
            <w:vAlign w:val="bottom"/>
            <w:gridSpan w:val="2"/>
          </w:tcPr>
          <w:p>
            <w:pPr>
              <w:jc w:val="right"/>
              <w:ind w:right="849"/>
              <w:spacing w:after="0"/>
              <w:rPr>
                <w:sz w:val="20"/>
                <w:szCs w:val="20"/>
                <w:color w:val="auto"/>
              </w:rPr>
            </w:pPr>
            <w:r>
              <w:rPr>
                <w:rFonts w:ascii="Arial" w:cs="Arial" w:eastAsia="Arial" w:hAnsi="Arial"/>
                <w:sz w:val="14"/>
                <w:szCs w:val="14"/>
                <w:color w:val="auto"/>
              </w:rPr>
              <w:t>$25.38</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2080" w:type="dxa"/>
            <w:vAlign w:val="bottom"/>
            <w:gridSpan w:val="3"/>
          </w:tcPr>
          <w:p>
            <w:pPr>
              <w:ind w:left="120"/>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14"/>
                <w:szCs w:val="14"/>
                <w:color w:val="auto"/>
              </w:rPr>
              <w:t>-0.14 (-0.5%)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Pr>
          <w:p>
            <w:pPr>
              <w:jc w:val="right"/>
              <w:ind w:right="64"/>
              <w:spacing w:after="0"/>
              <w:rPr>
                <w:sz w:val="20"/>
                <w:szCs w:val="20"/>
                <w:color w:val="auto"/>
              </w:rPr>
            </w:pPr>
            <w:r>
              <w:rPr>
                <w:rFonts w:ascii="Arial" w:cs="Arial" w:eastAsia="Arial" w:hAnsi="Arial"/>
                <w:sz w:val="15"/>
                <w:szCs w:val="15"/>
                <w:color w:val="auto"/>
                <w:w w:val="95"/>
              </w:rPr>
              <w:t>$23.00</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40" w:type="dxa"/>
            <w:vAlign w:val="bottom"/>
            <w:gridSpan w:val="2"/>
          </w:tcPr>
          <w:p>
            <w:pPr>
              <w:jc w:val="right"/>
              <w:ind w:right="327"/>
              <w:spacing w:after="0"/>
              <w:rPr>
                <w:sz w:val="20"/>
                <w:szCs w:val="20"/>
                <w:color w:val="auto"/>
              </w:rPr>
            </w:pPr>
            <w:r>
              <w:rPr>
                <w:rFonts w:ascii="Arial" w:cs="Arial" w:eastAsia="Arial" w:hAnsi="Arial"/>
                <w:sz w:val="15"/>
                <w:szCs w:val="15"/>
                <w:color w:val="auto"/>
              </w:rPr>
              <w:t>12/1/06</w:t>
            </w:r>
          </w:p>
        </w:tc>
        <w:tc>
          <w:tcPr>
            <w:tcW w:w="1440" w:type="dxa"/>
            <w:vAlign w:val="bottom"/>
            <w:gridSpan w:val="2"/>
          </w:tcPr>
          <w:p>
            <w:pPr>
              <w:jc w:val="right"/>
              <w:ind w:right="669"/>
              <w:spacing w:after="0"/>
              <w:rPr>
                <w:sz w:val="20"/>
                <w:szCs w:val="20"/>
                <w:color w:val="auto"/>
              </w:rPr>
            </w:pPr>
            <w:r>
              <w:rPr>
                <w:rFonts w:ascii="Arial" w:cs="Arial" w:eastAsia="Arial" w:hAnsi="Arial"/>
                <w:sz w:val="15"/>
                <w:szCs w:val="15"/>
                <w:color w:val="auto"/>
              </w:rPr>
              <w:t>12/4/06</w:t>
            </w:r>
          </w:p>
        </w:tc>
        <w:tc>
          <w:tcPr>
            <w:tcW w:w="700" w:type="dxa"/>
            <w:vAlign w:val="bottom"/>
            <w:gridSpan w:val="2"/>
          </w:tcPr>
          <w:p>
            <w:pPr>
              <w:jc w:val="right"/>
              <w:ind w:right="109"/>
              <w:spacing w:after="0"/>
              <w:rPr>
                <w:sz w:val="20"/>
                <w:szCs w:val="20"/>
                <w:color w:val="auto"/>
              </w:rPr>
            </w:pPr>
            <w:r>
              <w:rPr>
                <w:rFonts w:ascii="Arial" w:cs="Arial" w:eastAsia="Arial" w:hAnsi="Arial"/>
                <w:sz w:val="15"/>
                <w:szCs w:val="15"/>
                <w:color w:val="auto"/>
                <w:w w:val="99"/>
              </w:rPr>
              <w:t>12/5/06</w:t>
            </w:r>
          </w:p>
        </w:tc>
        <w:tc>
          <w:tcPr>
            <w:tcW w:w="1860" w:type="dxa"/>
            <w:vAlign w:val="bottom"/>
            <w:gridSpan w:val="2"/>
          </w:tcPr>
          <w:p>
            <w:pPr>
              <w:jc w:val="right"/>
              <w:ind w:right="669"/>
              <w:spacing w:after="0"/>
              <w:rPr>
                <w:sz w:val="20"/>
                <w:szCs w:val="20"/>
                <w:color w:val="auto"/>
              </w:rPr>
            </w:pPr>
            <w:r>
              <w:rPr>
                <w:rFonts w:ascii="Arial" w:cs="Arial" w:eastAsia="Arial" w:hAnsi="Arial"/>
                <w:sz w:val="15"/>
                <w:szCs w:val="15"/>
                <w:color w:val="auto"/>
              </w:rPr>
              <w:t>12/6/06</w:t>
            </w:r>
          </w:p>
        </w:tc>
        <w:tc>
          <w:tcPr>
            <w:tcW w:w="660" w:type="dxa"/>
            <w:vAlign w:val="bottom"/>
          </w:tcPr>
          <w:p>
            <w:pPr>
              <w:jc w:val="right"/>
              <w:ind w:right="67"/>
              <w:spacing w:after="0"/>
              <w:rPr>
                <w:sz w:val="20"/>
                <w:szCs w:val="20"/>
                <w:color w:val="auto"/>
              </w:rPr>
            </w:pPr>
            <w:r>
              <w:rPr>
                <w:rFonts w:ascii="Arial" w:cs="Arial" w:eastAsia="Arial" w:hAnsi="Arial"/>
                <w:sz w:val="15"/>
                <w:szCs w:val="15"/>
                <w:color w:val="auto"/>
                <w:w w:val="99"/>
              </w:rPr>
              <w:t>12/7/06</w:t>
            </w:r>
          </w:p>
        </w:tc>
        <w:tc>
          <w:tcPr>
            <w:tcW w:w="1240" w:type="dxa"/>
            <w:vAlign w:val="bottom"/>
            <w:gridSpan w:val="2"/>
          </w:tcPr>
          <w:p>
            <w:pPr>
              <w:jc w:val="right"/>
              <w:ind w:right="129"/>
              <w:spacing w:after="0"/>
              <w:rPr>
                <w:sz w:val="20"/>
                <w:szCs w:val="20"/>
                <w:color w:val="auto"/>
              </w:rPr>
            </w:pPr>
            <w:r>
              <w:rPr>
                <w:rFonts w:ascii="Arial" w:cs="Arial" w:eastAsia="Arial" w:hAnsi="Arial"/>
                <w:sz w:val="15"/>
                <w:szCs w:val="15"/>
                <w:color w:val="auto"/>
              </w:rPr>
              <w:t>12/8/06</w:t>
            </w:r>
          </w:p>
        </w:tc>
        <w:tc>
          <w:tcPr>
            <w:tcW w:w="1700" w:type="dxa"/>
            <w:vAlign w:val="bottom"/>
            <w:gridSpan w:val="2"/>
          </w:tcPr>
          <w:p>
            <w:pPr>
              <w:jc w:val="right"/>
              <w:ind w:right="449"/>
              <w:spacing w:after="0"/>
              <w:rPr>
                <w:sz w:val="20"/>
                <w:szCs w:val="20"/>
                <w:color w:val="auto"/>
              </w:rPr>
            </w:pPr>
            <w:r>
              <w:rPr>
                <w:rFonts w:ascii="Arial" w:cs="Arial" w:eastAsia="Arial" w:hAnsi="Arial"/>
                <w:sz w:val="15"/>
                <w:szCs w:val="15"/>
                <w:color w:val="auto"/>
              </w:rPr>
              <w:t>12/11/06</w:t>
            </w:r>
          </w:p>
        </w:tc>
        <w:tc>
          <w:tcPr>
            <w:tcW w:w="680" w:type="dxa"/>
            <w:vAlign w:val="bottom"/>
          </w:tcPr>
          <w:p>
            <w:pPr>
              <w:jc w:val="right"/>
              <w:spacing w:after="0"/>
              <w:rPr>
                <w:sz w:val="20"/>
                <w:szCs w:val="20"/>
                <w:color w:val="auto"/>
              </w:rPr>
            </w:pPr>
            <w:r>
              <w:rPr>
                <w:rFonts w:ascii="Arial" w:cs="Arial" w:eastAsia="Arial" w:hAnsi="Arial"/>
                <w:sz w:val="15"/>
                <w:szCs w:val="15"/>
                <w:color w:val="auto"/>
              </w:rPr>
              <w:t>12/11/06</w:t>
            </w: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jc w:val="center"/>
              <w:ind w:left="4"/>
              <w:spacing w:after="0"/>
              <w:rPr>
                <w:sz w:val="20"/>
                <w:szCs w:val="20"/>
                <w:color w:val="auto"/>
              </w:rPr>
            </w:pPr>
            <w:r>
              <w:rPr>
                <w:rFonts w:ascii="Arial" w:cs="Arial" w:eastAsia="Arial" w:hAnsi="Arial"/>
                <w:sz w:val="15"/>
                <w:szCs w:val="15"/>
                <w:color w:val="auto"/>
              </w:rPr>
              <w:t>close</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1040"/>
        <w:spacing w:after="0"/>
        <w:rPr>
          <w:sz w:val="20"/>
          <w:szCs w:val="20"/>
          <w:color w:val="auto"/>
        </w:rPr>
      </w:pPr>
      <w:r>
        <w:rPr>
          <w:rFonts w:ascii="Arial" w:cs="Arial" w:eastAsia="Arial" w:hAnsi="Arial"/>
          <w:sz w:val="28"/>
          <w:szCs w:val="28"/>
          <w:color w:val="004E90"/>
        </w:rPr>
        <w:t xml:space="preserve">– </w:t>
      </w:r>
      <w:r>
        <w:rPr>
          <w:rFonts w:ascii="Arial" w:cs="Arial" w:eastAsia="Arial" w:hAnsi="Arial"/>
          <w:sz w:val="28"/>
          <w:szCs w:val="28"/>
          <w:color w:val="000000"/>
        </w:rPr>
        <w:t>Pilgrim’s Pride’s stock price has risen 15% since announcement</w:t>
      </w:r>
    </w:p>
    <w:p>
      <w:pPr>
        <w:spacing w:after="0" w:line="200" w:lineRule="exact"/>
        <w:rPr>
          <w:sz w:val="20"/>
          <w:szCs w:val="20"/>
          <w:color w:val="auto"/>
        </w:rPr>
      </w:pPr>
    </w:p>
    <w:p>
      <w:pPr>
        <w:spacing w:after="0" w:line="354" w:lineRule="exact"/>
        <w:rPr>
          <w:sz w:val="20"/>
          <w:szCs w:val="20"/>
          <w:color w:val="auto"/>
        </w:rPr>
      </w:pPr>
    </w:p>
    <w:p>
      <w:pPr>
        <w:ind w:left="99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570" w:right="339" w:bottom="1440" w:gutter="0" w:footer="0" w:header="0"/>
        </w:sectPr>
      </w:pPr>
    </w:p>
    <w:bookmarkStart w:id="12" w:name="page13"/>
    <w:bookmarkEnd w:id="12"/>
    <w:p>
      <w:pPr>
        <w:ind w:left="80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Expanded Geographic Footprint…</w:t>
      </w:r>
    </w:p>
    <w:p>
      <w:pPr>
        <w:spacing w:after="0" w:line="325" w:lineRule="exact"/>
        <w:rPr>
          <w:sz w:val="20"/>
          <w:szCs w:val="20"/>
          <w:color w:val="auto"/>
        </w:rPr>
      </w:pPr>
    </w:p>
    <w:p>
      <w:pPr>
        <w:ind w:left="860"/>
        <w:spacing w:after="0"/>
        <w:rPr>
          <w:sz w:val="20"/>
          <w:szCs w:val="20"/>
          <w:color w:val="auto"/>
        </w:rPr>
      </w:pPr>
      <w:r>
        <w:rPr>
          <w:rFonts w:ascii="Arial" w:cs="Arial" w:eastAsia="Arial" w:hAnsi="Arial"/>
          <w:sz w:val="28"/>
          <w:szCs w:val="28"/>
          <w:color w:val="004E90"/>
        </w:rPr>
        <w:t xml:space="preserve">– </w:t>
      </w:r>
      <w:r>
        <w:rPr>
          <w:rFonts w:ascii="Arial" w:cs="Arial" w:eastAsia="Arial" w:hAnsi="Arial"/>
          <w:sz w:val="28"/>
          <w:szCs w:val="28"/>
          <w:color w:val="000000"/>
        </w:rPr>
        <w:t>Gold Kist acquisition expands Southeast presence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Pilgrim's Pride’s Chicken Processing</w:t>
      </w:r>
    </w:p>
    <w:p>
      <w:pPr>
        <w:spacing w:after="0" w:line="98"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Pilgrim's Pride's Turkey Processing</w:t>
      </w:r>
    </w:p>
    <w:p>
      <w:pPr>
        <w:spacing w:after="0" w:line="86"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Pilgrim's Pride's Prepared Foods</w:t>
      </w:r>
    </w:p>
    <w:p>
      <w:pPr>
        <w:spacing w:after="0" w:line="98"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Pilgrim's Pride's Distribution Centers</w:t>
      </w:r>
    </w:p>
    <w:p>
      <w:pPr>
        <w:spacing w:after="0" w:line="86"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Gold Kist Chicken Processing</w:t>
      </w:r>
    </w:p>
    <w:p>
      <w:pPr>
        <w:spacing w:after="0" w:line="98"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Gold Kist Distribution Centers</w:t>
      </w:r>
    </w:p>
    <w:p>
      <w:pPr>
        <w:spacing w:after="0" w:line="86"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Gold Kist Prepared Food 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00"/>
          </w:cols>
          <w:pgMar w:left="1440" w:top="1017" w:right="359" w:bottom="1440" w:gutter="0" w:footer="0" w:header="0"/>
        </w:sectPr>
      </w:pPr>
    </w:p>
    <w:bookmarkStart w:id="13" w:name="page14"/>
    <w:bookmarkEnd w:id="13"/>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…With More Diversified End Markets</w:t>
      </w:r>
    </w:p>
    <w:p>
      <w:pPr>
        <w:spacing w:after="0" w:line="278" w:lineRule="exact"/>
        <w:rPr>
          <w:sz w:val="20"/>
          <w:szCs w:val="20"/>
          <w:color w:val="auto"/>
        </w:rPr>
      </w:pPr>
    </w:p>
    <w:p>
      <w:pPr>
        <w:ind w:left="860"/>
        <w:spacing w:after="0"/>
        <w:rPr>
          <w:sz w:val="20"/>
          <w:szCs w:val="20"/>
          <w:color w:val="auto"/>
        </w:rPr>
      </w:pPr>
      <w:r>
        <w:rPr>
          <w:rFonts w:ascii="Arial" w:cs="Arial" w:eastAsia="Arial" w:hAnsi="Arial"/>
          <w:sz w:val="28"/>
          <w:szCs w:val="28"/>
          <w:color w:val="004E90"/>
        </w:rPr>
        <w:t xml:space="preserve">– </w:t>
      </w:r>
      <w:r>
        <w:rPr>
          <w:rFonts w:ascii="Arial" w:cs="Arial" w:eastAsia="Arial" w:hAnsi="Arial"/>
          <w:sz w:val="28"/>
          <w:szCs w:val="28"/>
          <w:color w:val="000000"/>
        </w:rPr>
        <w:t>Enhances retail prepared foods opportunities</w:t>
      </w:r>
    </w:p>
    <w:p>
      <w:pPr>
        <w:spacing w:after="0" w:line="279" w:lineRule="exact"/>
        <w:rPr>
          <w:sz w:val="20"/>
          <w:szCs w:val="20"/>
          <w:color w:val="auto"/>
        </w:rPr>
      </w:pPr>
    </w:p>
    <w:p>
      <w:pPr>
        <w:ind w:left="1300"/>
        <w:spacing w:after="0"/>
        <w:tabs>
          <w:tab w:leader="none" w:pos="4880" w:val="left"/>
          <w:tab w:leader="none" w:pos="8160" w:val="left"/>
        </w:tabs>
        <w:rPr>
          <w:sz w:val="20"/>
          <w:szCs w:val="20"/>
          <w:color w:val="auto"/>
        </w:rPr>
      </w:pPr>
      <w:r>
        <w:rPr>
          <w:rFonts w:ascii="Arial" w:cs="Arial" w:eastAsia="Arial" w:hAnsi="Arial"/>
          <w:sz w:val="22"/>
          <w:szCs w:val="22"/>
          <w:b w:val="1"/>
          <w:bCs w:val="1"/>
          <w:color w:val="auto"/>
        </w:rPr>
        <w:t>Pilgrim’s Pride</w:t>
      </w:r>
      <w:r>
        <w:rPr>
          <w:sz w:val="20"/>
          <w:szCs w:val="20"/>
          <w:color w:val="auto"/>
        </w:rPr>
        <w:tab/>
      </w:r>
      <w:r>
        <w:rPr>
          <w:rFonts w:ascii="Arial" w:cs="Arial" w:eastAsia="Arial" w:hAnsi="Arial"/>
          <w:sz w:val="22"/>
          <w:szCs w:val="22"/>
          <w:b w:val="1"/>
          <w:bCs w:val="1"/>
          <w:color w:val="auto"/>
        </w:rPr>
        <w:t>Gold Kist</w:t>
      </w:r>
      <w:r>
        <w:rPr>
          <w:sz w:val="20"/>
          <w:szCs w:val="20"/>
          <w:color w:val="auto"/>
        </w:rPr>
        <w:tab/>
      </w:r>
      <w:r>
        <w:rPr>
          <w:rFonts w:ascii="Arial" w:cs="Arial" w:eastAsia="Arial" w:hAnsi="Arial"/>
          <w:sz w:val="22"/>
          <w:szCs w:val="22"/>
          <w:b w:val="1"/>
          <w:bCs w:val="1"/>
          <w:color w:val="auto"/>
        </w:rPr>
        <w:t>Combined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560"/>
        <w:spacing w:after="0"/>
        <w:tabs>
          <w:tab w:leader="none" w:pos="4740" w:val="left"/>
          <w:tab w:leader="none" w:pos="5800" w:val="left"/>
          <w:tab w:leader="none" w:pos="8200" w:val="left"/>
          <w:tab w:leader="none" w:pos="9020" w:val="left"/>
        </w:tabs>
        <w:rPr>
          <w:sz w:val="20"/>
          <w:szCs w:val="20"/>
          <w:color w:val="auto"/>
        </w:rPr>
      </w:pPr>
      <w:r>
        <w:rPr>
          <w:rFonts w:ascii="Arial" w:cs="Arial" w:eastAsia="Arial" w:hAnsi="Arial"/>
          <w:sz w:val="31"/>
          <w:szCs w:val="31"/>
          <w:b w:val="1"/>
          <w:bCs w:val="1"/>
          <w:color w:val="FFFFFF"/>
          <w:vertAlign w:val="superscript"/>
        </w:rPr>
        <w:t>20%</w:t>
      </w:r>
      <w:r>
        <w:rPr>
          <w:sz w:val="20"/>
          <w:szCs w:val="20"/>
          <w:color w:val="auto"/>
        </w:rPr>
        <w:tab/>
      </w:r>
      <w:r>
        <w:rPr>
          <w:rFonts w:ascii="Arial" w:cs="Arial" w:eastAsia="Arial" w:hAnsi="Arial"/>
          <w:sz w:val="15"/>
          <w:szCs w:val="15"/>
          <w:b w:val="1"/>
          <w:bCs w:val="1"/>
          <w:color w:val="FFFFFF"/>
        </w:rPr>
        <w:t>19%</w:t>
      </w:r>
      <w:r>
        <w:rPr>
          <w:sz w:val="20"/>
          <w:szCs w:val="20"/>
          <w:color w:val="auto"/>
        </w:rPr>
        <w:tab/>
      </w:r>
      <w:r>
        <w:rPr>
          <w:rFonts w:ascii="Arial" w:cs="Arial" w:eastAsia="Arial" w:hAnsi="Arial"/>
          <w:sz w:val="15"/>
          <w:szCs w:val="15"/>
          <w:b w:val="1"/>
          <w:bCs w:val="1"/>
          <w:color w:val="auto"/>
        </w:rPr>
        <w:t>38%</w:t>
      </w:r>
      <w:r>
        <w:rPr>
          <w:sz w:val="20"/>
          <w:szCs w:val="20"/>
          <w:color w:val="auto"/>
        </w:rPr>
        <w:tab/>
      </w:r>
      <w:r>
        <w:rPr>
          <w:rFonts w:ascii="Arial" w:cs="Arial" w:eastAsia="Arial" w:hAnsi="Arial"/>
          <w:sz w:val="15"/>
          <w:szCs w:val="15"/>
          <w:b w:val="1"/>
          <w:bCs w:val="1"/>
          <w:color w:val="FFFFFF"/>
        </w:rPr>
        <w:t>20%</w:t>
      </w:r>
      <w:r>
        <w:rPr>
          <w:sz w:val="20"/>
          <w:szCs w:val="20"/>
          <w:color w:val="auto"/>
        </w:rPr>
        <w:tab/>
      </w:r>
      <w:r>
        <w:rPr>
          <w:rFonts w:ascii="Arial" w:cs="Arial" w:eastAsia="Arial" w:hAnsi="Arial"/>
          <w:sz w:val="14"/>
          <w:szCs w:val="14"/>
          <w:b w:val="1"/>
          <w:bCs w:val="1"/>
          <w:color w:val="auto"/>
        </w:rPr>
        <w:t>57%</w:t>
      </w:r>
    </w:p>
    <w:p>
      <w:pPr>
        <w:spacing w:after="0" w:line="74" w:lineRule="exact"/>
        <w:rPr>
          <w:sz w:val="20"/>
          <w:szCs w:val="20"/>
          <w:color w:val="auto"/>
        </w:rPr>
      </w:pPr>
    </w:p>
    <w:p>
      <w:pPr>
        <w:ind w:left="2480"/>
        <w:spacing w:after="0"/>
        <w:rPr>
          <w:sz w:val="20"/>
          <w:szCs w:val="20"/>
          <w:color w:val="auto"/>
        </w:rPr>
      </w:pPr>
      <w:r>
        <w:rPr>
          <w:rFonts w:ascii="Arial" w:cs="Arial" w:eastAsia="Arial" w:hAnsi="Arial"/>
          <w:sz w:val="15"/>
          <w:szCs w:val="15"/>
          <w:b w:val="1"/>
          <w:bCs w:val="1"/>
          <w:color w:val="auto"/>
        </w:rPr>
        <w:t>64%</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FFFFFF"/>
        </w:rPr>
        <w:t>16%</w:t>
      </w:r>
    </w:p>
    <w:p>
      <w:pPr>
        <w:ind w:left="7920"/>
        <w:spacing w:after="0" w:line="226" w:lineRule="auto"/>
        <w:rPr>
          <w:sz w:val="20"/>
          <w:szCs w:val="20"/>
          <w:color w:val="auto"/>
        </w:rPr>
      </w:pPr>
      <w:r>
        <w:rPr>
          <w:rFonts w:ascii="Arial" w:cs="Arial" w:eastAsia="Arial" w:hAnsi="Arial"/>
          <w:sz w:val="15"/>
          <w:szCs w:val="15"/>
          <w:b w:val="1"/>
          <w:bCs w:val="1"/>
          <w:color w:val="FFFFFF"/>
        </w:rPr>
        <w:t>24%</w:t>
      </w:r>
    </w:p>
    <w:p>
      <w:pPr>
        <w:spacing w:after="0" w:line="1" w:lineRule="exact"/>
        <w:rPr>
          <w:sz w:val="20"/>
          <w:szCs w:val="20"/>
          <w:color w:val="auto"/>
        </w:rPr>
      </w:pPr>
    </w:p>
    <w:p>
      <w:pPr>
        <w:jc w:val="center"/>
        <w:ind w:right="320"/>
        <w:spacing w:after="0"/>
        <w:rPr>
          <w:sz w:val="20"/>
          <w:szCs w:val="20"/>
          <w:color w:val="auto"/>
        </w:rPr>
      </w:pPr>
      <w:r>
        <w:rPr>
          <w:rFonts w:ascii="Arial" w:cs="Arial" w:eastAsia="Arial" w:hAnsi="Arial"/>
          <w:sz w:val="15"/>
          <w:szCs w:val="15"/>
          <w:b w:val="1"/>
          <w:bCs w:val="1"/>
          <w:color w:val="FFFFFF"/>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80"/>
        <w:spacing w:after="0"/>
        <w:tabs>
          <w:tab w:leader="none" w:pos="4180" w:val="left"/>
          <w:tab w:leader="none" w:pos="7500" w:val="left"/>
        </w:tabs>
        <w:rPr>
          <w:sz w:val="20"/>
          <w:szCs w:val="20"/>
          <w:color w:val="auto"/>
        </w:rPr>
      </w:pPr>
      <w:r>
        <w:rPr>
          <w:rFonts w:ascii="Arial" w:cs="Arial" w:eastAsia="Arial" w:hAnsi="Arial"/>
          <w:sz w:val="19"/>
          <w:szCs w:val="19"/>
          <w:b w:val="1"/>
          <w:bCs w:val="1"/>
          <w:color w:val="auto"/>
        </w:rPr>
        <w:t>FY 2005 Net Sales: $5.7 BN</w:t>
      </w:r>
      <w:r>
        <w:rPr>
          <w:sz w:val="20"/>
          <w:szCs w:val="20"/>
          <w:color w:val="auto"/>
        </w:rPr>
        <w:tab/>
      </w:r>
      <w:r>
        <w:rPr>
          <w:rFonts w:ascii="Arial" w:cs="Arial" w:eastAsia="Arial" w:hAnsi="Arial"/>
          <w:sz w:val="19"/>
          <w:szCs w:val="19"/>
          <w:b w:val="1"/>
          <w:bCs w:val="1"/>
          <w:color w:val="auto"/>
        </w:rPr>
        <w:t>FY 2005 Net Sales: $2.3 BN</w:t>
      </w:r>
      <w:r>
        <w:rPr>
          <w:sz w:val="20"/>
          <w:szCs w:val="20"/>
          <w:color w:val="auto"/>
        </w:rPr>
        <w:tab/>
      </w:r>
      <w:r>
        <w:rPr>
          <w:rFonts w:ascii="Arial" w:cs="Arial" w:eastAsia="Arial" w:hAnsi="Arial"/>
          <w:sz w:val="18"/>
          <w:szCs w:val="18"/>
          <w:b w:val="1"/>
          <w:bCs w:val="1"/>
          <w:color w:val="auto"/>
        </w:rPr>
        <w:t>FY 2005 Net Sales: $8.0 BN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00"/>
        <w:spacing w:after="0"/>
        <w:tabs>
          <w:tab w:leader="none" w:pos="5240" w:val="left"/>
          <w:tab w:leader="none" w:pos="6420" w:val="left"/>
        </w:tabs>
        <w:rPr>
          <w:sz w:val="20"/>
          <w:szCs w:val="20"/>
          <w:color w:val="auto"/>
        </w:rPr>
      </w:pPr>
      <w:r>
        <w:rPr>
          <w:rFonts w:ascii="Arial" w:cs="Arial" w:eastAsia="Arial" w:hAnsi="Arial"/>
          <w:sz w:val="20"/>
          <w:szCs w:val="20"/>
          <w:b w:val="1"/>
          <w:bCs w:val="1"/>
          <w:color w:val="auto"/>
        </w:rPr>
        <w:t>Foodservice</w:t>
      </w:r>
      <w:r>
        <w:rPr>
          <w:sz w:val="20"/>
          <w:szCs w:val="20"/>
          <w:color w:val="auto"/>
        </w:rPr>
        <w:tab/>
      </w:r>
      <w:r>
        <w:rPr>
          <w:rFonts w:ascii="Arial" w:cs="Arial" w:eastAsia="Arial" w:hAnsi="Arial"/>
          <w:sz w:val="20"/>
          <w:szCs w:val="20"/>
          <w:b w:val="1"/>
          <w:bCs w:val="1"/>
          <w:color w:val="auto"/>
        </w:rPr>
        <w:t>Retail</w:t>
      </w:r>
      <w:r>
        <w:rPr>
          <w:sz w:val="20"/>
          <w:szCs w:val="20"/>
          <w:color w:val="auto"/>
        </w:rPr>
        <w:tab/>
      </w:r>
      <w:r>
        <w:rPr>
          <w:rFonts w:ascii="Arial" w:cs="Arial" w:eastAsia="Arial" w:hAnsi="Arial"/>
          <w:sz w:val="19"/>
          <w:szCs w:val="19"/>
          <w:b w:val="1"/>
          <w:bCs w:val="1"/>
          <w:color w:val="auto"/>
        </w:rPr>
        <w:t>Export/Other</w:t>
      </w:r>
    </w:p>
    <w:p>
      <w:pPr>
        <w:spacing w:after="0" w:line="200" w:lineRule="exact"/>
        <w:rPr>
          <w:sz w:val="20"/>
          <w:szCs w:val="20"/>
          <w:color w:val="auto"/>
        </w:rPr>
      </w:pPr>
    </w:p>
    <w:p>
      <w:pPr>
        <w:spacing w:after="0" w:line="32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Source: WATT Poultry USA, January 2006.</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00"/>
          </w:cols>
          <w:pgMar w:left="1440" w:top="1064" w:right="359" w:bottom="1440"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…Leading to Stabilized Pricing Outlook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80"/>
        <w:spacing w:after="0"/>
        <w:rPr>
          <w:sz w:val="20"/>
          <w:szCs w:val="20"/>
          <w:color w:val="auto"/>
        </w:rPr>
      </w:pPr>
      <w:r>
        <w:rPr>
          <w:rFonts w:ascii="Arial" w:cs="Arial" w:eastAsia="Arial" w:hAnsi="Arial"/>
          <w:sz w:val="28"/>
          <w:szCs w:val="28"/>
          <w:b w:val="1"/>
          <w:bCs w:val="1"/>
          <w:color w:val="auto"/>
        </w:rPr>
        <w:t>Average Prices Over Periods Represented</w:t>
      </w:r>
    </w:p>
    <w:p>
      <w:pPr>
        <w:sectPr>
          <w:pgSz w:w="11900" w:h="16838" w:orient="portrait"/>
          <w:cols w:equalWidth="0" w:num="1">
            <w:col w:w="10100"/>
          </w:cols>
          <w:pgMar w:left="1440" w:top="1052" w:right="359" w:bottom="1440" w:gutter="0" w:footer="0" w:header="0"/>
        </w:sectPr>
      </w:pPr>
    </w:p>
    <w:p>
      <w:pPr>
        <w:spacing w:after="0" w:line="25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$2.00</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$1.80</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$1.60</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$1.40</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$1.20</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$1.00</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$0.80</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$0.60</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$0.40</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$0.20</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$0.00</w:t>
      </w:r>
    </w:p>
    <w:p>
      <w:pPr>
        <w:spacing w:after="0" w:line="51" w:lineRule="exact"/>
        <w:rPr>
          <w:sz w:val="20"/>
          <w:szCs w:val="20"/>
          <w:color w:val="auto"/>
        </w:rPr>
      </w:pPr>
    </w:p>
    <w:p>
      <w:pPr>
        <w:jc w:val="center"/>
        <w:ind w:left="1140"/>
        <w:spacing w:after="0"/>
        <w:rPr>
          <w:sz w:val="20"/>
          <w:szCs w:val="20"/>
          <w:color w:val="auto"/>
        </w:rPr>
      </w:pPr>
      <w:r>
        <w:rPr>
          <w:rFonts w:ascii="Arial" w:cs="Arial" w:eastAsia="Arial" w:hAnsi="Arial"/>
          <w:sz w:val="15"/>
          <w:szCs w:val="15"/>
          <w:color w:val="auto"/>
        </w:rPr>
        <w:t>'93 '94 '95  '96 '97  '98  '99 '00 '01 '02  '03 '04 '05 '06</w:t>
      </w:r>
    </w:p>
    <w:p>
      <w:pPr>
        <w:spacing w:after="0" w:line="62" w:lineRule="exact"/>
        <w:rPr>
          <w:sz w:val="20"/>
          <w:szCs w:val="20"/>
          <w:color w:val="auto"/>
        </w:rPr>
      </w:pPr>
    </w:p>
    <w:p>
      <w:pPr>
        <w:ind w:left="2900"/>
        <w:spacing w:after="0"/>
        <w:rPr>
          <w:sz w:val="20"/>
          <w:szCs w:val="20"/>
          <w:color w:val="auto"/>
        </w:rPr>
      </w:pPr>
      <w:r>
        <w:rPr>
          <w:rFonts w:ascii="Arial" w:cs="Arial" w:eastAsia="Arial" w:hAnsi="Arial"/>
          <w:sz w:val="14"/>
          <w:szCs w:val="14"/>
          <w:color w:val="auto"/>
        </w:rPr>
        <w:t>Fiscal Years</w:t>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860" w:val="left"/>
        </w:tabs>
        <w:rPr>
          <w:sz w:val="20"/>
          <w:szCs w:val="20"/>
          <w:color w:val="auto"/>
        </w:rPr>
      </w:pPr>
      <w:r>
        <w:rPr>
          <w:rFonts w:ascii="Arial" w:cs="Arial" w:eastAsia="Arial" w:hAnsi="Arial"/>
          <w:sz w:val="15"/>
          <w:szCs w:val="15"/>
          <w:color w:val="auto"/>
        </w:rPr>
        <w:t>GA Dock</w:t>
      </w:r>
      <w:r>
        <w:rPr>
          <w:sz w:val="20"/>
          <w:szCs w:val="20"/>
          <w:color w:val="auto"/>
        </w:rPr>
        <w:tab/>
      </w:r>
      <w:r>
        <w:rPr>
          <w:rFonts w:ascii="Arial" w:cs="Arial" w:eastAsia="Arial" w:hAnsi="Arial"/>
          <w:sz w:val="15"/>
          <w:szCs w:val="15"/>
          <w:color w:val="auto"/>
        </w:rPr>
        <w:t>Leg Quarters</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Source: UrnerBarry Publications, Inc.</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(1) Month to date through December 8,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2580" w:type="dxa"/>
            <w:vAlign w:val="bottom"/>
          </w:tcPr>
          <w:p>
            <w:pPr>
              <w:spacing w:after="0"/>
              <w:rPr>
                <w:sz w:val="20"/>
                <w:szCs w:val="20"/>
                <w:color w:val="auto"/>
              </w:rPr>
            </w:pPr>
            <w:r>
              <w:rPr>
                <w:rFonts w:ascii="Arial" w:cs="Arial" w:eastAsia="Arial" w:hAnsi="Arial"/>
                <w:sz w:val="15"/>
                <w:szCs w:val="15"/>
                <w:color w:val="auto"/>
              </w:rPr>
              <w:t>N  D   J   F   M  A   M   J   J</w:t>
            </w:r>
          </w:p>
        </w:tc>
        <w:tc>
          <w:tcPr>
            <w:tcW w:w="1560" w:type="dxa"/>
            <w:vAlign w:val="bottom"/>
          </w:tcPr>
          <w:p>
            <w:pPr>
              <w:ind w:left="120"/>
              <w:spacing w:after="0"/>
              <w:rPr>
                <w:sz w:val="20"/>
                <w:szCs w:val="20"/>
                <w:color w:val="auto"/>
              </w:rPr>
            </w:pPr>
            <w:r>
              <w:rPr>
                <w:rFonts w:ascii="Arial" w:cs="Arial" w:eastAsia="Arial" w:hAnsi="Arial"/>
                <w:sz w:val="15"/>
                <w:szCs w:val="15"/>
                <w:color w:val="auto"/>
              </w:rPr>
              <w:t xml:space="preserve">A   S  O   N   D </w:t>
            </w:r>
            <w:r>
              <w:rPr>
                <w:rFonts w:ascii="Arial" w:cs="Arial" w:eastAsia="Arial" w:hAnsi="Arial"/>
                <w:sz w:val="15"/>
                <w:szCs w:val="15"/>
                <w:color w:val="auto"/>
                <w:vertAlign w:val="superscript"/>
              </w:rPr>
              <w:t>(1)</w:t>
            </w:r>
          </w:p>
        </w:tc>
      </w:tr>
      <w:tr>
        <w:trPr>
          <w:trHeight w:val="278"/>
        </w:trPr>
        <w:tc>
          <w:tcPr>
            <w:tcW w:w="2580" w:type="dxa"/>
            <w:vAlign w:val="bottom"/>
          </w:tcPr>
          <w:p>
            <w:pPr>
              <w:ind w:left="1500"/>
              <w:spacing w:after="0"/>
              <w:rPr>
                <w:sz w:val="20"/>
                <w:szCs w:val="20"/>
                <w:color w:val="auto"/>
              </w:rPr>
            </w:pPr>
            <w:r>
              <w:rPr>
                <w:rFonts w:ascii="Arial" w:cs="Arial" w:eastAsia="Arial" w:hAnsi="Arial"/>
                <w:sz w:val="14"/>
                <w:szCs w:val="14"/>
                <w:color w:val="auto"/>
              </w:rPr>
              <w:t>FY 2006</w:t>
            </w:r>
          </w:p>
        </w:tc>
        <w:tc>
          <w:tcPr>
            <w:tcW w:w="1560" w:type="dxa"/>
            <w:vAlign w:val="bottom"/>
          </w:tcPr>
          <w:p>
            <w:pPr>
              <w:ind w:left="720"/>
              <w:spacing w:after="0"/>
              <w:rPr>
                <w:sz w:val="20"/>
                <w:szCs w:val="20"/>
                <w:color w:val="auto"/>
              </w:rPr>
            </w:pPr>
            <w:r>
              <w:rPr>
                <w:rFonts w:ascii="Arial" w:cs="Arial" w:eastAsia="Arial" w:hAnsi="Arial"/>
                <w:sz w:val="14"/>
                <w:szCs w:val="14"/>
                <w:color w:val="auto"/>
              </w:rPr>
              <w:t>FY 2007</w:t>
            </w: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Boneless Skinless Breast</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ectPr>
          <w:pgSz w:w="11900" w:h="16838" w:orient="portrait"/>
          <w:cols w:equalWidth="0" w:num="2">
            <w:col w:w="5580" w:space="280"/>
            <w:col w:w="4240"/>
          </w:cols>
          <w:pgMar w:left="1440" w:top="1052" w:right="359" w:bottom="1440" w:gutter="0" w:footer="0" w:header="0"/>
          <w:type w:val="continuous"/>
        </w:sectPr>
      </w:pPr>
    </w:p>
    <w:bookmarkStart w:id="16" w:name="page17"/>
    <w:bookmarkEnd w:id="16"/>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Combined Company</w:t>
      </w:r>
    </w:p>
    <w:p>
      <w:pPr>
        <w:spacing w:after="0" w:line="200" w:lineRule="exact"/>
        <w:rPr>
          <w:sz w:val="20"/>
          <w:szCs w:val="20"/>
          <w:color w:val="auto"/>
        </w:rPr>
      </w:pPr>
    </w:p>
    <w:p>
      <w:pPr>
        <w:spacing w:after="0" w:line="281" w:lineRule="exact"/>
        <w:rPr>
          <w:sz w:val="20"/>
          <w:szCs w:val="20"/>
          <w:color w:val="auto"/>
        </w:rPr>
      </w:pPr>
    </w:p>
    <w:tbl>
      <w:tblPr>
        <w:tblLayout w:type="fixed"/>
        <w:tblInd w:w="920" w:type="dxa"/>
        <w:tblCellMar>
          <w:top w:w="0" w:type="dxa"/>
          <w:left w:w="0" w:type="dxa"/>
          <w:bottom w:w="0" w:type="dxa"/>
          <w:right w:w="0" w:type="dxa"/>
        </w:tblCellMar>
      </w:tblPr>
      <w:tr>
        <w:trPr>
          <w:trHeight w:val="226"/>
        </w:trPr>
        <w:tc>
          <w:tcPr>
            <w:tcW w:w="5000" w:type="dxa"/>
            <w:vAlign w:val="bottom"/>
          </w:tcPr>
          <w:p>
            <w:pPr>
              <w:spacing w:after="0"/>
              <w:rPr>
                <w:sz w:val="20"/>
                <w:szCs w:val="20"/>
                <w:color w:val="auto"/>
              </w:rPr>
            </w:pPr>
            <w:r>
              <w:rPr>
                <w:rFonts w:ascii="Arial" w:cs="Arial" w:eastAsia="Arial" w:hAnsi="Arial"/>
                <w:sz w:val="19"/>
                <w:szCs w:val="19"/>
                <w:color w:val="auto"/>
              </w:rPr>
              <w:t>($ in millions)</w:t>
            </w:r>
          </w:p>
        </w:tc>
        <w:tc>
          <w:tcPr>
            <w:tcW w:w="2760" w:type="dxa"/>
            <w:vAlign w:val="bottom"/>
          </w:tcPr>
          <w:p>
            <w:pPr>
              <w:spacing w:after="0"/>
              <w:rPr>
                <w:sz w:val="19"/>
                <w:szCs w:val="19"/>
                <w:color w:val="auto"/>
              </w:rPr>
            </w:pPr>
          </w:p>
        </w:tc>
      </w:tr>
      <w:tr>
        <w:trPr>
          <w:trHeight w:val="714"/>
        </w:trPr>
        <w:tc>
          <w:tcPr>
            <w:tcW w:w="5000" w:type="dxa"/>
            <w:vAlign w:val="bottom"/>
          </w:tcPr>
          <w:p>
            <w:pPr>
              <w:spacing w:after="0"/>
              <w:rPr>
                <w:sz w:val="24"/>
                <w:szCs w:val="24"/>
                <w:color w:val="auto"/>
              </w:rPr>
            </w:pPr>
          </w:p>
        </w:tc>
        <w:tc>
          <w:tcPr>
            <w:tcW w:w="2760" w:type="dxa"/>
            <w:vAlign w:val="bottom"/>
          </w:tcPr>
          <w:p>
            <w:pPr>
              <w:jc w:val="right"/>
              <w:ind w:right="126"/>
              <w:spacing w:after="0"/>
              <w:rPr>
                <w:sz w:val="20"/>
                <w:szCs w:val="20"/>
                <w:color w:val="auto"/>
              </w:rPr>
            </w:pPr>
            <w:r>
              <w:rPr>
                <w:rFonts w:ascii="Arial" w:cs="Arial" w:eastAsia="Arial" w:hAnsi="Arial"/>
                <w:sz w:val="19"/>
                <w:szCs w:val="19"/>
                <w:b w:val="1"/>
                <w:bCs w:val="1"/>
                <w:color w:val="auto"/>
              </w:rPr>
              <w:t>FYE</w:t>
            </w:r>
          </w:p>
        </w:tc>
      </w:tr>
      <w:tr>
        <w:trPr>
          <w:trHeight w:val="250"/>
        </w:trPr>
        <w:tc>
          <w:tcPr>
            <w:tcW w:w="5000" w:type="dxa"/>
            <w:vAlign w:val="bottom"/>
          </w:tcPr>
          <w:p>
            <w:pPr>
              <w:spacing w:after="0"/>
              <w:rPr>
                <w:sz w:val="21"/>
                <w:szCs w:val="21"/>
                <w:color w:val="auto"/>
              </w:rPr>
            </w:pPr>
          </w:p>
        </w:tc>
        <w:tc>
          <w:tcPr>
            <w:tcW w:w="2760" w:type="dxa"/>
            <w:vAlign w:val="bottom"/>
          </w:tcPr>
          <w:p>
            <w:pPr>
              <w:jc w:val="right"/>
              <w:spacing w:after="0"/>
              <w:rPr>
                <w:sz w:val="20"/>
                <w:szCs w:val="20"/>
                <w:color w:val="auto"/>
              </w:rPr>
            </w:pPr>
            <w:r>
              <w:rPr>
                <w:rFonts w:ascii="Arial" w:cs="Arial" w:eastAsia="Arial" w:hAnsi="Arial"/>
                <w:sz w:val="19"/>
                <w:szCs w:val="19"/>
                <w:b w:val="1"/>
                <w:bCs w:val="1"/>
                <w:color w:val="auto"/>
              </w:rPr>
              <w:t>9/30/06</w:t>
            </w:r>
          </w:p>
        </w:tc>
      </w:tr>
      <w:tr>
        <w:trPr>
          <w:trHeight w:val="364"/>
        </w:trPr>
        <w:tc>
          <w:tcPr>
            <w:tcW w:w="5000" w:type="dxa"/>
            <w:vAlign w:val="bottom"/>
          </w:tcPr>
          <w:p>
            <w:pPr>
              <w:spacing w:after="0"/>
              <w:rPr>
                <w:sz w:val="20"/>
                <w:szCs w:val="20"/>
                <w:color w:val="auto"/>
              </w:rPr>
            </w:pPr>
            <w:r>
              <w:rPr>
                <w:rFonts w:ascii="Arial" w:cs="Arial" w:eastAsia="Arial" w:hAnsi="Arial"/>
                <w:sz w:val="19"/>
                <w:szCs w:val="19"/>
                <w:b w:val="1"/>
                <w:bCs w:val="1"/>
                <w:color w:val="auto"/>
              </w:rPr>
              <w:t>Net Sales</w:t>
            </w:r>
          </w:p>
        </w:tc>
        <w:tc>
          <w:tcPr>
            <w:tcW w:w="2760" w:type="dxa"/>
            <w:vAlign w:val="bottom"/>
          </w:tcPr>
          <w:p>
            <w:pPr>
              <w:spacing w:after="0"/>
              <w:rPr>
                <w:sz w:val="24"/>
                <w:szCs w:val="24"/>
                <w:color w:val="auto"/>
              </w:rPr>
            </w:pPr>
          </w:p>
        </w:tc>
      </w:tr>
      <w:tr>
        <w:trPr>
          <w:trHeight w:val="235"/>
        </w:trPr>
        <w:tc>
          <w:tcPr>
            <w:tcW w:w="5000" w:type="dxa"/>
            <w:vAlign w:val="bottom"/>
          </w:tcPr>
          <w:p>
            <w:pPr>
              <w:ind w:left="120"/>
              <w:spacing w:after="0"/>
              <w:rPr>
                <w:sz w:val="20"/>
                <w:szCs w:val="20"/>
                <w:color w:val="auto"/>
              </w:rPr>
            </w:pPr>
            <w:r>
              <w:rPr>
                <w:rFonts w:ascii="Arial" w:cs="Arial" w:eastAsia="Arial" w:hAnsi="Arial"/>
                <w:sz w:val="19"/>
                <w:szCs w:val="19"/>
                <w:color w:val="auto"/>
              </w:rPr>
              <w:t>Pilgrim's Pride</w:t>
            </w:r>
          </w:p>
        </w:tc>
        <w:tc>
          <w:tcPr>
            <w:tcW w:w="2760" w:type="dxa"/>
            <w:vAlign w:val="bottom"/>
          </w:tcPr>
          <w:p>
            <w:pPr>
              <w:jc w:val="right"/>
              <w:spacing w:after="0"/>
              <w:rPr>
                <w:sz w:val="20"/>
                <w:szCs w:val="20"/>
                <w:color w:val="auto"/>
              </w:rPr>
            </w:pPr>
            <w:r>
              <w:rPr>
                <w:rFonts w:ascii="Arial" w:cs="Arial" w:eastAsia="Arial" w:hAnsi="Arial"/>
                <w:sz w:val="19"/>
                <w:szCs w:val="19"/>
                <w:color w:val="auto"/>
              </w:rPr>
              <w:t>$5,236</w:t>
            </w:r>
          </w:p>
        </w:tc>
      </w:tr>
      <w:tr>
        <w:trPr>
          <w:trHeight w:val="232"/>
        </w:trPr>
        <w:tc>
          <w:tcPr>
            <w:tcW w:w="5000" w:type="dxa"/>
            <w:vAlign w:val="bottom"/>
          </w:tcPr>
          <w:p>
            <w:pPr>
              <w:ind w:left="120"/>
              <w:spacing w:after="0"/>
              <w:rPr>
                <w:sz w:val="20"/>
                <w:szCs w:val="20"/>
                <w:color w:val="auto"/>
              </w:rPr>
            </w:pPr>
            <w:r>
              <w:rPr>
                <w:rFonts w:ascii="Arial" w:cs="Arial" w:eastAsia="Arial" w:hAnsi="Arial"/>
                <w:sz w:val="19"/>
                <w:szCs w:val="19"/>
                <w:color w:val="auto"/>
              </w:rPr>
              <w:t>Gold Kist</w:t>
            </w:r>
          </w:p>
        </w:tc>
        <w:tc>
          <w:tcPr>
            <w:tcW w:w="2760" w:type="dxa"/>
            <w:vAlign w:val="bottom"/>
          </w:tcPr>
          <w:p>
            <w:pPr>
              <w:jc w:val="right"/>
              <w:spacing w:after="0"/>
              <w:rPr>
                <w:sz w:val="20"/>
                <w:szCs w:val="20"/>
                <w:color w:val="auto"/>
              </w:rPr>
            </w:pPr>
            <w:r>
              <w:rPr>
                <w:rFonts w:ascii="Arial" w:cs="Arial" w:eastAsia="Arial" w:hAnsi="Arial"/>
                <w:sz w:val="19"/>
                <w:szCs w:val="19"/>
                <w:color w:val="auto"/>
              </w:rPr>
              <w:t>2,127</w:t>
            </w:r>
          </w:p>
        </w:tc>
      </w:tr>
      <w:tr>
        <w:trPr>
          <w:trHeight w:val="250"/>
        </w:trPr>
        <w:tc>
          <w:tcPr>
            <w:tcW w:w="5000" w:type="dxa"/>
            <w:vAlign w:val="bottom"/>
          </w:tcPr>
          <w:p>
            <w:pPr>
              <w:spacing w:after="0"/>
              <w:rPr>
                <w:sz w:val="20"/>
                <w:szCs w:val="20"/>
                <w:color w:val="auto"/>
              </w:rPr>
            </w:pPr>
            <w:r>
              <w:rPr>
                <w:rFonts w:ascii="Arial" w:cs="Arial" w:eastAsia="Arial" w:hAnsi="Arial"/>
                <w:sz w:val="19"/>
                <w:szCs w:val="19"/>
                <w:b w:val="1"/>
                <w:bCs w:val="1"/>
                <w:color w:val="auto"/>
              </w:rPr>
              <w:t>Combined Net Sales</w:t>
            </w:r>
          </w:p>
        </w:tc>
        <w:tc>
          <w:tcPr>
            <w:tcW w:w="2760" w:type="dxa"/>
            <w:vAlign w:val="bottom"/>
          </w:tcPr>
          <w:p>
            <w:pPr>
              <w:jc w:val="right"/>
              <w:spacing w:after="0"/>
              <w:rPr>
                <w:sz w:val="20"/>
                <w:szCs w:val="20"/>
                <w:color w:val="auto"/>
              </w:rPr>
            </w:pPr>
            <w:r>
              <w:rPr>
                <w:rFonts w:ascii="Arial" w:cs="Arial" w:eastAsia="Arial" w:hAnsi="Arial"/>
                <w:sz w:val="19"/>
                <w:szCs w:val="19"/>
                <w:b w:val="1"/>
                <w:bCs w:val="1"/>
                <w:color w:val="auto"/>
              </w:rPr>
              <w:t>$7,363</w:t>
            </w:r>
          </w:p>
        </w:tc>
      </w:tr>
      <w:tr>
        <w:trPr>
          <w:trHeight w:val="294"/>
        </w:trPr>
        <w:tc>
          <w:tcPr>
            <w:tcW w:w="5000" w:type="dxa"/>
            <w:vAlign w:val="bottom"/>
          </w:tcPr>
          <w:p>
            <w:pPr>
              <w:spacing w:after="0"/>
              <w:rPr>
                <w:sz w:val="20"/>
                <w:szCs w:val="20"/>
                <w:color w:val="auto"/>
              </w:rPr>
            </w:pPr>
            <w:r>
              <w:rPr>
                <w:rFonts w:ascii="Arial" w:cs="Arial" w:eastAsia="Arial" w:hAnsi="Arial"/>
                <w:sz w:val="19"/>
                <w:szCs w:val="19"/>
                <w:b w:val="1"/>
                <w:bCs w:val="1"/>
                <w:color w:val="auto"/>
              </w:rPr>
              <w:t>EBITDA</w:t>
            </w:r>
            <w:r>
              <w:rPr>
                <w:rFonts w:ascii="Arial" w:cs="Arial" w:eastAsia="Arial" w:hAnsi="Arial"/>
                <w:sz w:val="19"/>
                <w:szCs w:val="19"/>
                <w:color w:val="auto"/>
                <w:vertAlign w:val="superscript"/>
              </w:rPr>
              <w:t>(1)</w:t>
            </w:r>
          </w:p>
        </w:tc>
        <w:tc>
          <w:tcPr>
            <w:tcW w:w="2760" w:type="dxa"/>
            <w:vAlign w:val="bottom"/>
          </w:tcPr>
          <w:p>
            <w:pPr>
              <w:spacing w:after="0"/>
              <w:rPr>
                <w:sz w:val="24"/>
                <w:szCs w:val="24"/>
                <w:color w:val="auto"/>
              </w:rPr>
            </w:pPr>
          </w:p>
        </w:tc>
      </w:tr>
      <w:tr>
        <w:trPr>
          <w:trHeight w:val="235"/>
        </w:trPr>
        <w:tc>
          <w:tcPr>
            <w:tcW w:w="5000" w:type="dxa"/>
            <w:vAlign w:val="bottom"/>
          </w:tcPr>
          <w:p>
            <w:pPr>
              <w:ind w:left="120"/>
              <w:spacing w:after="0"/>
              <w:rPr>
                <w:sz w:val="20"/>
                <w:szCs w:val="20"/>
                <w:color w:val="auto"/>
              </w:rPr>
            </w:pPr>
            <w:r>
              <w:rPr>
                <w:rFonts w:ascii="Arial" w:cs="Arial" w:eastAsia="Arial" w:hAnsi="Arial"/>
                <w:sz w:val="19"/>
                <w:szCs w:val="19"/>
                <w:color w:val="auto"/>
              </w:rPr>
              <w:t>Pilgrim's Pride - Adjusted EBITDA</w:t>
            </w:r>
          </w:p>
        </w:tc>
        <w:tc>
          <w:tcPr>
            <w:tcW w:w="2760" w:type="dxa"/>
            <w:vAlign w:val="bottom"/>
          </w:tcPr>
          <w:p>
            <w:pPr>
              <w:jc w:val="right"/>
              <w:spacing w:after="0"/>
              <w:rPr>
                <w:sz w:val="20"/>
                <w:szCs w:val="20"/>
                <w:color w:val="auto"/>
              </w:rPr>
            </w:pPr>
            <w:r>
              <w:rPr>
                <w:rFonts w:ascii="Arial" w:cs="Arial" w:eastAsia="Arial" w:hAnsi="Arial"/>
                <w:sz w:val="19"/>
                <w:szCs w:val="19"/>
                <w:color w:val="auto"/>
              </w:rPr>
              <w:t>$143</w:t>
            </w:r>
          </w:p>
        </w:tc>
      </w:tr>
      <w:tr>
        <w:trPr>
          <w:trHeight w:val="232"/>
        </w:trPr>
        <w:tc>
          <w:tcPr>
            <w:tcW w:w="5000" w:type="dxa"/>
            <w:vAlign w:val="bottom"/>
          </w:tcPr>
          <w:p>
            <w:pPr>
              <w:ind w:left="120"/>
              <w:spacing w:after="0"/>
              <w:rPr>
                <w:sz w:val="20"/>
                <w:szCs w:val="20"/>
                <w:color w:val="auto"/>
              </w:rPr>
            </w:pPr>
            <w:r>
              <w:rPr>
                <w:rFonts w:ascii="Arial" w:cs="Arial" w:eastAsia="Arial" w:hAnsi="Arial"/>
                <w:sz w:val="19"/>
                <w:szCs w:val="19"/>
                <w:color w:val="auto"/>
              </w:rPr>
              <w:t>Gold Kist - Adjusted EBITDA</w:t>
            </w:r>
          </w:p>
        </w:tc>
        <w:tc>
          <w:tcPr>
            <w:tcW w:w="276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50"/>
        </w:trPr>
        <w:tc>
          <w:tcPr>
            <w:tcW w:w="5000" w:type="dxa"/>
            <w:vAlign w:val="bottom"/>
          </w:tcPr>
          <w:p>
            <w:pPr>
              <w:ind w:left="40"/>
              <w:spacing w:after="0"/>
              <w:rPr>
                <w:sz w:val="20"/>
                <w:szCs w:val="20"/>
                <w:color w:val="auto"/>
              </w:rPr>
            </w:pPr>
            <w:r>
              <w:rPr>
                <w:rFonts w:ascii="Arial" w:cs="Arial" w:eastAsia="Arial" w:hAnsi="Arial"/>
                <w:sz w:val="19"/>
                <w:szCs w:val="19"/>
                <w:b w:val="1"/>
                <w:bCs w:val="1"/>
                <w:color w:val="auto"/>
              </w:rPr>
              <w:t>Combined Adjusted EBITDA</w:t>
            </w:r>
          </w:p>
        </w:tc>
        <w:tc>
          <w:tcPr>
            <w:tcW w:w="2760" w:type="dxa"/>
            <w:vAlign w:val="bottom"/>
          </w:tcPr>
          <w:p>
            <w:pPr>
              <w:jc w:val="right"/>
              <w:spacing w:after="0"/>
              <w:rPr>
                <w:sz w:val="20"/>
                <w:szCs w:val="20"/>
                <w:color w:val="auto"/>
              </w:rPr>
            </w:pPr>
            <w:r>
              <w:rPr>
                <w:rFonts w:ascii="Arial" w:cs="Arial" w:eastAsia="Arial" w:hAnsi="Arial"/>
                <w:sz w:val="19"/>
                <w:szCs w:val="19"/>
                <w:b w:val="1"/>
                <w:bCs w:val="1"/>
                <w:color w:val="auto"/>
              </w:rPr>
              <w:t>$176</w:t>
            </w:r>
          </w:p>
        </w:tc>
      </w:tr>
      <w:tr>
        <w:trPr>
          <w:trHeight w:val="459"/>
        </w:trPr>
        <w:tc>
          <w:tcPr>
            <w:tcW w:w="5000" w:type="dxa"/>
            <w:vAlign w:val="bottom"/>
          </w:tcPr>
          <w:p>
            <w:pPr>
              <w:spacing w:after="0"/>
              <w:rPr>
                <w:sz w:val="20"/>
                <w:szCs w:val="20"/>
                <w:color w:val="auto"/>
              </w:rPr>
            </w:pPr>
            <w:r>
              <w:rPr>
                <w:rFonts w:ascii="Arial" w:cs="Arial" w:eastAsia="Arial" w:hAnsi="Arial"/>
                <w:sz w:val="19"/>
                <w:szCs w:val="19"/>
                <w:b w:val="1"/>
                <w:bCs w:val="1"/>
                <w:color w:val="auto"/>
              </w:rPr>
              <w:t>Capital Expenditures</w:t>
            </w:r>
            <w:r>
              <w:rPr>
                <w:rFonts w:ascii="Arial" w:cs="Arial" w:eastAsia="Arial" w:hAnsi="Arial"/>
                <w:sz w:val="9"/>
                <w:szCs w:val="9"/>
                <w:color w:val="auto"/>
              </w:rPr>
              <w:t>(2)</w:t>
            </w:r>
          </w:p>
        </w:tc>
        <w:tc>
          <w:tcPr>
            <w:tcW w:w="2760" w:type="dxa"/>
            <w:vAlign w:val="bottom"/>
          </w:tcPr>
          <w:p>
            <w:pPr>
              <w:spacing w:after="0"/>
              <w:rPr>
                <w:sz w:val="24"/>
                <w:szCs w:val="24"/>
                <w:color w:val="auto"/>
              </w:rPr>
            </w:pPr>
          </w:p>
        </w:tc>
      </w:tr>
      <w:tr>
        <w:trPr>
          <w:trHeight w:val="247"/>
        </w:trPr>
        <w:tc>
          <w:tcPr>
            <w:tcW w:w="5000" w:type="dxa"/>
            <w:vAlign w:val="bottom"/>
          </w:tcPr>
          <w:p>
            <w:pPr>
              <w:ind w:left="120"/>
              <w:spacing w:after="0"/>
              <w:rPr>
                <w:sz w:val="20"/>
                <w:szCs w:val="20"/>
                <w:color w:val="auto"/>
              </w:rPr>
            </w:pPr>
            <w:r>
              <w:rPr>
                <w:rFonts w:ascii="Arial" w:cs="Arial" w:eastAsia="Arial" w:hAnsi="Arial"/>
                <w:sz w:val="19"/>
                <w:szCs w:val="19"/>
                <w:color w:val="auto"/>
              </w:rPr>
              <w:t>Pilgrim's Pride</w:t>
            </w:r>
          </w:p>
        </w:tc>
        <w:tc>
          <w:tcPr>
            <w:tcW w:w="2760" w:type="dxa"/>
            <w:vAlign w:val="bottom"/>
          </w:tcPr>
          <w:p>
            <w:pPr>
              <w:jc w:val="right"/>
              <w:spacing w:after="0"/>
              <w:rPr>
                <w:sz w:val="20"/>
                <w:szCs w:val="20"/>
                <w:color w:val="auto"/>
              </w:rPr>
            </w:pPr>
            <w:r>
              <w:rPr>
                <w:rFonts w:ascii="Arial" w:cs="Arial" w:eastAsia="Arial" w:hAnsi="Arial"/>
                <w:sz w:val="19"/>
                <w:szCs w:val="19"/>
                <w:color w:val="auto"/>
              </w:rPr>
              <w:t>$144</w:t>
            </w:r>
          </w:p>
        </w:tc>
      </w:tr>
      <w:tr>
        <w:trPr>
          <w:trHeight w:val="220"/>
        </w:trPr>
        <w:tc>
          <w:tcPr>
            <w:tcW w:w="5000" w:type="dxa"/>
            <w:vAlign w:val="bottom"/>
          </w:tcPr>
          <w:p>
            <w:pPr>
              <w:ind w:left="120"/>
              <w:spacing w:after="0"/>
              <w:rPr>
                <w:sz w:val="20"/>
                <w:szCs w:val="20"/>
                <w:color w:val="auto"/>
              </w:rPr>
            </w:pPr>
            <w:r>
              <w:rPr>
                <w:rFonts w:ascii="Arial" w:cs="Arial" w:eastAsia="Arial" w:hAnsi="Arial"/>
                <w:sz w:val="19"/>
                <w:szCs w:val="19"/>
                <w:color w:val="auto"/>
              </w:rPr>
              <w:t>Gold Kist</w:t>
            </w:r>
          </w:p>
        </w:tc>
        <w:tc>
          <w:tcPr>
            <w:tcW w:w="2760" w:type="dxa"/>
            <w:vAlign w:val="bottom"/>
          </w:tcPr>
          <w:p>
            <w:pPr>
              <w:jc w:val="right"/>
              <w:spacing w:after="0"/>
              <w:rPr>
                <w:sz w:val="20"/>
                <w:szCs w:val="20"/>
                <w:color w:val="auto"/>
              </w:rPr>
            </w:pPr>
            <w:r>
              <w:rPr>
                <w:rFonts w:ascii="Arial" w:cs="Arial" w:eastAsia="Arial" w:hAnsi="Arial"/>
                <w:sz w:val="19"/>
                <w:szCs w:val="19"/>
                <w:color w:val="auto"/>
              </w:rPr>
              <w:t>90</w:t>
            </w:r>
          </w:p>
        </w:tc>
      </w:tr>
      <w:tr>
        <w:trPr>
          <w:trHeight w:val="250"/>
        </w:trPr>
        <w:tc>
          <w:tcPr>
            <w:tcW w:w="5000" w:type="dxa"/>
            <w:vAlign w:val="bottom"/>
          </w:tcPr>
          <w:p>
            <w:pPr>
              <w:spacing w:after="0"/>
              <w:rPr>
                <w:sz w:val="20"/>
                <w:szCs w:val="20"/>
                <w:color w:val="auto"/>
              </w:rPr>
            </w:pPr>
            <w:r>
              <w:rPr>
                <w:rFonts w:ascii="Arial" w:cs="Arial" w:eastAsia="Arial" w:hAnsi="Arial"/>
                <w:sz w:val="19"/>
                <w:szCs w:val="19"/>
                <w:b w:val="1"/>
                <w:bCs w:val="1"/>
                <w:color w:val="auto"/>
              </w:rPr>
              <w:t>Combined Capital Expenditures</w:t>
            </w:r>
          </w:p>
        </w:tc>
        <w:tc>
          <w:tcPr>
            <w:tcW w:w="2760" w:type="dxa"/>
            <w:vAlign w:val="bottom"/>
          </w:tcPr>
          <w:p>
            <w:pPr>
              <w:jc w:val="right"/>
              <w:spacing w:after="0"/>
              <w:rPr>
                <w:sz w:val="20"/>
                <w:szCs w:val="20"/>
                <w:color w:val="auto"/>
              </w:rPr>
            </w:pPr>
            <w:r>
              <w:rPr>
                <w:rFonts w:ascii="Arial" w:cs="Arial" w:eastAsia="Arial" w:hAnsi="Arial"/>
                <w:sz w:val="19"/>
                <w:szCs w:val="19"/>
                <w:b w:val="1"/>
                <w:bCs w:val="1"/>
                <w:color w:val="auto"/>
              </w:rPr>
              <w:t>$234</w:t>
            </w:r>
          </w:p>
        </w:tc>
      </w:tr>
    </w:tbl>
    <w:p>
      <w:pPr>
        <w:spacing w:after="0" w:line="161" w:lineRule="exact"/>
        <w:rPr>
          <w:sz w:val="20"/>
          <w:szCs w:val="20"/>
          <w:color w:val="auto"/>
        </w:rPr>
      </w:pPr>
    </w:p>
    <w:p>
      <w:pPr>
        <w:ind w:left="1220" w:hanging="310"/>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Appendix A for reconciliation.</w:t>
      </w:r>
    </w:p>
    <w:p>
      <w:pPr>
        <w:spacing w:after="0" w:line="28" w:lineRule="exact"/>
        <w:rPr>
          <w:rFonts w:ascii="Arial" w:cs="Arial" w:eastAsia="Arial" w:hAnsi="Arial"/>
          <w:sz w:val="18"/>
          <w:szCs w:val="18"/>
          <w:color w:val="auto"/>
        </w:rPr>
      </w:pPr>
    </w:p>
    <w:p>
      <w:pPr>
        <w:ind w:left="1220" w:hanging="310"/>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CapEx data per FY2006 Q4 earnings release conference calls for Pilgrim's Pride and Gold Kist.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00"/>
          </w:cols>
          <w:pgMar w:left="1440" w:top="1052" w:right="359" w:bottom="1440" w:gutter="0" w:footer="0" w:header="0"/>
        </w:sectPr>
      </w:pPr>
    </w:p>
    <w:bookmarkStart w:id="17" w:name="page18"/>
    <w:bookmarkEnd w:id="17"/>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Liquidity and Financial Capacity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28"/>
          <w:szCs w:val="28"/>
          <w:b w:val="1"/>
          <w:bCs w:val="1"/>
          <w:color w:val="auto"/>
        </w:rPr>
        <w:t>As of September 30, 2006</w:t>
      </w:r>
    </w:p>
    <w:p>
      <w:pPr>
        <w:spacing w:after="0" w:line="76"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 in millions)</w:t>
      </w:r>
    </w:p>
    <w:p>
      <w:pPr>
        <w:spacing w:after="0" w:line="46" w:lineRule="exact"/>
        <w:rPr>
          <w:sz w:val="20"/>
          <w:szCs w:val="20"/>
          <w:color w:val="auto"/>
        </w:rPr>
      </w:pPr>
    </w:p>
    <w:tbl>
      <w:tblPr>
        <w:tblLayout w:type="fixed"/>
        <w:tblInd w:w="112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1740" w:type="dxa"/>
            <w:vAlign w:val="bottom"/>
          </w:tcPr>
          <w:p>
            <w:pPr>
              <w:jc w:val="right"/>
              <w:ind w:right="444"/>
              <w:spacing w:after="0"/>
              <w:rPr>
                <w:sz w:val="20"/>
                <w:szCs w:val="20"/>
                <w:color w:val="auto"/>
              </w:rPr>
            </w:pPr>
            <w:r>
              <w:rPr>
                <w:rFonts w:ascii="Arial" w:cs="Arial" w:eastAsia="Arial" w:hAnsi="Arial"/>
                <w:sz w:val="15"/>
                <w:szCs w:val="15"/>
                <w:b w:val="1"/>
                <w:bCs w:val="1"/>
                <w:color w:val="auto"/>
              </w:rPr>
              <w:t>Facility</w:t>
            </w:r>
          </w:p>
        </w:tc>
        <w:tc>
          <w:tcPr>
            <w:tcW w:w="1420" w:type="dxa"/>
            <w:vAlign w:val="bottom"/>
          </w:tcPr>
          <w:p>
            <w:pPr>
              <w:jc w:val="right"/>
              <w:ind w:right="464"/>
              <w:spacing w:after="0"/>
              <w:rPr>
                <w:sz w:val="20"/>
                <w:szCs w:val="20"/>
                <w:color w:val="auto"/>
              </w:rPr>
            </w:pPr>
            <w:r>
              <w:rPr>
                <w:rFonts w:ascii="Arial" w:cs="Arial" w:eastAsia="Arial" w:hAnsi="Arial"/>
                <w:sz w:val="15"/>
                <w:szCs w:val="15"/>
                <w:b w:val="1"/>
                <w:bCs w:val="1"/>
                <w:color w:val="auto"/>
              </w:rPr>
              <w:t>Amount</w:t>
            </w:r>
          </w:p>
        </w:tc>
        <w:tc>
          <w:tcPr>
            <w:tcW w:w="1180" w:type="dxa"/>
            <w:vAlign w:val="bottom"/>
          </w:tcPr>
          <w:p>
            <w:pPr>
              <w:jc w:val="right"/>
              <w:ind w:right="464"/>
              <w:spacing w:after="0"/>
              <w:rPr>
                <w:sz w:val="20"/>
                <w:szCs w:val="20"/>
                <w:color w:val="auto"/>
              </w:rPr>
            </w:pPr>
            <w:r>
              <w:rPr>
                <w:rFonts w:ascii="Arial" w:cs="Arial" w:eastAsia="Arial" w:hAnsi="Arial"/>
                <w:sz w:val="15"/>
                <w:szCs w:val="15"/>
                <w:b w:val="1"/>
                <w:bCs w:val="1"/>
                <w:color w:val="auto"/>
              </w:rPr>
              <w:t>Net</w:t>
            </w:r>
          </w:p>
        </w:tc>
        <w:tc>
          <w:tcPr>
            <w:tcW w:w="200" w:type="dxa"/>
            <w:vAlign w:val="bottom"/>
          </w:tcPr>
          <w:p>
            <w:pPr>
              <w:spacing w:after="0"/>
              <w:rPr>
                <w:sz w:val="16"/>
                <w:szCs w:val="16"/>
                <w:color w:val="auto"/>
              </w:rPr>
            </w:pPr>
          </w:p>
        </w:tc>
      </w:tr>
      <w:tr>
        <w:trPr>
          <w:trHeight w:val="202"/>
        </w:trPr>
        <w:tc>
          <w:tcPr>
            <w:tcW w:w="3540" w:type="dxa"/>
            <w:vAlign w:val="bottom"/>
          </w:tcPr>
          <w:p>
            <w:pPr>
              <w:spacing w:after="0"/>
              <w:rPr>
                <w:sz w:val="20"/>
                <w:szCs w:val="20"/>
                <w:color w:val="auto"/>
              </w:rPr>
            </w:pPr>
            <w:r>
              <w:rPr>
                <w:rFonts w:ascii="Arial" w:cs="Arial" w:eastAsia="Arial" w:hAnsi="Arial"/>
                <w:sz w:val="15"/>
                <w:szCs w:val="15"/>
                <w:b w:val="1"/>
                <w:bCs w:val="1"/>
                <w:color w:val="auto"/>
              </w:rPr>
              <w:t>Source of Liquidity</w:t>
            </w:r>
          </w:p>
        </w:tc>
        <w:tc>
          <w:tcPr>
            <w:tcW w:w="1740" w:type="dxa"/>
            <w:vAlign w:val="bottom"/>
          </w:tcPr>
          <w:p>
            <w:pPr>
              <w:jc w:val="right"/>
              <w:ind w:right="404"/>
              <w:spacing w:after="0"/>
              <w:rPr>
                <w:sz w:val="20"/>
                <w:szCs w:val="20"/>
                <w:color w:val="auto"/>
              </w:rPr>
            </w:pPr>
            <w:r>
              <w:rPr>
                <w:rFonts w:ascii="Arial" w:cs="Arial" w:eastAsia="Arial" w:hAnsi="Arial"/>
                <w:sz w:val="15"/>
                <w:szCs w:val="15"/>
                <w:b w:val="1"/>
                <w:bCs w:val="1"/>
                <w:color w:val="auto"/>
              </w:rPr>
              <w:t>Amount</w:t>
            </w:r>
          </w:p>
        </w:tc>
        <w:tc>
          <w:tcPr>
            <w:tcW w:w="1420" w:type="dxa"/>
            <w:vAlign w:val="bottom"/>
          </w:tcPr>
          <w:p>
            <w:pPr>
              <w:jc w:val="right"/>
              <w:ind w:right="304"/>
              <w:spacing w:after="0"/>
              <w:rPr>
                <w:sz w:val="20"/>
                <w:szCs w:val="20"/>
                <w:color w:val="auto"/>
              </w:rPr>
            </w:pPr>
            <w:r>
              <w:rPr>
                <w:rFonts w:ascii="Arial" w:cs="Arial" w:eastAsia="Arial" w:hAnsi="Arial"/>
                <w:sz w:val="15"/>
                <w:szCs w:val="15"/>
                <w:b w:val="1"/>
                <w:bCs w:val="1"/>
                <w:color w:val="auto"/>
              </w:rPr>
              <w:t>Outstanding</w:t>
            </w:r>
          </w:p>
        </w:tc>
        <w:tc>
          <w:tcPr>
            <w:tcW w:w="1180" w:type="dxa"/>
            <w:vAlign w:val="bottom"/>
          </w:tcPr>
          <w:p>
            <w:pPr>
              <w:jc w:val="right"/>
              <w:ind w:right="264"/>
              <w:spacing w:after="0"/>
              <w:rPr>
                <w:sz w:val="20"/>
                <w:szCs w:val="20"/>
                <w:color w:val="auto"/>
              </w:rPr>
            </w:pPr>
            <w:r>
              <w:rPr>
                <w:rFonts w:ascii="Arial" w:cs="Arial" w:eastAsia="Arial" w:hAnsi="Arial"/>
                <w:sz w:val="15"/>
                <w:szCs w:val="15"/>
                <w:b w:val="1"/>
                <w:bCs w:val="1"/>
                <w:color w:val="auto"/>
              </w:rPr>
              <w:t>Available</w:t>
            </w:r>
          </w:p>
        </w:tc>
        <w:tc>
          <w:tcPr>
            <w:tcW w:w="200" w:type="dxa"/>
            <w:vAlign w:val="bottom"/>
          </w:tcPr>
          <w:p>
            <w:pPr>
              <w:spacing w:after="0"/>
              <w:rPr>
                <w:sz w:val="17"/>
                <w:szCs w:val="17"/>
                <w:color w:val="auto"/>
              </w:rPr>
            </w:pPr>
          </w:p>
        </w:tc>
      </w:tr>
      <w:tr>
        <w:trPr>
          <w:trHeight w:val="294"/>
        </w:trPr>
        <w:tc>
          <w:tcPr>
            <w:tcW w:w="354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1740" w:type="dxa"/>
            <w:vAlign w:val="bottom"/>
          </w:tcPr>
          <w:p>
            <w:pPr>
              <w:jc w:val="right"/>
              <w:ind w:right="64"/>
              <w:spacing w:after="0"/>
              <w:rPr>
                <w:sz w:val="20"/>
                <w:szCs w:val="20"/>
                <w:color w:val="auto"/>
              </w:rPr>
            </w:pPr>
            <w:r>
              <w:rPr>
                <w:rFonts w:ascii="Arial" w:cs="Arial" w:eastAsia="Arial" w:hAnsi="Arial"/>
                <w:sz w:val="15"/>
                <w:szCs w:val="15"/>
                <w:color w:val="auto"/>
              </w:rPr>
              <w:t>$ –</w:t>
            </w:r>
          </w:p>
        </w:tc>
        <w:tc>
          <w:tcPr>
            <w:tcW w:w="1420" w:type="dxa"/>
            <w:vAlign w:val="bottom"/>
          </w:tcPr>
          <w:p>
            <w:pPr>
              <w:jc w:val="right"/>
              <w:ind w:right="124"/>
              <w:spacing w:after="0"/>
              <w:rPr>
                <w:sz w:val="20"/>
                <w:szCs w:val="20"/>
                <w:color w:val="auto"/>
              </w:rPr>
            </w:pPr>
            <w:r>
              <w:rPr>
                <w:rFonts w:ascii="Arial" w:cs="Arial" w:eastAsia="Arial" w:hAnsi="Arial"/>
                <w:sz w:val="15"/>
                <w:szCs w:val="15"/>
                <w:color w:val="auto"/>
              </w:rPr>
              <w:t>$ –</w:t>
            </w:r>
          </w:p>
        </w:tc>
        <w:tc>
          <w:tcPr>
            <w:tcW w:w="1180" w:type="dxa"/>
            <w:vAlign w:val="bottom"/>
          </w:tcPr>
          <w:p>
            <w:pPr>
              <w:jc w:val="right"/>
              <w:spacing w:after="0"/>
              <w:rPr>
                <w:sz w:val="20"/>
                <w:szCs w:val="20"/>
                <w:color w:val="auto"/>
              </w:rPr>
            </w:pPr>
            <w:r>
              <w:rPr>
                <w:rFonts w:ascii="Arial" w:cs="Arial" w:eastAsia="Arial" w:hAnsi="Arial"/>
                <w:sz w:val="15"/>
                <w:szCs w:val="15"/>
                <w:color w:val="auto"/>
              </w:rPr>
              <w:t>$156</w:t>
            </w:r>
          </w:p>
        </w:tc>
        <w:tc>
          <w:tcPr>
            <w:tcW w:w="200" w:type="dxa"/>
            <w:vAlign w:val="bottom"/>
          </w:tcPr>
          <w:p>
            <w:pPr>
              <w:spacing w:after="0"/>
              <w:rPr>
                <w:sz w:val="24"/>
                <w:szCs w:val="24"/>
                <w:color w:val="auto"/>
              </w:rPr>
            </w:pPr>
          </w:p>
        </w:tc>
      </w:tr>
      <w:tr>
        <w:trPr>
          <w:trHeight w:val="306"/>
        </w:trPr>
        <w:tc>
          <w:tcPr>
            <w:tcW w:w="3540" w:type="dxa"/>
            <w:vAlign w:val="bottom"/>
          </w:tcPr>
          <w:p>
            <w:pPr>
              <w:spacing w:after="0"/>
              <w:rPr>
                <w:sz w:val="20"/>
                <w:szCs w:val="20"/>
                <w:color w:val="auto"/>
              </w:rPr>
            </w:pPr>
            <w:r>
              <w:rPr>
                <w:rFonts w:ascii="Arial" w:cs="Arial" w:eastAsia="Arial" w:hAnsi="Arial"/>
                <w:sz w:val="15"/>
                <w:szCs w:val="15"/>
                <w:color w:val="auto"/>
              </w:rPr>
              <w:t>Investments in available for sale securities</w:t>
            </w:r>
          </w:p>
        </w:tc>
        <w:tc>
          <w:tcPr>
            <w:tcW w:w="17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137</w:t>
            </w:r>
          </w:p>
        </w:tc>
        <w:tc>
          <w:tcPr>
            <w:tcW w:w="200" w:type="dxa"/>
            <w:vAlign w:val="bottom"/>
          </w:tcPr>
          <w:p>
            <w:pPr>
              <w:spacing w:after="0"/>
              <w:rPr>
                <w:sz w:val="24"/>
                <w:szCs w:val="24"/>
                <w:color w:val="auto"/>
              </w:rPr>
            </w:pPr>
          </w:p>
        </w:tc>
      </w:tr>
      <w:tr>
        <w:trPr>
          <w:trHeight w:val="482"/>
        </w:trPr>
        <w:tc>
          <w:tcPr>
            <w:tcW w:w="3540" w:type="dxa"/>
            <w:vAlign w:val="bottom"/>
          </w:tcPr>
          <w:p>
            <w:pPr>
              <w:spacing w:after="0"/>
              <w:rPr>
                <w:sz w:val="20"/>
                <w:szCs w:val="20"/>
                <w:color w:val="auto"/>
              </w:rPr>
            </w:pPr>
            <w:r>
              <w:rPr>
                <w:rFonts w:ascii="Arial" w:cs="Arial" w:eastAsia="Arial" w:hAnsi="Arial"/>
                <w:sz w:val="15"/>
                <w:szCs w:val="15"/>
                <w:b w:val="1"/>
                <w:bCs w:val="1"/>
                <w:color w:val="auto"/>
              </w:rPr>
              <w:t>Debt Facilities:</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66"/>
        </w:trPr>
        <w:tc>
          <w:tcPr>
            <w:tcW w:w="3540" w:type="dxa"/>
            <w:vAlign w:val="bottom"/>
          </w:tcPr>
          <w:p>
            <w:pPr>
              <w:ind w:left="140"/>
              <w:spacing w:after="0"/>
              <w:rPr>
                <w:sz w:val="20"/>
                <w:szCs w:val="20"/>
                <w:color w:val="auto"/>
              </w:rPr>
            </w:pPr>
            <w:r>
              <w:rPr>
                <w:rFonts w:ascii="Arial" w:cs="Arial" w:eastAsia="Arial" w:hAnsi="Arial"/>
                <w:sz w:val="15"/>
                <w:szCs w:val="15"/>
                <w:color w:val="auto"/>
              </w:rPr>
              <w:t>Revolving credit facilities</w:t>
            </w:r>
          </w:p>
        </w:tc>
        <w:tc>
          <w:tcPr>
            <w:tcW w:w="1740" w:type="dxa"/>
            <w:vAlign w:val="bottom"/>
          </w:tcPr>
          <w:p>
            <w:pPr>
              <w:jc w:val="right"/>
              <w:ind w:right="44"/>
              <w:spacing w:after="0"/>
              <w:rPr>
                <w:sz w:val="20"/>
                <w:szCs w:val="20"/>
                <w:color w:val="auto"/>
              </w:rPr>
            </w:pPr>
            <w:r>
              <w:rPr>
                <w:rFonts w:ascii="Arial" w:cs="Arial" w:eastAsia="Arial" w:hAnsi="Arial"/>
                <w:sz w:val="15"/>
                <w:szCs w:val="15"/>
                <w:color w:val="auto"/>
              </w:rPr>
              <w:t>$225</w:t>
            </w: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$75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 xml:space="preserve">$127 </w:t>
            </w:r>
            <w:r>
              <w:rPr>
                <w:rFonts w:ascii="Arial" w:cs="Arial" w:eastAsia="Arial" w:hAnsi="Arial"/>
                <w:sz w:val="25"/>
                <w:szCs w:val="25"/>
                <w:color w:val="auto"/>
                <w:vertAlign w:val="superscript"/>
              </w:rPr>
              <w:t>(1)</w:t>
            </w:r>
          </w:p>
        </w:tc>
      </w:tr>
      <w:tr>
        <w:trPr>
          <w:trHeight w:val="234"/>
        </w:trPr>
        <w:tc>
          <w:tcPr>
            <w:tcW w:w="3540" w:type="dxa"/>
            <w:vAlign w:val="bottom"/>
          </w:tcPr>
          <w:p>
            <w:pPr>
              <w:ind w:left="140"/>
              <w:spacing w:after="0"/>
              <w:rPr>
                <w:sz w:val="20"/>
                <w:szCs w:val="20"/>
                <w:color w:val="auto"/>
              </w:rPr>
            </w:pPr>
            <w:r>
              <w:rPr>
                <w:rFonts w:ascii="Arial" w:cs="Arial" w:eastAsia="Arial" w:hAnsi="Arial"/>
                <w:sz w:val="15"/>
                <w:szCs w:val="15"/>
                <w:color w:val="auto"/>
              </w:rPr>
              <w:t>Revolving/term facility</w:t>
            </w:r>
          </w:p>
        </w:tc>
        <w:tc>
          <w:tcPr>
            <w:tcW w:w="1740" w:type="dxa"/>
            <w:vAlign w:val="bottom"/>
          </w:tcPr>
          <w:p>
            <w:pPr>
              <w:jc w:val="right"/>
              <w:ind w:right="64"/>
              <w:spacing w:after="0"/>
              <w:rPr>
                <w:sz w:val="20"/>
                <w:szCs w:val="20"/>
                <w:color w:val="auto"/>
              </w:rPr>
            </w:pPr>
            <w:r>
              <w:rPr>
                <w:rFonts w:ascii="Arial" w:cs="Arial" w:eastAsia="Arial" w:hAnsi="Arial"/>
                <w:sz w:val="15"/>
                <w:szCs w:val="15"/>
                <w:color w:val="auto"/>
              </w:rPr>
              <w:t>795</w:t>
            </w:r>
          </w:p>
        </w:tc>
        <w:tc>
          <w:tcPr>
            <w:tcW w:w="14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795</w:t>
            </w: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306"/>
        </w:trPr>
        <w:tc>
          <w:tcPr>
            <w:tcW w:w="3540" w:type="dxa"/>
            <w:vAlign w:val="bottom"/>
          </w:tcPr>
          <w:p>
            <w:pPr>
              <w:ind w:left="140"/>
              <w:spacing w:after="0"/>
              <w:rPr>
                <w:sz w:val="20"/>
                <w:szCs w:val="20"/>
                <w:color w:val="auto"/>
              </w:rPr>
            </w:pPr>
            <w:r>
              <w:rPr>
                <w:rFonts w:ascii="Arial" w:cs="Arial" w:eastAsia="Arial" w:hAnsi="Arial"/>
                <w:sz w:val="15"/>
                <w:szCs w:val="15"/>
                <w:color w:val="auto"/>
              </w:rPr>
              <w:t>Term Loans</w:t>
            </w:r>
          </w:p>
        </w:tc>
        <w:tc>
          <w:tcPr>
            <w:tcW w:w="1740" w:type="dxa"/>
            <w:vAlign w:val="bottom"/>
          </w:tcPr>
          <w:p>
            <w:pPr>
              <w:jc w:val="right"/>
              <w:ind w:right="64"/>
              <w:spacing w:after="0"/>
              <w:rPr>
                <w:sz w:val="20"/>
                <w:szCs w:val="20"/>
                <w:color w:val="auto"/>
              </w:rPr>
            </w:pPr>
            <w:r>
              <w:rPr>
                <w:rFonts w:ascii="Arial" w:cs="Arial" w:eastAsia="Arial" w:hAnsi="Arial"/>
                <w:sz w:val="15"/>
                <w:szCs w:val="15"/>
                <w:color w:val="auto"/>
              </w:rPr>
              <w:t>430</w:t>
            </w:r>
          </w:p>
        </w:tc>
        <w:tc>
          <w:tcPr>
            <w:tcW w:w="1420" w:type="dxa"/>
            <w:vAlign w:val="bottom"/>
          </w:tcPr>
          <w:p>
            <w:pPr>
              <w:jc w:val="right"/>
              <w:ind w:right="124"/>
              <w:spacing w:after="0"/>
              <w:rPr>
                <w:sz w:val="20"/>
                <w:szCs w:val="20"/>
                <w:color w:val="auto"/>
              </w:rPr>
            </w:pPr>
            <w:r>
              <w:rPr>
                <w:rFonts w:ascii="Arial" w:cs="Arial" w:eastAsia="Arial" w:hAnsi="Arial"/>
                <w:sz w:val="15"/>
                <w:szCs w:val="15"/>
                <w:color w:val="auto"/>
              </w:rPr>
              <w:t>91</w:t>
            </w:r>
          </w:p>
        </w:tc>
        <w:tc>
          <w:tcPr>
            <w:tcW w:w="1180" w:type="dxa"/>
            <w:vAlign w:val="bottom"/>
          </w:tcPr>
          <w:p>
            <w:pPr>
              <w:jc w:val="right"/>
              <w:spacing w:after="0"/>
              <w:rPr>
                <w:sz w:val="20"/>
                <w:szCs w:val="20"/>
                <w:color w:val="auto"/>
              </w:rPr>
            </w:pPr>
            <w:r>
              <w:rPr>
                <w:rFonts w:ascii="Arial" w:cs="Arial" w:eastAsia="Arial" w:hAnsi="Arial"/>
                <w:sz w:val="15"/>
                <w:szCs w:val="15"/>
                <w:color w:val="auto"/>
              </w:rPr>
              <w:t>339</w:t>
            </w: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94"/>
        </w:trPr>
        <w:tc>
          <w:tcPr>
            <w:tcW w:w="3540" w:type="dxa"/>
            <w:vAlign w:val="bottom"/>
          </w:tcPr>
          <w:p>
            <w:pPr>
              <w:ind w:left="140"/>
              <w:spacing w:after="0"/>
              <w:rPr>
                <w:sz w:val="20"/>
                <w:szCs w:val="20"/>
                <w:color w:val="auto"/>
              </w:rPr>
            </w:pPr>
            <w:r>
              <w:rPr>
                <w:rFonts w:ascii="Arial" w:cs="Arial" w:eastAsia="Arial" w:hAnsi="Arial"/>
                <w:sz w:val="15"/>
                <w:szCs w:val="15"/>
                <w:color w:val="auto"/>
              </w:rPr>
              <w:t>Bridge Loan</w:t>
            </w:r>
          </w:p>
        </w:tc>
        <w:tc>
          <w:tcPr>
            <w:tcW w:w="1740" w:type="dxa"/>
            <w:vAlign w:val="bottom"/>
          </w:tcPr>
          <w:p>
            <w:pPr>
              <w:jc w:val="right"/>
              <w:ind w:right="64"/>
              <w:spacing w:after="0"/>
              <w:rPr>
                <w:sz w:val="20"/>
                <w:szCs w:val="20"/>
                <w:color w:val="auto"/>
              </w:rPr>
            </w:pPr>
            <w:r>
              <w:rPr>
                <w:rFonts w:ascii="Arial" w:cs="Arial" w:eastAsia="Arial" w:hAnsi="Arial"/>
                <w:sz w:val="15"/>
                <w:szCs w:val="15"/>
                <w:color w:val="auto"/>
              </w:rPr>
              <w:t>450</w:t>
            </w:r>
          </w:p>
        </w:tc>
        <w:tc>
          <w:tcPr>
            <w:tcW w:w="14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450</w:t>
            </w: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494"/>
        </w:trPr>
        <w:tc>
          <w:tcPr>
            <w:tcW w:w="3540" w:type="dxa"/>
            <w:vAlign w:val="bottom"/>
          </w:tcPr>
          <w:p>
            <w:pPr>
              <w:spacing w:after="0"/>
              <w:rPr>
                <w:sz w:val="20"/>
                <w:szCs w:val="20"/>
                <w:color w:val="auto"/>
              </w:rPr>
            </w:pPr>
            <w:r>
              <w:rPr>
                <w:rFonts w:ascii="Arial" w:cs="Arial" w:eastAsia="Arial" w:hAnsi="Arial"/>
                <w:sz w:val="15"/>
                <w:szCs w:val="15"/>
                <w:color w:val="auto"/>
              </w:rPr>
              <w:t>Receivables purchase agreement</w:t>
            </w:r>
          </w:p>
        </w:tc>
        <w:tc>
          <w:tcPr>
            <w:tcW w:w="1740" w:type="dxa"/>
            <w:vAlign w:val="bottom"/>
          </w:tcPr>
          <w:p>
            <w:pPr>
              <w:jc w:val="right"/>
              <w:ind w:right="44"/>
              <w:spacing w:after="0"/>
              <w:rPr>
                <w:sz w:val="20"/>
                <w:szCs w:val="20"/>
                <w:color w:val="auto"/>
              </w:rPr>
            </w:pPr>
            <w:r>
              <w:rPr>
                <w:rFonts w:ascii="Arial" w:cs="Arial" w:eastAsia="Arial" w:hAnsi="Arial"/>
                <w:sz w:val="15"/>
                <w:szCs w:val="15"/>
                <w:color w:val="auto"/>
              </w:rPr>
              <w:t>$125</w:t>
            </w:r>
          </w:p>
        </w:tc>
        <w:tc>
          <w:tcPr>
            <w:tcW w:w="1420" w:type="dxa"/>
            <w:vAlign w:val="bottom"/>
          </w:tcPr>
          <w:p>
            <w:pPr>
              <w:jc w:val="right"/>
              <w:ind w:right="124"/>
              <w:spacing w:after="0"/>
              <w:rPr>
                <w:sz w:val="20"/>
                <w:szCs w:val="20"/>
                <w:color w:val="auto"/>
              </w:rPr>
            </w:pPr>
            <w:r>
              <w:rPr>
                <w:rFonts w:ascii="Arial" w:cs="Arial" w:eastAsia="Arial" w:hAnsi="Arial"/>
                <w:sz w:val="15"/>
                <w:szCs w:val="15"/>
                <w:color w:val="auto"/>
              </w:rPr>
              <w:t>$ –</w:t>
            </w:r>
          </w:p>
        </w:tc>
        <w:tc>
          <w:tcPr>
            <w:tcW w:w="1180" w:type="dxa"/>
            <w:vAlign w:val="bottom"/>
          </w:tcPr>
          <w:p>
            <w:pPr>
              <w:jc w:val="right"/>
              <w:spacing w:after="0"/>
              <w:rPr>
                <w:sz w:val="20"/>
                <w:szCs w:val="20"/>
                <w:color w:val="auto"/>
              </w:rPr>
            </w:pPr>
            <w:r>
              <w:rPr>
                <w:rFonts w:ascii="Arial" w:cs="Arial" w:eastAsia="Arial" w:hAnsi="Arial"/>
                <w:sz w:val="15"/>
                <w:szCs w:val="15"/>
                <w:color w:val="auto"/>
              </w:rPr>
              <w:t>$125</w:t>
            </w:r>
          </w:p>
        </w:tc>
        <w:tc>
          <w:tcPr>
            <w:tcW w:w="200" w:type="dxa"/>
            <w:vAlign w:val="bottom"/>
          </w:tcPr>
          <w:p>
            <w:pPr>
              <w:spacing w:after="0"/>
              <w:rPr>
                <w:sz w:val="24"/>
                <w:szCs w:val="24"/>
                <w:color w:val="auto"/>
              </w:rPr>
            </w:pPr>
          </w:p>
        </w:tc>
      </w:tr>
      <w:tr>
        <w:trPr>
          <w:trHeight w:val="294"/>
        </w:trPr>
        <w:tc>
          <w:tcPr>
            <w:tcW w:w="3540" w:type="dxa"/>
            <w:vAlign w:val="bottom"/>
          </w:tcPr>
          <w:p>
            <w:pPr>
              <w:spacing w:after="0"/>
              <w:rPr>
                <w:sz w:val="20"/>
                <w:szCs w:val="20"/>
                <w:color w:val="auto"/>
              </w:rPr>
            </w:pPr>
            <w:r>
              <w:rPr>
                <w:rFonts w:ascii="Arial" w:cs="Arial" w:eastAsia="Arial" w:hAnsi="Arial"/>
                <w:sz w:val="15"/>
                <w:szCs w:val="15"/>
                <w:b w:val="1"/>
                <w:bCs w:val="1"/>
                <w:color w:val="auto"/>
              </w:rPr>
              <w:t>Total Available From Debt Facilities</w:t>
            </w:r>
          </w:p>
        </w:tc>
        <w:tc>
          <w:tcPr>
            <w:tcW w:w="1740" w:type="dxa"/>
            <w:vAlign w:val="bottom"/>
          </w:tcPr>
          <w:p>
            <w:pPr>
              <w:jc w:val="right"/>
              <w:ind w:right="64"/>
              <w:spacing w:after="0"/>
              <w:rPr>
                <w:sz w:val="20"/>
                <w:szCs w:val="20"/>
                <w:color w:val="auto"/>
              </w:rPr>
            </w:pPr>
            <w:r>
              <w:rPr>
                <w:rFonts w:ascii="Arial" w:cs="Arial" w:eastAsia="Arial" w:hAnsi="Arial"/>
                <w:sz w:val="15"/>
                <w:szCs w:val="15"/>
                <w:b w:val="1"/>
                <w:bCs w:val="1"/>
                <w:color w:val="auto"/>
              </w:rPr>
              <w:t>$2,025</w:t>
            </w:r>
          </w:p>
        </w:tc>
        <w:tc>
          <w:tcPr>
            <w:tcW w:w="1420" w:type="dxa"/>
            <w:vAlign w:val="bottom"/>
          </w:tcPr>
          <w:p>
            <w:pPr>
              <w:jc w:val="right"/>
              <w:ind w:right="104"/>
              <w:spacing w:after="0"/>
              <w:rPr>
                <w:sz w:val="20"/>
                <w:szCs w:val="20"/>
                <w:color w:val="auto"/>
              </w:rPr>
            </w:pPr>
            <w:r>
              <w:rPr>
                <w:rFonts w:ascii="Arial" w:cs="Arial" w:eastAsia="Arial" w:hAnsi="Arial"/>
                <w:sz w:val="15"/>
                <w:szCs w:val="15"/>
                <w:b w:val="1"/>
                <w:bCs w:val="1"/>
                <w:color w:val="auto"/>
              </w:rPr>
              <w:t>$166</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$1,836</w:t>
            </w:r>
          </w:p>
        </w:tc>
        <w:tc>
          <w:tcPr>
            <w:tcW w:w="200" w:type="dxa"/>
            <w:vAlign w:val="bottom"/>
          </w:tcPr>
          <w:p>
            <w:pPr>
              <w:spacing w:after="0"/>
              <w:rPr>
                <w:sz w:val="24"/>
                <w:szCs w:val="24"/>
                <w:color w:val="auto"/>
              </w:rPr>
            </w:pPr>
          </w:p>
        </w:tc>
      </w:tr>
    </w:tbl>
    <w:p>
      <w:pPr>
        <w:spacing w:after="0" w:line="134" w:lineRule="exact"/>
        <w:rPr>
          <w:sz w:val="20"/>
          <w:szCs w:val="20"/>
          <w:color w:val="auto"/>
        </w:rPr>
      </w:pPr>
    </w:p>
    <w:p>
      <w:pPr>
        <w:ind w:left="1320" w:hanging="198"/>
        <w:spacing w:after="0"/>
        <w:tabs>
          <w:tab w:leader="none" w:pos="1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At September 30, 2006, the Company had $23.4 million in letters of credit outstanding relating to normal business transactions.</w:t>
      </w:r>
    </w:p>
    <w:p>
      <w:pPr>
        <w:ind w:left="1340" w:hanging="218"/>
        <w:spacing w:after="0" w:line="245" w:lineRule="auto"/>
        <w:tabs>
          <w:tab w:leader="none" w:pos="1322"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amount available at September 30, 2006 under these facilities was $535.3 million. If the transaction is successful, the amount of borrowings available will increase by up to $486 million and, with the pledgingof additional identified collateral to secure this facility; the full amountof the commitment under this facility will be available. The amounts reflected above contemplate that both of these events will occur.</w:t>
      </w:r>
    </w:p>
    <w:p>
      <w:pPr>
        <w:ind w:left="1340" w:right="260" w:hanging="218"/>
        <w:spacing w:after="0" w:line="249" w:lineRule="auto"/>
        <w:tabs>
          <w:tab w:leader="none" w:pos="1322"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a bridge loan agreement obtained by the Company from certain investment banks, pursuant to which, subject to specified conditions, the investment banks have agreed to make available to the Company a $450 million senior unsecured bridge loan for the purchase of shares of common stock of Gold Kist.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100"/>
          </w:cols>
          <w:pgMar w:left="1440" w:top="1052" w:right="3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60"/>
          <w:szCs w:val="60"/>
          <w:color w:val="auto"/>
        </w:rPr>
        <w:t>Appendix</w:t>
      </w:r>
    </w:p>
    <w:p>
      <w:pPr>
        <w:sectPr>
          <w:pgSz w:w="11900" w:h="16838" w:orient="portrait"/>
          <w:cols w:equalWidth="0" w:num="1">
            <w:col w:w="9019"/>
          </w:cols>
          <w:pgMar w:left="1440" w:top="1440" w:right="1440" w:bottom="1440" w:gutter="0" w:footer="0" w:header="0"/>
        </w:sectPr>
      </w:pPr>
    </w:p>
    <w:bookmarkStart w:id="19" w:name="page20"/>
    <w:bookmarkEnd w:id="19"/>
    <w:p>
      <w:pPr>
        <w:ind w:left="82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Appendix A: EBITDA Reconciliation</w:t>
      </w:r>
    </w:p>
    <w:p>
      <w:pPr>
        <w:spacing w:after="0" w:line="312" w:lineRule="exact"/>
        <w:rPr>
          <w:sz w:val="20"/>
          <w:szCs w:val="20"/>
          <w:color w:val="auto"/>
        </w:rPr>
      </w:pPr>
    </w:p>
    <w:tbl>
      <w:tblPr>
        <w:tblLayout w:type="fixed"/>
        <w:tblInd w:w="94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Arial" w:cs="Arial" w:eastAsia="Arial" w:hAnsi="Arial"/>
                <w:sz w:val="14"/>
                <w:szCs w:val="14"/>
                <w:color w:val="auto"/>
              </w:rPr>
              <w:t>($ in millions)</w:t>
            </w:r>
          </w:p>
        </w:tc>
        <w:tc>
          <w:tcPr>
            <w:tcW w:w="2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64"/>
        </w:trPr>
        <w:tc>
          <w:tcPr>
            <w:tcW w:w="3900" w:type="dxa"/>
            <w:vAlign w:val="bottom"/>
          </w:tcPr>
          <w:p>
            <w:pPr>
              <w:spacing w:after="0"/>
              <w:rPr>
                <w:sz w:val="24"/>
                <w:szCs w:val="24"/>
                <w:color w:val="auto"/>
              </w:rPr>
            </w:pPr>
          </w:p>
        </w:tc>
        <w:tc>
          <w:tcPr>
            <w:tcW w:w="2140" w:type="dxa"/>
            <w:vAlign w:val="bottom"/>
          </w:tcPr>
          <w:p>
            <w:pPr>
              <w:jc w:val="center"/>
              <w:ind w:left="549"/>
              <w:spacing w:after="0"/>
              <w:rPr>
                <w:sz w:val="20"/>
                <w:szCs w:val="20"/>
                <w:color w:val="auto"/>
              </w:rPr>
            </w:pPr>
            <w:r>
              <w:rPr>
                <w:rFonts w:ascii="Arial" w:cs="Arial" w:eastAsia="Arial" w:hAnsi="Arial"/>
                <w:sz w:val="14"/>
                <w:szCs w:val="14"/>
                <w:color w:val="auto"/>
              </w:rPr>
              <w:t>As of 8/18/06</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Present</w:t>
            </w:r>
          </w:p>
        </w:tc>
      </w:tr>
      <w:tr>
        <w:trPr>
          <w:trHeight w:val="177"/>
        </w:trPr>
        <w:tc>
          <w:tcPr>
            <w:tcW w:w="3900" w:type="dxa"/>
            <w:vAlign w:val="bottom"/>
          </w:tcPr>
          <w:p>
            <w:pPr>
              <w:spacing w:after="0"/>
              <w:rPr>
                <w:sz w:val="15"/>
                <w:szCs w:val="15"/>
                <w:color w:val="auto"/>
              </w:rPr>
            </w:pPr>
          </w:p>
        </w:tc>
        <w:tc>
          <w:tcPr>
            <w:tcW w:w="2140" w:type="dxa"/>
            <w:vAlign w:val="bottom"/>
          </w:tcPr>
          <w:p>
            <w:pPr>
              <w:jc w:val="center"/>
              <w:ind w:left="549"/>
              <w:spacing w:after="0"/>
              <w:rPr>
                <w:sz w:val="20"/>
                <w:szCs w:val="20"/>
                <w:color w:val="auto"/>
              </w:rPr>
            </w:pPr>
            <w:r>
              <w:rPr>
                <w:rFonts w:ascii="Arial" w:cs="Arial" w:eastAsia="Arial" w:hAnsi="Arial"/>
                <w:sz w:val="14"/>
                <w:szCs w:val="14"/>
                <w:b w:val="1"/>
                <w:bCs w:val="1"/>
                <w:color w:val="auto"/>
                <w:w w:val="97"/>
              </w:rPr>
              <w:t>LTM</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LTM</w:t>
            </w:r>
          </w:p>
        </w:tc>
      </w:tr>
      <w:tr>
        <w:trPr>
          <w:trHeight w:val="188"/>
        </w:trPr>
        <w:tc>
          <w:tcPr>
            <w:tcW w:w="3900" w:type="dxa"/>
            <w:vAlign w:val="bottom"/>
          </w:tcPr>
          <w:p>
            <w:pPr>
              <w:spacing w:after="0"/>
              <w:rPr>
                <w:sz w:val="16"/>
                <w:szCs w:val="16"/>
                <w:color w:val="auto"/>
              </w:rPr>
            </w:pPr>
          </w:p>
        </w:tc>
        <w:tc>
          <w:tcPr>
            <w:tcW w:w="2140" w:type="dxa"/>
            <w:vAlign w:val="bottom"/>
          </w:tcPr>
          <w:p>
            <w:pPr>
              <w:jc w:val="center"/>
              <w:ind w:left="529"/>
              <w:spacing w:after="0"/>
              <w:rPr>
                <w:sz w:val="20"/>
                <w:szCs w:val="20"/>
                <w:color w:val="auto"/>
              </w:rPr>
            </w:pPr>
            <w:r>
              <w:rPr>
                <w:rFonts w:ascii="Arial" w:cs="Arial" w:eastAsia="Arial" w:hAnsi="Arial"/>
                <w:sz w:val="14"/>
                <w:szCs w:val="14"/>
                <w:b w:val="1"/>
                <w:bCs w:val="1"/>
                <w:color w:val="auto"/>
                <w:w w:val="98"/>
              </w:rPr>
              <w:t>6/30/06</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9/30/06</w:t>
            </w:r>
          </w:p>
        </w:tc>
      </w:tr>
      <w:tr>
        <w:trPr>
          <w:trHeight w:val="282"/>
        </w:trPr>
        <w:tc>
          <w:tcPr>
            <w:tcW w:w="3900" w:type="dxa"/>
            <w:vAlign w:val="bottom"/>
          </w:tcPr>
          <w:p>
            <w:pPr>
              <w:spacing w:after="0"/>
              <w:rPr>
                <w:sz w:val="20"/>
                <w:szCs w:val="20"/>
                <w:color w:val="auto"/>
              </w:rPr>
            </w:pPr>
            <w:r>
              <w:rPr>
                <w:rFonts w:ascii="Arial" w:cs="Arial" w:eastAsia="Arial" w:hAnsi="Arial"/>
                <w:sz w:val="14"/>
                <w:szCs w:val="14"/>
                <w:b w:val="1"/>
                <w:bCs w:val="1"/>
                <w:color w:val="auto"/>
              </w:rPr>
              <w:t>Adjusted EBITDA Reconciliation</w:t>
            </w:r>
          </w:p>
        </w:tc>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8"/>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Net Income</w:t>
            </w:r>
          </w:p>
        </w:tc>
        <w:tc>
          <w:tcPr>
            <w:tcW w:w="21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Pilgrim's Pride</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$48</w:t>
            </w: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77"/>
        </w:trPr>
        <w:tc>
          <w:tcPr>
            <w:tcW w:w="3900" w:type="dxa"/>
            <w:vAlign w:val="bottom"/>
          </w:tcPr>
          <w:p>
            <w:pPr>
              <w:ind w:left="200"/>
              <w:spacing w:after="0"/>
              <w:rPr>
                <w:sz w:val="20"/>
                <w:szCs w:val="20"/>
                <w:color w:val="auto"/>
              </w:rPr>
            </w:pPr>
            <w:r>
              <w:rPr>
                <w:rFonts w:ascii="Arial" w:cs="Arial" w:eastAsia="Arial" w:hAnsi="Arial"/>
                <w:sz w:val="14"/>
                <w:szCs w:val="14"/>
                <w:color w:val="auto"/>
              </w:rPr>
              <w:t>Gold Kist</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8"/>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Combined Net Income</w:t>
            </w:r>
          </w:p>
        </w:tc>
        <w:tc>
          <w:tcPr>
            <w:tcW w:w="2140" w:type="dxa"/>
            <w:vAlign w:val="bottom"/>
          </w:tcPr>
          <w:p>
            <w:pPr>
              <w:jc w:val="right"/>
              <w:ind w:right="249"/>
              <w:spacing w:after="0"/>
              <w:rPr>
                <w:sz w:val="20"/>
                <w:szCs w:val="20"/>
                <w:color w:val="auto"/>
              </w:rPr>
            </w:pPr>
            <w:r>
              <w:rPr>
                <w:rFonts w:ascii="Arial" w:cs="Arial" w:eastAsia="Arial" w:hAnsi="Arial"/>
                <w:sz w:val="14"/>
                <w:szCs w:val="14"/>
                <w:b w:val="1"/>
                <w:bCs w:val="1"/>
                <w:color w:val="auto"/>
              </w:rPr>
              <w:t>$52</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235"/>
        </w:trPr>
        <w:tc>
          <w:tcPr>
            <w:tcW w:w="3900" w:type="dxa"/>
            <w:vAlign w:val="bottom"/>
          </w:tcPr>
          <w:p>
            <w:pPr>
              <w:ind w:left="100"/>
              <w:spacing w:after="0"/>
              <w:rPr>
                <w:sz w:val="20"/>
                <w:szCs w:val="20"/>
                <w:color w:val="auto"/>
              </w:rPr>
            </w:pPr>
            <w:r>
              <w:rPr>
                <w:rFonts w:ascii="Arial" w:cs="Arial" w:eastAsia="Arial" w:hAnsi="Arial"/>
                <w:sz w:val="14"/>
                <w:szCs w:val="14"/>
                <w:b w:val="1"/>
                <w:bCs w:val="1"/>
                <w:color w:val="auto"/>
              </w:rPr>
              <w:t>Adjustments:</w:t>
            </w:r>
          </w:p>
        </w:tc>
        <w:tc>
          <w:tcPr>
            <w:tcW w:w="2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Pilgrim's Pride - Add:</w:t>
            </w:r>
          </w:p>
        </w:tc>
        <w:tc>
          <w:tcPr>
            <w:tcW w:w="2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Income Tax Expense</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$13</w:t>
            </w: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Net Interest Expense</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40</w:t>
            </w:r>
          </w:p>
        </w:tc>
        <w:tc>
          <w:tcPr>
            <w:tcW w:w="10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76"/>
        </w:trPr>
        <w:tc>
          <w:tcPr>
            <w:tcW w:w="3900" w:type="dxa"/>
            <w:vAlign w:val="bottom"/>
          </w:tcPr>
          <w:p>
            <w:pPr>
              <w:ind w:left="300"/>
              <w:spacing w:after="0"/>
              <w:rPr>
                <w:sz w:val="20"/>
                <w:szCs w:val="20"/>
                <w:color w:val="auto"/>
              </w:rPr>
            </w:pPr>
            <w:r>
              <w:rPr>
                <w:rFonts w:ascii="Arial" w:cs="Arial" w:eastAsia="Arial" w:hAnsi="Arial"/>
                <w:sz w:val="14"/>
                <w:szCs w:val="14"/>
                <w:color w:val="auto"/>
              </w:rPr>
              <w:t xml:space="preserve">Depreciation &amp; Amortization </w:t>
            </w:r>
            <w:r>
              <w:rPr>
                <w:rFonts w:ascii="Arial" w:cs="Arial" w:eastAsia="Arial" w:hAnsi="Arial"/>
                <w:sz w:val="8"/>
                <w:szCs w:val="8"/>
                <w:color w:val="auto"/>
              </w:rPr>
              <w:t>(1)</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138</w:t>
            </w:r>
          </w:p>
        </w:tc>
        <w:tc>
          <w:tcPr>
            <w:tcW w:w="100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223"/>
        </w:trPr>
        <w:tc>
          <w:tcPr>
            <w:tcW w:w="3900" w:type="dxa"/>
            <w:vAlign w:val="bottom"/>
          </w:tcPr>
          <w:p>
            <w:pPr>
              <w:ind w:left="200"/>
              <w:spacing w:after="0"/>
              <w:rPr>
                <w:sz w:val="20"/>
                <w:szCs w:val="20"/>
                <w:color w:val="auto"/>
              </w:rPr>
            </w:pPr>
            <w:r>
              <w:rPr>
                <w:rFonts w:ascii="Arial" w:cs="Arial" w:eastAsia="Arial" w:hAnsi="Arial"/>
                <w:sz w:val="14"/>
                <w:szCs w:val="14"/>
                <w:color w:val="auto"/>
              </w:rPr>
              <w:t>Pilgrim's Pride - Adjustments:</w:t>
            </w:r>
          </w:p>
        </w:tc>
        <w:tc>
          <w:tcPr>
            <w:tcW w:w="2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Accounting Adjustment - Benefit Plans</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$0</w:t>
            </w: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23"/>
        </w:trPr>
        <w:tc>
          <w:tcPr>
            <w:tcW w:w="3900" w:type="dxa"/>
            <w:vAlign w:val="bottom"/>
          </w:tcPr>
          <w:p>
            <w:pPr>
              <w:ind w:left="200"/>
              <w:spacing w:after="0"/>
              <w:rPr>
                <w:sz w:val="20"/>
                <w:szCs w:val="20"/>
                <w:color w:val="auto"/>
              </w:rPr>
            </w:pPr>
            <w:r>
              <w:rPr>
                <w:rFonts w:ascii="Arial" w:cs="Arial" w:eastAsia="Arial" w:hAnsi="Arial"/>
                <w:sz w:val="14"/>
                <w:szCs w:val="14"/>
                <w:color w:val="auto"/>
              </w:rPr>
              <w:t>Gold Kist - Add:</w:t>
            </w:r>
          </w:p>
        </w:tc>
        <w:tc>
          <w:tcPr>
            <w:tcW w:w="2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Income Tax Expense (Benefit)</w:t>
            </w:r>
          </w:p>
        </w:tc>
        <w:tc>
          <w:tcPr>
            <w:tcW w:w="2140" w:type="dxa"/>
            <w:vAlign w:val="bottom"/>
          </w:tcPr>
          <w:p>
            <w:pPr>
              <w:jc w:val="right"/>
              <w:ind w:right="189"/>
              <w:spacing w:after="0"/>
              <w:rPr>
                <w:sz w:val="20"/>
                <w:szCs w:val="20"/>
                <w:color w:val="auto"/>
              </w:rPr>
            </w:pPr>
            <w:r>
              <w:rPr>
                <w:rFonts w:ascii="Arial" w:cs="Arial" w:eastAsia="Arial" w:hAnsi="Arial"/>
                <w:sz w:val="14"/>
                <w:szCs w:val="14"/>
                <w:color w:val="auto"/>
              </w:rPr>
              <w:t>($3)</w:t>
            </w: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Net Interest Expense</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11</w:t>
            </w: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76"/>
        </w:trPr>
        <w:tc>
          <w:tcPr>
            <w:tcW w:w="3900" w:type="dxa"/>
            <w:vAlign w:val="bottom"/>
          </w:tcPr>
          <w:p>
            <w:pPr>
              <w:ind w:left="300"/>
              <w:spacing w:after="0"/>
              <w:rPr>
                <w:sz w:val="20"/>
                <w:szCs w:val="20"/>
                <w:color w:val="auto"/>
              </w:rPr>
            </w:pPr>
            <w:r>
              <w:rPr>
                <w:rFonts w:ascii="Arial" w:cs="Arial" w:eastAsia="Arial" w:hAnsi="Arial"/>
                <w:sz w:val="14"/>
                <w:szCs w:val="14"/>
                <w:color w:val="auto"/>
              </w:rPr>
              <w:t xml:space="preserve">Depreciation &amp; Amortization </w:t>
            </w:r>
            <w:r>
              <w:rPr>
                <w:rFonts w:ascii="Arial" w:cs="Arial" w:eastAsia="Arial" w:hAnsi="Arial"/>
                <w:sz w:val="8"/>
                <w:szCs w:val="8"/>
                <w:color w:val="auto"/>
              </w:rPr>
              <w:t>(1)</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50</w:t>
            </w:r>
          </w:p>
        </w:tc>
        <w:tc>
          <w:tcPr>
            <w:tcW w:w="10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23"/>
        </w:trPr>
        <w:tc>
          <w:tcPr>
            <w:tcW w:w="3900" w:type="dxa"/>
            <w:vAlign w:val="bottom"/>
          </w:tcPr>
          <w:p>
            <w:pPr>
              <w:ind w:left="200"/>
              <w:spacing w:after="0"/>
              <w:rPr>
                <w:sz w:val="20"/>
                <w:szCs w:val="20"/>
                <w:color w:val="auto"/>
              </w:rPr>
            </w:pPr>
            <w:r>
              <w:rPr>
                <w:rFonts w:ascii="Arial" w:cs="Arial" w:eastAsia="Arial" w:hAnsi="Arial"/>
                <w:sz w:val="14"/>
                <w:szCs w:val="14"/>
                <w:color w:val="auto"/>
              </w:rPr>
              <w:t>Gold Kist - Adjustments:</w:t>
            </w:r>
          </w:p>
        </w:tc>
        <w:tc>
          <w:tcPr>
            <w:tcW w:w="2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Benefit Plan and Pension Settlement Loss</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1</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Loss on Investment</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3</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3900" w:type="dxa"/>
            <w:vAlign w:val="bottom"/>
          </w:tcPr>
          <w:p>
            <w:pPr>
              <w:ind w:left="300"/>
              <w:spacing w:after="0"/>
              <w:rPr>
                <w:sz w:val="20"/>
                <w:szCs w:val="20"/>
                <w:color w:val="auto"/>
              </w:rPr>
            </w:pPr>
            <w:r>
              <w:rPr>
                <w:rFonts w:ascii="Arial" w:cs="Arial" w:eastAsia="Arial" w:hAnsi="Arial"/>
                <w:sz w:val="14"/>
                <w:szCs w:val="14"/>
                <w:color w:val="auto"/>
              </w:rPr>
              <w:t>Debt Prepayment Penalties</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6</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Antitrust Settlement (Benefit)</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8"/>
        </w:trPr>
        <w:tc>
          <w:tcPr>
            <w:tcW w:w="3900" w:type="dxa"/>
            <w:vAlign w:val="bottom"/>
          </w:tcPr>
          <w:p>
            <w:pPr>
              <w:ind w:left="300"/>
              <w:spacing w:after="0"/>
              <w:rPr>
                <w:sz w:val="20"/>
                <w:szCs w:val="20"/>
                <w:color w:val="auto"/>
              </w:rPr>
            </w:pPr>
            <w:r>
              <w:rPr>
                <w:rFonts w:ascii="Arial" w:cs="Arial" w:eastAsia="Arial" w:hAnsi="Arial"/>
                <w:sz w:val="14"/>
                <w:szCs w:val="14"/>
                <w:color w:val="auto"/>
              </w:rPr>
              <w:t>Unsolicited Offer Expenses</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23"/>
        </w:trPr>
        <w:tc>
          <w:tcPr>
            <w:tcW w:w="39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2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Pilgrim's Pride</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$239</w:t>
            </w:r>
          </w:p>
        </w:tc>
        <w:tc>
          <w:tcPr>
            <w:tcW w:w="100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188"/>
        </w:trPr>
        <w:tc>
          <w:tcPr>
            <w:tcW w:w="3900" w:type="dxa"/>
            <w:vAlign w:val="bottom"/>
          </w:tcPr>
          <w:p>
            <w:pPr>
              <w:ind w:left="200"/>
              <w:spacing w:after="0"/>
              <w:rPr>
                <w:sz w:val="20"/>
                <w:szCs w:val="20"/>
                <w:color w:val="auto"/>
              </w:rPr>
            </w:pPr>
            <w:r>
              <w:rPr>
                <w:rFonts w:ascii="Arial" w:cs="Arial" w:eastAsia="Arial" w:hAnsi="Arial"/>
                <w:sz w:val="14"/>
                <w:szCs w:val="14"/>
                <w:color w:val="auto"/>
              </w:rPr>
              <w:t>Gold Kist</w:t>
            </w:r>
          </w:p>
        </w:tc>
        <w:tc>
          <w:tcPr>
            <w:tcW w:w="2140" w:type="dxa"/>
            <w:vAlign w:val="bottom"/>
          </w:tcPr>
          <w:p>
            <w:pPr>
              <w:jc w:val="right"/>
              <w:ind w:right="249"/>
              <w:spacing w:after="0"/>
              <w:rPr>
                <w:sz w:val="20"/>
                <w:szCs w:val="20"/>
                <w:color w:val="auto"/>
              </w:rPr>
            </w:pPr>
            <w:r>
              <w:rPr>
                <w:rFonts w:ascii="Arial" w:cs="Arial" w:eastAsia="Arial" w:hAnsi="Arial"/>
                <w:sz w:val="14"/>
                <w:szCs w:val="14"/>
                <w:color w:val="auto"/>
              </w:rPr>
              <w:t>72</w:t>
            </w: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8"/>
        </w:trPr>
        <w:tc>
          <w:tcPr>
            <w:tcW w:w="3900" w:type="dxa"/>
            <w:vAlign w:val="bottom"/>
          </w:tcPr>
          <w:p>
            <w:pPr>
              <w:spacing w:after="0"/>
              <w:rPr>
                <w:sz w:val="20"/>
                <w:szCs w:val="20"/>
                <w:color w:val="auto"/>
              </w:rPr>
            </w:pPr>
            <w:r>
              <w:rPr>
                <w:rFonts w:ascii="Arial" w:cs="Arial" w:eastAsia="Arial" w:hAnsi="Arial"/>
                <w:sz w:val="14"/>
                <w:szCs w:val="14"/>
                <w:b w:val="1"/>
                <w:bCs w:val="1"/>
                <w:color w:val="auto"/>
              </w:rPr>
              <w:t>Combined Adjusted EBITDA</w:t>
            </w:r>
          </w:p>
        </w:tc>
        <w:tc>
          <w:tcPr>
            <w:tcW w:w="2140" w:type="dxa"/>
            <w:vAlign w:val="bottom"/>
          </w:tcPr>
          <w:p>
            <w:pPr>
              <w:jc w:val="right"/>
              <w:ind w:right="249"/>
              <w:spacing w:after="0"/>
              <w:rPr>
                <w:sz w:val="20"/>
                <w:szCs w:val="20"/>
                <w:color w:val="auto"/>
              </w:rPr>
            </w:pPr>
            <w:r>
              <w:rPr>
                <w:rFonts w:ascii="Arial" w:cs="Arial" w:eastAsia="Arial" w:hAnsi="Arial"/>
                <w:sz w:val="14"/>
                <w:szCs w:val="14"/>
                <w:b w:val="1"/>
                <w:bCs w:val="1"/>
                <w:color w:val="auto"/>
              </w:rPr>
              <w:t>$311</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$176</w:t>
            </w:r>
          </w:p>
        </w:tc>
      </w:tr>
    </w:tbl>
    <w:p>
      <w:pPr>
        <w:spacing w:after="0" w:line="10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(1) Excludes amortization of capitalized finance costs and includes amortization of share-based compensation.</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00"/>
          </w:cols>
          <w:pgMar w:left="1440" w:top="1052" w:right="359" w:bottom="1440" w:gutter="0" w:footer="0" w:header="0"/>
        </w:sectPr>
      </w:pPr>
    </w:p>
    <w:bookmarkStart w:id="20" w:name="page21"/>
    <w:bookmarkEnd w:id="20"/>
    <w:p>
      <w:pPr>
        <w:ind w:left="820" w:right="560"/>
        <w:spacing w:after="0" w:line="263" w:lineRule="auto"/>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539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539740"/>
                    </a:xfrm>
                    <a:prstGeom prst="rect">
                      <a:avLst/>
                    </a:prstGeom>
                    <a:noFill/>
                  </pic:spPr>
                </pic:pic>
              </a:graphicData>
            </a:graphic>
          </wp:anchor>
        </w:drawing>
        <w:t>Appendix B: Implied Normalized Gold Kist Operating Margins</w:t>
      </w: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auto"/>
        </w:rPr>
        <w:t>Implied Normalized Financial Information – Gold Kist</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5"/>
          <w:szCs w:val="15"/>
          <w:color w:val="auto"/>
        </w:rPr>
        <w:t>($ in millions)</w:t>
      </w:r>
    </w:p>
    <w:p>
      <w:pPr>
        <w:spacing w:after="0" w:line="172"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Arial" w:cs="Arial" w:eastAsia="Arial" w:hAnsi="Arial"/>
                <w:sz w:val="18"/>
                <w:szCs w:val="18"/>
                <w:b w:val="1"/>
                <w:bCs w:val="1"/>
                <w:color w:val="auto"/>
              </w:rPr>
              <w:t>Fiscal Year Ending September 30,</w:t>
            </w: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9"/>
        </w:trPr>
        <w:tc>
          <w:tcPr>
            <w:tcW w:w="3320" w:type="dxa"/>
            <w:vAlign w:val="bottom"/>
          </w:tcPr>
          <w:p>
            <w:pPr>
              <w:spacing w:after="0"/>
              <w:rPr>
                <w:sz w:val="20"/>
                <w:szCs w:val="20"/>
                <w:color w:val="auto"/>
              </w:rPr>
            </w:pPr>
            <w:r>
              <w:rPr>
                <w:rFonts w:ascii="Arial" w:cs="Arial" w:eastAsia="Arial" w:hAnsi="Arial"/>
                <w:sz w:val="18"/>
                <w:szCs w:val="18"/>
                <w:b w:val="1"/>
                <w:bCs w:val="1"/>
                <w:color w:val="auto"/>
              </w:rPr>
              <w:t>FY2006 Sales</w:t>
            </w:r>
          </w:p>
        </w:tc>
        <w:tc>
          <w:tcPr>
            <w:tcW w:w="1240" w:type="dxa"/>
            <w:vAlign w:val="bottom"/>
          </w:tcPr>
          <w:p>
            <w:pPr>
              <w:jc w:val="right"/>
              <w:ind w:right="132"/>
              <w:spacing w:after="0"/>
              <w:rPr>
                <w:sz w:val="20"/>
                <w:szCs w:val="20"/>
                <w:color w:val="auto"/>
              </w:rPr>
            </w:pPr>
            <w:r>
              <w:rPr>
                <w:rFonts w:ascii="Arial" w:cs="Arial" w:eastAsia="Arial" w:hAnsi="Arial"/>
                <w:sz w:val="18"/>
                <w:szCs w:val="18"/>
                <w:b w:val="1"/>
                <w:bCs w:val="1"/>
                <w:color w:val="auto"/>
              </w:rPr>
              <w:t>$2,127</w:t>
            </w: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$2,127</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$2,127</w:t>
            </w:r>
          </w:p>
        </w:tc>
      </w:tr>
      <w:tr>
        <w:trPr>
          <w:trHeight w:val="317"/>
        </w:trPr>
        <w:tc>
          <w:tcPr>
            <w:tcW w:w="3320" w:type="dxa"/>
            <w:vAlign w:val="bottom"/>
          </w:tcPr>
          <w:p>
            <w:pPr>
              <w:ind w:left="120"/>
              <w:spacing w:after="0"/>
              <w:rPr>
                <w:sz w:val="20"/>
                <w:szCs w:val="20"/>
                <w:color w:val="auto"/>
              </w:rPr>
            </w:pPr>
            <w:r>
              <w:rPr>
                <w:rFonts w:ascii="Arial" w:cs="Arial" w:eastAsia="Arial" w:hAnsi="Arial"/>
                <w:sz w:val="18"/>
                <w:szCs w:val="18"/>
                <w:color w:val="auto"/>
              </w:rPr>
              <w:t>Assumed Normalized EBIT Margin</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9"/>
        </w:trPr>
        <w:tc>
          <w:tcPr>
            <w:tcW w:w="3320" w:type="dxa"/>
            <w:vAlign w:val="bottom"/>
          </w:tcPr>
          <w:p>
            <w:pPr>
              <w:spacing w:after="0"/>
              <w:rPr>
                <w:sz w:val="20"/>
                <w:szCs w:val="20"/>
                <w:color w:val="auto"/>
              </w:rPr>
            </w:pPr>
            <w:r>
              <w:rPr>
                <w:rFonts w:ascii="Arial" w:cs="Arial" w:eastAsia="Arial" w:hAnsi="Arial"/>
                <w:sz w:val="18"/>
                <w:szCs w:val="18"/>
                <w:b w:val="1"/>
                <w:bCs w:val="1"/>
                <w:color w:val="auto"/>
              </w:rPr>
              <w:t>Implied Normalized EBIT</w:t>
            </w:r>
          </w:p>
        </w:tc>
        <w:tc>
          <w:tcPr>
            <w:tcW w:w="1240" w:type="dxa"/>
            <w:vAlign w:val="bottom"/>
          </w:tcPr>
          <w:p>
            <w:pPr>
              <w:jc w:val="right"/>
              <w:ind w:right="132"/>
              <w:spacing w:after="0"/>
              <w:rPr>
                <w:sz w:val="20"/>
                <w:szCs w:val="20"/>
                <w:color w:val="auto"/>
              </w:rPr>
            </w:pPr>
            <w:r>
              <w:rPr>
                <w:rFonts w:ascii="Arial" w:cs="Arial" w:eastAsia="Arial" w:hAnsi="Arial"/>
                <w:sz w:val="18"/>
                <w:szCs w:val="18"/>
                <w:b w:val="1"/>
                <w:bCs w:val="1"/>
                <w:color w:val="auto"/>
              </w:rPr>
              <w:t>$106</w:t>
            </w: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$128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$149</w:t>
            </w:r>
          </w:p>
        </w:tc>
      </w:tr>
      <w:tr>
        <w:trPr>
          <w:trHeight w:val="333"/>
        </w:trPr>
        <w:tc>
          <w:tcPr>
            <w:tcW w:w="3320" w:type="dxa"/>
            <w:vAlign w:val="bottom"/>
          </w:tcPr>
          <w:p>
            <w:pPr>
              <w:ind w:left="120"/>
              <w:spacing w:after="0"/>
              <w:rPr>
                <w:sz w:val="20"/>
                <w:szCs w:val="20"/>
                <w:color w:val="auto"/>
              </w:rPr>
            </w:pPr>
            <w:r>
              <w:rPr>
                <w:rFonts w:ascii="Arial" w:cs="Arial" w:eastAsia="Arial" w:hAnsi="Arial"/>
                <w:sz w:val="18"/>
                <w:szCs w:val="18"/>
                <w:color w:val="auto"/>
              </w:rPr>
              <w:t>Plus: Depreciation &amp; Amortization</w:t>
            </w:r>
            <w:r>
              <w:rPr>
                <w:rFonts w:ascii="Arial" w:cs="Arial" w:eastAsia="Arial" w:hAnsi="Arial"/>
                <w:sz w:val="21"/>
                <w:szCs w:val="21"/>
                <w:color w:val="auto"/>
                <w:vertAlign w:val="superscript"/>
              </w:rPr>
              <w:t>(1)</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3320" w:type="dxa"/>
            <w:vAlign w:val="bottom"/>
          </w:tcPr>
          <w:p>
            <w:pPr>
              <w:spacing w:after="0"/>
              <w:rPr>
                <w:sz w:val="20"/>
                <w:szCs w:val="20"/>
                <w:color w:val="auto"/>
              </w:rPr>
            </w:pPr>
            <w:r>
              <w:rPr>
                <w:rFonts w:ascii="Arial" w:cs="Arial" w:eastAsia="Arial" w:hAnsi="Arial"/>
                <w:sz w:val="18"/>
                <w:szCs w:val="18"/>
                <w:b w:val="1"/>
                <w:bCs w:val="1"/>
                <w:color w:val="auto"/>
              </w:rPr>
              <w:t>Implied Normalized EBITDA</w:t>
            </w:r>
          </w:p>
        </w:tc>
        <w:tc>
          <w:tcPr>
            <w:tcW w:w="1240" w:type="dxa"/>
            <w:vAlign w:val="bottom"/>
          </w:tcPr>
          <w:p>
            <w:pPr>
              <w:jc w:val="right"/>
              <w:ind w:right="132"/>
              <w:spacing w:after="0"/>
              <w:rPr>
                <w:sz w:val="20"/>
                <w:szCs w:val="20"/>
                <w:color w:val="auto"/>
              </w:rPr>
            </w:pPr>
            <w:r>
              <w:rPr>
                <w:rFonts w:ascii="Arial" w:cs="Arial" w:eastAsia="Arial" w:hAnsi="Arial"/>
                <w:sz w:val="18"/>
                <w:szCs w:val="18"/>
                <w:b w:val="1"/>
                <w:bCs w:val="1"/>
                <w:color w:val="auto"/>
              </w:rPr>
              <w:t>$157</w:t>
            </w: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$178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r>
      <w:tr>
        <w:trPr>
          <w:trHeight w:val="306"/>
        </w:trPr>
        <w:tc>
          <w:tcPr>
            <w:tcW w:w="3320" w:type="dxa"/>
            <w:vAlign w:val="bottom"/>
          </w:tcPr>
          <w:p>
            <w:pPr>
              <w:ind w:left="120"/>
              <w:spacing w:after="0"/>
              <w:rPr>
                <w:sz w:val="20"/>
                <w:szCs w:val="20"/>
                <w:color w:val="auto"/>
              </w:rPr>
            </w:pPr>
            <w:r>
              <w:rPr>
                <w:rFonts w:ascii="Arial" w:cs="Arial" w:eastAsia="Arial" w:hAnsi="Arial"/>
                <w:sz w:val="18"/>
                <w:szCs w:val="18"/>
                <w:color w:val="auto"/>
              </w:rPr>
              <w:t>Actual FY2006 Adjusted EBITDA</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7"/>
        </w:trPr>
        <w:tc>
          <w:tcPr>
            <w:tcW w:w="3320" w:type="dxa"/>
            <w:vAlign w:val="bottom"/>
          </w:tcPr>
          <w:p>
            <w:pPr>
              <w:spacing w:after="0"/>
              <w:rPr>
                <w:sz w:val="20"/>
                <w:szCs w:val="20"/>
                <w:color w:val="auto"/>
              </w:rPr>
            </w:pPr>
            <w:r>
              <w:rPr>
                <w:rFonts w:ascii="Arial" w:cs="Arial" w:eastAsia="Arial" w:hAnsi="Arial"/>
                <w:sz w:val="18"/>
                <w:szCs w:val="18"/>
                <w:b w:val="1"/>
                <w:bCs w:val="1"/>
                <w:color w:val="auto"/>
              </w:rPr>
              <w:t>Enterprise Value at $21 per share</w:t>
            </w:r>
          </w:p>
        </w:tc>
        <w:tc>
          <w:tcPr>
            <w:tcW w:w="1240" w:type="dxa"/>
            <w:vAlign w:val="bottom"/>
          </w:tcPr>
          <w:p>
            <w:pPr>
              <w:jc w:val="right"/>
              <w:ind w:right="132"/>
              <w:spacing w:after="0"/>
              <w:rPr>
                <w:sz w:val="20"/>
                <w:szCs w:val="20"/>
                <w:color w:val="auto"/>
              </w:rPr>
            </w:pPr>
            <w:r>
              <w:rPr>
                <w:rFonts w:ascii="Arial" w:cs="Arial" w:eastAsia="Arial" w:hAnsi="Arial"/>
                <w:sz w:val="18"/>
                <w:szCs w:val="18"/>
                <w:b w:val="1"/>
                <w:bCs w:val="1"/>
                <w:color w:val="auto"/>
              </w:rPr>
              <w:t>$1,130</w:t>
            </w:r>
          </w:p>
        </w:tc>
        <w:tc>
          <w:tcPr>
            <w:tcW w:w="960" w:type="dxa"/>
            <w:vAlign w:val="bottom"/>
          </w:tcPr>
          <w:p>
            <w:pPr>
              <w:jc w:val="right"/>
              <w:ind w:right="132"/>
              <w:spacing w:after="0"/>
              <w:rPr>
                <w:sz w:val="20"/>
                <w:szCs w:val="20"/>
                <w:color w:val="auto"/>
              </w:rPr>
            </w:pPr>
            <w:r>
              <w:rPr>
                <w:rFonts w:ascii="Arial" w:cs="Arial" w:eastAsia="Arial" w:hAnsi="Arial"/>
                <w:sz w:val="18"/>
                <w:szCs w:val="18"/>
                <w:b w:val="1"/>
                <w:bCs w:val="1"/>
                <w:color w:val="auto"/>
              </w:rPr>
              <w:t>$1,130</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$1,130</w:t>
            </w:r>
          </w:p>
        </w:tc>
      </w:tr>
      <w:tr>
        <w:trPr>
          <w:trHeight w:val="259"/>
        </w:trPr>
        <w:tc>
          <w:tcPr>
            <w:tcW w:w="3320" w:type="dxa"/>
            <w:vAlign w:val="bottom"/>
          </w:tcPr>
          <w:p>
            <w:pPr>
              <w:ind w:left="120"/>
              <w:spacing w:after="0"/>
              <w:rPr>
                <w:sz w:val="20"/>
                <w:szCs w:val="20"/>
                <w:color w:val="auto"/>
              </w:rPr>
            </w:pPr>
            <w:r>
              <w:rPr>
                <w:rFonts w:ascii="Arial" w:cs="Arial" w:eastAsia="Arial" w:hAnsi="Arial"/>
                <w:sz w:val="18"/>
                <w:szCs w:val="18"/>
                <w:color w:val="auto"/>
              </w:rPr>
              <w:t>EV/Sales</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0.53x</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0.53x</w:t>
            </w:r>
          </w:p>
        </w:tc>
        <w:tc>
          <w:tcPr>
            <w:tcW w:w="780" w:type="dxa"/>
            <w:vAlign w:val="bottom"/>
          </w:tcPr>
          <w:p>
            <w:pPr>
              <w:jc w:val="right"/>
              <w:spacing w:after="0"/>
              <w:rPr>
                <w:sz w:val="20"/>
                <w:szCs w:val="20"/>
                <w:color w:val="auto"/>
              </w:rPr>
            </w:pPr>
            <w:r>
              <w:rPr>
                <w:rFonts w:ascii="Arial" w:cs="Arial" w:eastAsia="Arial" w:hAnsi="Arial"/>
                <w:sz w:val="18"/>
                <w:szCs w:val="18"/>
                <w:color w:val="auto"/>
              </w:rPr>
              <w:t>0.53x</w:t>
            </w:r>
          </w:p>
        </w:tc>
      </w:tr>
      <w:tr>
        <w:trPr>
          <w:trHeight w:val="247"/>
        </w:trPr>
        <w:tc>
          <w:tcPr>
            <w:tcW w:w="3320" w:type="dxa"/>
            <w:vAlign w:val="bottom"/>
          </w:tcPr>
          <w:p>
            <w:pPr>
              <w:ind w:left="120"/>
              <w:spacing w:after="0"/>
              <w:rPr>
                <w:sz w:val="20"/>
                <w:szCs w:val="20"/>
                <w:color w:val="auto"/>
              </w:rPr>
            </w:pPr>
            <w:r>
              <w:rPr>
                <w:rFonts w:ascii="Arial" w:cs="Arial" w:eastAsia="Arial" w:hAnsi="Arial"/>
                <w:sz w:val="18"/>
                <w:szCs w:val="18"/>
                <w:color w:val="auto"/>
              </w:rPr>
              <w:t>EV/Normalized EBITDA</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7.2x</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6.3x</w:t>
            </w:r>
          </w:p>
        </w:tc>
        <w:tc>
          <w:tcPr>
            <w:tcW w:w="780" w:type="dxa"/>
            <w:vAlign w:val="bottom"/>
          </w:tcPr>
          <w:p>
            <w:pPr>
              <w:jc w:val="right"/>
              <w:spacing w:after="0"/>
              <w:rPr>
                <w:sz w:val="20"/>
                <w:szCs w:val="20"/>
                <w:color w:val="auto"/>
              </w:rPr>
            </w:pPr>
            <w:r>
              <w:rPr>
                <w:rFonts w:ascii="Arial" w:cs="Arial" w:eastAsia="Arial" w:hAnsi="Arial"/>
                <w:sz w:val="18"/>
                <w:szCs w:val="18"/>
                <w:color w:val="auto"/>
              </w:rPr>
              <w:t>5.7x</w:t>
            </w:r>
          </w:p>
        </w:tc>
      </w:tr>
    </w:tbl>
    <w:p>
      <w:pPr>
        <w:spacing w:after="0" w:line="15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(1) Depreciation assumed to be equivalent to LTM as of 9/30/06.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sectPr>
      <w:pgSz w:w="11900" w:h="16838" w:orient="portrait"/>
      <w:cols w:equalWidth="0" w:num="1">
        <w:col w:w="10100"/>
      </w:cols>
      <w:pgMar w:left="1440" w:top="4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
      <w:numFmt w:val="bullet"/>
      <w:start w:val="1"/>
    </w:lvl>
    <w:lvl w:ilvl="1">
      <w:lvlJc w:val="left"/>
      <w:lvlText w:val="(%2)"/>
      <w:numFmt w:val="decimal"/>
      <w:start w:val="2"/>
    </w:lvl>
  </w:abstractNum>
  <w:abstractNum w:abstractNumId="5">
    <w:nsid w:val="66EF438D"/>
    <w:multiLevelType w:val="hybridMultilevel"/>
    <w:lvl w:ilvl="0">
      <w:lvlJc w:val="left"/>
      <w:lvlText w:val="☐"/>
      <w:numFmt w:val="bullet"/>
      <w:start w:val="1"/>
    </w:lvl>
    <w:lvl w:ilvl="1">
      <w:lvlJc w:val="left"/>
      <w:lvlText w:val="(%2)"/>
      <w:numFmt w:val="decimal"/>
      <w:start w:val="1"/>
    </w:lvl>
  </w:abstractNum>
  <w:abstractNum w:abstractNumId="6">
    <w:nsid w:val="140E0F76"/>
    <w:multiLevelType w:val="hybridMultilevel"/>
    <w:lvl w:ilvl="0">
      <w:lvlJc w:val="left"/>
      <w:lvlText w:val="\endash "/>
      <w:numFmt w:val="bullet"/>
      <w:start w:val="1"/>
    </w:lvl>
    <w:lvl w:ilvl="1">
      <w:lvlJc w:val="left"/>
      <w:lvlText w:val="•"/>
      <w:numFmt w:val="bullet"/>
      <w:start w:val="1"/>
    </w:lvl>
  </w:abstractNum>
  <w:abstractNum w:abstractNumId="7">
    <w:nsid w:val="3352255A"/>
    <w:multiLevelType w:val="hybridMultilevel"/>
    <w:lvl w:ilvl="0">
      <w:lvlJc w:val="left"/>
      <w:lvlText w:val="\endash "/>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endash "/>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endash "/>
      <w:numFmt w:val="bullet"/>
      <w:start w:val="1"/>
    </w:lvl>
  </w:abstractNum>
  <w:abstractNum w:abstractNumId="12">
    <w:nsid w:val="41A7C4C9"/>
    <w:multiLevelType w:val="hybridMultilevel"/>
    <w:lvl w:ilvl="0">
      <w:lvlJc w:val="left"/>
      <w:lvlText w:val="\endash "/>
      <w:numFmt w:val="bullet"/>
      <w:start w:val="1"/>
    </w:lvl>
    <w:lvl w:ilvl="1">
      <w:lvlJc w:val="left"/>
      <w:lvlText w:val="•"/>
      <w:numFmt w:val="bullet"/>
      <w:start w:val="1"/>
    </w:lvl>
    <w:lvl w:ilvl="2">
      <w:lvlJc w:val="left"/>
      <w:lvlText w:val="\endash "/>
      <w:numFmt w:val="bullet"/>
      <w:start w:val="1"/>
    </w:lvl>
  </w:abstractNum>
  <w:abstractNum w:abstractNumId="13">
    <w:nsid w:val="6B68079A"/>
    <w:multiLevelType w:val="hybridMultilevel"/>
    <w:lvl w:ilvl="0">
      <w:lvlJc w:val="left"/>
      <w:lvlText w:val="\endash "/>
      <w:numFmt w:val="bullet"/>
      <w:start w:val="1"/>
    </w:lvl>
  </w:abstractNum>
  <w:abstractNum w:abstractNumId="14">
    <w:nsid w:val="4E6AFB66"/>
    <w:multiLevelType w:val="hybridMultilevel"/>
    <w:lvl w:ilvl="0">
      <w:lvlJc w:val="left"/>
      <w:lvlText w:val="\endash "/>
      <w:numFmt w:val="bullet"/>
      <w:start w:val="1"/>
    </w:lvl>
  </w:abstractNum>
  <w:abstractNum w:abstractNumId="15">
    <w:nsid w:val="25E45D32"/>
    <w:multiLevelType w:val="hybridMultilevel"/>
    <w:lvl w:ilvl="0">
      <w:lvlJc w:val="left"/>
      <w:lvlText w:val="\endash "/>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2019-12-11T21:10:31Z</dcterms:created>
  <dcterms:modified xsi:type="dcterms:W3CDTF">2019-12-11T21:10:31Z</dcterms:modified>
</cp:coreProperties>
</file>