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-6985</wp:posOffset>
            </wp:positionV>
            <wp:extent cx="72707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075" cy="6985"/>
                    </a:xfrm>
                    <a:prstGeom prst="rect">
                      <a:avLst/>
                    </a:prstGeom>
                    <a:noFill/>
                  </pic:spPr>
                </pic:pic>
              </a:graphicData>
            </a:graphic>
          </wp:anchor>
        </w:drawing>
      </w:r>
    </w:p>
    <w:p>
      <w:pPr>
        <w:spacing w:after="0" w:line="265"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UNITED STATES</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SECURITIES AND EXCHANGE COMMISSION</w:t>
      </w:r>
    </w:p>
    <w:p>
      <w:pPr>
        <w:jc w:val="center"/>
        <w:spacing w:after="0"/>
        <w:rPr>
          <w:sz w:val="20"/>
          <w:szCs w:val="20"/>
          <w:color w:val="auto"/>
        </w:rPr>
      </w:pPr>
      <w:r>
        <w:rPr>
          <w:rFonts w:ascii="Arial" w:cs="Arial" w:eastAsia="Arial" w:hAnsi="Arial"/>
          <w:sz w:val="13"/>
          <w:szCs w:val="1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3155950</wp:posOffset>
            </wp:positionH>
            <wp:positionV relativeFrom="paragraph">
              <wp:posOffset>57785</wp:posOffset>
            </wp:positionV>
            <wp:extent cx="86233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62330" cy="6985"/>
                    </a:xfrm>
                    <a:prstGeom prst="rect">
                      <a:avLst/>
                    </a:prstGeom>
                    <a:noFill/>
                  </pic:spPr>
                </pic:pic>
              </a:graphicData>
            </a:graphic>
          </wp:anchor>
        </w:drawing>
      </w:r>
    </w:p>
    <w:p>
      <w:pPr>
        <w:spacing w:after="0" w:line="82" w:lineRule="exact"/>
        <w:rPr>
          <w:sz w:val="24"/>
          <w:szCs w:val="24"/>
          <w:color w:val="auto"/>
        </w:rPr>
      </w:pPr>
    </w:p>
    <w:p>
      <w:pPr>
        <w:jc w:val="center"/>
        <w:ind w:right="-39"/>
        <w:spacing w:after="0"/>
        <w:rPr>
          <w:sz w:val="20"/>
          <w:szCs w:val="20"/>
          <w:color w:val="auto"/>
        </w:rPr>
      </w:pPr>
      <w:r>
        <w:rPr>
          <w:rFonts w:ascii="Arial" w:cs="Arial" w:eastAsia="Arial" w:hAnsi="Arial"/>
          <w:sz w:val="13"/>
          <w:szCs w:val="13"/>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3155950</wp:posOffset>
            </wp:positionH>
            <wp:positionV relativeFrom="paragraph">
              <wp:posOffset>12700</wp:posOffset>
            </wp:positionV>
            <wp:extent cx="86233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62330" cy="6985"/>
                    </a:xfrm>
                    <a:prstGeom prst="rect">
                      <a:avLst/>
                    </a:prstGeom>
                    <a:noFill/>
                  </pic:spPr>
                </pic:pic>
              </a:graphicData>
            </a:graphic>
          </wp:anchor>
        </w:drawing>
      </w:r>
    </w:p>
    <w:p>
      <w:pPr>
        <w:spacing w:after="0" w:line="287" w:lineRule="exact"/>
        <w:rPr>
          <w:sz w:val="24"/>
          <w:szCs w:val="24"/>
          <w:color w:val="auto"/>
        </w:rPr>
      </w:pPr>
    </w:p>
    <w:p>
      <w:pPr>
        <w:ind w:left="280" w:hanging="275"/>
        <w:spacing w:after="0"/>
        <w:tabs>
          <w:tab w:leader="none" w:pos="280" w:val="left"/>
        </w:tabs>
        <w:numPr>
          <w:ilvl w:val="0"/>
          <w:numId w:val="1"/>
        </w:numPr>
        <w:rPr>
          <w:rFonts w:ascii="MS PGothic" w:cs="MS PGothic" w:eastAsia="MS PGothic" w:hAnsi="MS PGothic"/>
          <w:sz w:val="13"/>
          <w:szCs w:val="13"/>
          <w:color w:val="auto"/>
        </w:rPr>
      </w:pPr>
      <w:r>
        <w:rPr>
          <w:rFonts w:ascii="Arial" w:cs="Arial" w:eastAsia="Arial" w:hAnsi="Arial"/>
          <w:sz w:val="13"/>
          <w:szCs w:val="13"/>
          <w:b w:val="1"/>
          <w:bCs w:val="1"/>
          <w:color w:val="auto"/>
        </w:rPr>
        <w:t>ANNUAL REPORT PURSUANT TO SECTION 13 OR 15(d) OF THE SECURITIES EXCHANGE ACT OF 1934</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 the fiscal year ended December 26, 2021</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OR</w:t>
      </w:r>
    </w:p>
    <w:p>
      <w:pPr>
        <w:spacing w:after="0" w:line="8" w:lineRule="exact"/>
        <w:rPr>
          <w:sz w:val="24"/>
          <w:szCs w:val="24"/>
          <w:color w:val="auto"/>
        </w:rPr>
      </w:pPr>
    </w:p>
    <w:p>
      <w:pPr>
        <w:ind w:left="260" w:hanging="255"/>
        <w:spacing w:after="0"/>
        <w:tabs>
          <w:tab w:leader="none" w:pos="260" w:val="left"/>
        </w:tabs>
        <w:numPr>
          <w:ilvl w:val="0"/>
          <w:numId w:val="2"/>
        </w:numPr>
        <w:rPr>
          <w:rFonts w:ascii="MS PGothic" w:cs="MS PGothic" w:eastAsia="MS PGothic" w:hAnsi="MS PGothic"/>
          <w:sz w:val="13"/>
          <w:szCs w:val="13"/>
          <w:color w:val="auto"/>
        </w:rPr>
      </w:pPr>
      <w:r>
        <w:rPr>
          <w:rFonts w:ascii="Arial" w:cs="Arial" w:eastAsia="Arial" w:hAnsi="Arial"/>
          <w:sz w:val="13"/>
          <w:szCs w:val="13"/>
          <w:b w:val="1"/>
          <w:bCs w:val="1"/>
          <w:color w:val="auto"/>
        </w:rPr>
        <w:t>TRANSITION REPORT PURSUANT TO SECTION 13 OR 15(d) OF THE SECURITIES EXCHANGE ACT OF 1934</w:t>
      </w:r>
    </w:p>
    <w:p>
      <w:pPr>
        <w:spacing w:after="0" w:line="2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15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960" w:type="dxa"/>
            <w:vAlign w:val="bottom"/>
          </w:tcPr>
          <w:p>
            <w:pPr>
              <w:ind w:left="280"/>
              <w:spacing w:after="0"/>
              <w:rPr>
                <w:sz w:val="20"/>
                <w:szCs w:val="20"/>
                <w:color w:val="auto"/>
              </w:rPr>
            </w:pPr>
            <w:r>
              <w:rPr>
                <w:rFonts w:ascii="Arial" w:cs="Arial" w:eastAsia="Arial" w:hAnsi="Arial"/>
                <w:sz w:val="13"/>
                <w:szCs w:val="13"/>
                <w:b w:val="1"/>
                <w:bCs w:val="1"/>
                <w:color w:val="auto"/>
                <w:w w:val="90"/>
              </w:rPr>
              <w:t>For the transition period from</w:t>
            </w:r>
          </w:p>
        </w:tc>
        <w:tc>
          <w:tcPr>
            <w:tcW w:w="500" w:type="dxa"/>
            <w:vAlign w:val="bottom"/>
            <w:tcBorders>
              <w:bottom w:val="single" w:sz="8" w:color="auto"/>
            </w:tcBorders>
            <w:gridSpan w:val="2"/>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60" w:type="dxa"/>
            <w:vAlign w:val="bottom"/>
            <w:gridSpan w:val="2"/>
          </w:tcPr>
          <w:p>
            <w:pPr>
              <w:jc w:val="center"/>
              <w:spacing w:after="0"/>
              <w:rPr>
                <w:sz w:val="20"/>
                <w:szCs w:val="20"/>
                <w:color w:val="auto"/>
              </w:rPr>
            </w:pPr>
            <w:r>
              <w:rPr>
                <w:rFonts w:ascii="Arial" w:cs="Arial" w:eastAsia="Arial" w:hAnsi="Arial"/>
                <w:sz w:val="13"/>
                <w:szCs w:val="13"/>
                <w:b w:val="1"/>
                <w:bCs w:val="1"/>
                <w:color w:val="auto"/>
                <w:w w:val="97"/>
              </w:rPr>
              <w:t>to</w:t>
            </w:r>
          </w:p>
        </w:tc>
        <w:tc>
          <w:tcPr>
            <w:tcW w:w="640" w:type="dxa"/>
            <w:vAlign w:val="bottom"/>
            <w:tcBorders>
              <w:bottom w:val="single" w:sz="8" w:color="auto"/>
            </w:tcBorders>
          </w:tcPr>
          <w:p>
            <w:pPr>
              <w:spacing w:after="0"/>
              <w:rPr>
                <w:sz w:val="13"/>
                <w:szCs w:val="13"/>
                <w:color w:val="auto"/>
              </w:rPr>
            </w:pPr>
          </w:p>
        </w:tc>
        <w:tc>
          <w:tcPr>
            <w:tcW w:w="312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5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520" w:type="dxa"/>
            <w:vAlign w:val="bottom"/>
            <w:gridSpan w:val="11"/>
          </w:tcPr>
          <w:p>
            <w:pPr>
              <w:jc w:val="center"/>
              <w:ind w:right="2840"/>
              <w:spacing w:after="0"/>
              <w:rPr>
                <w:sz w:val="20"/>
                <w:szCs w:val="20"/>
                <w:color w:val="auto"/>
              </w:rPr>
            </w:pPr>
            <w:r>
              <w:rPr>
                <w:rFonts w:ascii="Arial" w:cs="Arial" w:eastAsia="Arial" w:hAnsi="Arial"/>
                <w:sz w:val="13"/>
                <w:szCs w:val="13"/>
                <w:color w:val="auto"/>
                <w:w w:val="89"/>
              </w:rPr>
              <w:t>Commission File number 1-9273</w:t>
            </w: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360" w:type="dxa"/>
            <w:vAlign w:val="bottom"/>
            <w:gridSpan w:val="3"/>
            <w:shd w:val="clear" w:color="auto" w:fill="000000"/>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1"/>
        </w:trPr>
        <w:tc>
          <w:tcPr>
            <w:tcW w:w="1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520" w:type="dxa"/>
            <w:vAlign w:val="bottom"/>
            <w:gridSpan w:val="11"/>
          </w:tcPr>
          <w:p>
            <w:pPr>
              <w:jc w:val="center"/>
              <w:ind w:right="2820"/>
              <w:spacing w:after="0"/>
              <w:rPr>
                <w:sz w:val="20"/>
                <w:szCs w:val="20"/>
                <w:color w:val="auto"/>
              </w:rPr>
            </w:pPr>
            <w:r>
              <w:rPr>
                <w:rFonts w:ascii="Arial" w:cs="Arial" w:eastAsia="Arial" w:hAnsi="Arial"/>
                <w:sz w:val="13"/>
                <w:szCs w:val="13"/>
                <w:b w:val="1"/>
                <w:bCs w:val="1"/>
                <w:color w:val="auto"/>
                <w:w w:val="99"/>
              </w:rPr>
              <w:t>PILGRIM’S PRIDE CORPORATION</w:t>
            </w:r>
          </w:p>
        </w:tc>
        <w:tc>
          <w:tcPr>
            <w:tcW w:w="0" w:type="dxa"/>
            <w:vAlign w:val="bottom"/>
          </w:tcPr>
          <w:p>
            <w:pPr>
              <w:spacing w:after="0"/>
              <w:rPr>
                <w:sz w:val="1"/>
                <w:szCs w:val="1"/>
                <w:color w:val="auto"/>
              </w:rPr>
            </w:pPr>
          </w:p>
        </w:tc>
      </w:tr>
      <w:tr>
        <w:trPr>
          <w:trHeight w:val="161"/>
        </w:trPr>
        <w:tc>
          <w:tcPr>
            <w:tcW w:w="1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520" w:type="dxa"/>
            <w:vAlign w:val="bottom"/>
            <w:gridSpan w:val="11"/>
          </w:tcPr>
          <w:p>
            <w:pPr>
              <w:jc w:val="center"/>
              <w:ind w:right="2840"/>
              <w:spacing w:after="0"/>
              <w:rPr>
                <w:sz w:val="20"/>
                <w:szCs w:val="20"/>
                <w:color w:val="auto"/>
              </w:rPr>
            </w:pPr>
            <w:r>
              <w:rPr>
                <w:rFonts w:ascii="Arial" w:cs="Arial" w:eastAsia="Arial" w:hAnsi="Arial"/>
                <w:sz w:val="13"/>
                <w:szCs w:val="13"/>
                <w:color w:val="auto"/>
                <w:w w:val="89"/>
              </w:rPr>
              <w:t>(Exact name of registrant as specified in its charter)</w:t>
            </w:r>
          </w:p>
        </w:tc>
        <w:tc>
          <w:tcPr>
            <w:tcW w:w="0" w:type="dxa"/>
            <w:vAlign w:val="bottom"/>
          </w:tcPr>
          <w:p>
            <w:pPr>
              <w:spacing w:after="0"/>
              <w:rPr>
                <w:sz w:val="1"/>
                <w:szCs w:val="1"/>
                <w:color w:val="auto"/>
              </w:rPr>
            </w:pPr>
          </w:p>
        </w:tc>
      </w:tr>
      <w:tr>
        <w:trPr>
          <w:trHeight w:val="227"/>
        </w:trPr>
        <w:tc>
          <w:tcPr>
            <w:tcW w:w="15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gridSpan w:val="4"/>
          </w:tcPr>
          <w:p>
            <w:pPr>
              <w:jc w:val="center"/>
              <w:spacing w:after="0"/>
              <w:rPr>
                <w:sz w:val="20"/>
                <w:szCs w:val="20"/>
                <w:color w:val="auto"/>
              </w:rPr>
            </w:pPr>
            <w:r>
              <w:rPr>
                <w:rFonts w:ascii="Arial" w:cs="Arial" w:eastAsia="Arial" w:hAnsi="Arial"/>
                <w:sz w:val="13"/>
                <w:szCs w:val="13"/>
                <w:color w:val="auto"/>
                <w:w w:val="90"/>
              </w:rPr>
              <w:t>Delaware</w:t>
            </w:r>
          </w:p>
        </w:tc>
        <w:tc>
          <w:tcPr>
            <w:tcW w:w="2840" w:type="dxa"/>
            <w:vAlign w:val="bottom"/>
            <w:gridSpan w:val="5"/>
          </w:tcPr>
          <w:p>
            <w:pPr>
              <w:spacing w:after="0"/>
              <w:rPr>
                <w:sz w:val="19"/>
                <w:szCs w:val="19"/>
                <w:color w:val="auto"/>
              </w:rPr>
            </w:pPr>
          </w:p>
        </w:tc>
        <w:tc>
          <w:tcPr>
            <w:tcW w:w="4060" w:type="dxa"/>
            <w:vAlign w:val="bottom"/>
            <w:gridSpan w:val="8"/>
          </w:tcPr>
          <w:p>
            <w:pPr>
              <w:jc w:val="center"/>
              <w:ind w:left="496"/>
              <w:spacing w:after="0"/>
              <w:rPr>
                <w:sz w:val="20"/>
                <w:szCs w:val="20"/>
                <w:color w:val="auto"/>
              </w:rPr>
            </w:pPr>
            <w:r>
              <w:rPr>
                <w:rFonts w:ascii="Arial" w:cs="Arial" w:eastAsia="Arial" w:hAnsi="Arial"/>
                <w:sz w:val="13"/>
                <w:szCs w:val="13"/>
                <w:color w:val="auto"/>
                <w:w w:val="89"/>
              </w:rPr>
              <w:t>75-1285071</w:t>
            </w: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righ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560" w:type="dxa"/>
            <w:vAlign w:val="bottom"/>
          </w:tcPr>
          <w:p>
            <w:pPr>
              <w:spacing w:after="0"/>
              <w:rPr>
                <w:sz w:val="15"/>
                <w:szCs w:val="15"/>
                <w:color w:val="auto"/>
              </w:rPr>
            </w:pPr>
          </w:p>
        </w:tc>
        <w:tc>
          <w:tcPr>
            <w:tcW w:w="4700" w:type="dxa"/>
            <w:vAlign w:val="bottom"/>
            <w:gridSpan w:val="13"/>
          </w:tcPr>
          <w:p>
            <w:pPr>
              <w:jc w:val="center"/>
              <w:ind w:right="1500"/>
              <w:spacing w:after="0"/>
              <w:rPr>
                <w:sz w:val="20"/>
                <w:szCs w:val="20"/>
                <w:color w:val="auto"/>
              </w:rPr>
            </w:pPr>
            <w:r>
              <w:rPr>
                <w:rFonts w:ascii="Arial" w:cs="Arial" w:eastAsia="Arial" w:hAnsi="Arial"/>
                <w:sz w:val="13"/>
                <w:szCs w:val="13"/>
                <w:color w:val="auto"/>
                <w:w w:val="90"/>
              </w:rPr>
              <w:t>(State or other jurisdiction of incorporation or organization)</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40" w:type="dxa"/>
            <w:vAlign w:val="bottom"/>
            <w:gridSpan w:val="3"/>
          </w:tcPr>
          <w:p>
            <w:pPr>
              <w:jc w:val="center"/>
              <w:ind w:right="660"/>
              <w:spacing w:after="0"/>
              <w:rPr>
                <w:sz w:val="20"/>
                <w:szCs w:val="20"/>
                <w:color w:val="auto"/>
              </w:rPr>
            </w:pPr>
            <w:r>
              <w:rPr>
                <w:rFonts w:ascii="Arial" w:cs="Arial" w:eastAsia="Arial" w:hAnsi="Arial"/>
                <w:sz w:val="13"/>
                <w:szCs w:val="13"/>
                <w:color w:val="auto"/>
                <w:w w:val="92"/>
              </w:rPr>
              <w:t>(I.R.S. Employer Identification No.)</w:t>
            </w:r>
          </w:p>
        </w:tc>
        <w:tc>
          <w:tcPr>
            <w:tcW w:w="0" w:type="dxa"/>
            <w:vAlign w:val="bottom"/>
          </w:tcPr>
          <w:p>
            <w:pPr>
              <w:spacing w:after="0"/>
              <w:rPr>
                <w:sz w:val="1"/>
                <w:szCs w:val="1"/>
                <w:color w:val="auto"/>
              </w:rPr>
            </w:pPr>
          </w:p>
        </w:tc>
      </w:tr>
      <w:tr>
        <w:trPr>
          <w:trHeight w:val="227"/>
        </w:trPr>
        <w:tc>
          <w:tcPr>
            <w:tcW w:w="15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720" w:type="dxa"/>
            <w:vAlign w:val="bottom"/>
            <w:gridSpan w:val="11"/>
          </w:tcPr>
          <w:p>
            <w:pPr>
              <w:jc w:val="center"/>
              <w:ind w:right="2480"/>
              <w:spacing w:after="0"/>
              <w:rPr>
                <w:sz w:val="20"/>
                <w:szCs w:val="20"/>
                <w:color w:val="auto"/>
              </w:rPr>
            </w:pPr>
            <w:r>
              <w:rPr>
                <w:rFonts w:ascii="Arial" w:cs="Arial" w:eastAsia="Arial" w:hAnsi="Arial"/>
                <w:sz w:val="13"/>
                <w:szCs w:val="13"/>
                <w:color w:val="auto"/>
                <w:w w:val="90"/>
              </w:rPr>
              <w:t>1770 Promontory Circle</w:t>
            </w:r>
          </w:p>
        </w:tc>
        <w:tc>
          <w:tcPr>
            <w:tcW w:w="4060" w:type="dxa"/>
            <w:vAlign w:val="bottom"/>
            <w:gridSpan w:val="8"/>
          </w:tcPr>
          <w:p>
            <w:pPr>
              <w:jc w:val="center"/>
              <w:ind w:left="496"/>
              <w:spacing w:after="0"/>
              <w:rPr>
                <w:sz w:val="20"/>
                <w:szCs w:val="20"/>
                <w:color w:val="auto"/>
              </w:rPr>
            </w:pPr>
            <w:r>
              <w:rPr>
                <w:rFonts w:ascii="Arial" w:cs="Arial" w:eastAsia="Arial" w:hAnsi="Arial"/>
                <w:sz w:val="13"/>
                <w:szCs w:val="13"/>
                <w:color w:val="auto"/>
                <w:w w:val="89"/>
              </w:rPr>
              <w:t>80634-9038</w:t>
            </w:r>
          </w:p>
        </w:tc>
        <w:tc>
          <w:tcPr>
            <w:tcW w:w="0" w:type="dxa"/>
            <w:vAlign w:val="bottom"/>
          </w:tcPr>
          <w:p>
            <w:pPr>
              <w:spacing w:after="0"/>
              <w:rPr>
                <w:sz w:val="1"/>
                <w:szCs w:val="1"/>
                <w:color w:val="auto"/>
              </w:rPr>
            </w:pPr>
          </w:p>
        </w:tc>
      </w:tr>
      <w:tr>
        <w:trPr>
          <w:trHeight w:val="150"/>
        </w:trPr>
        <w:tc>
          <w:tcPr>
            <w:tcW w:w="15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gridSpan w:val="6"/>
          </w:tcPr>
          <w:p>
            <w:pPr>
              <w:spacing w:after="0"/>
              <w:rPr>
                <w:sz w:val="20"/>
                <w:szCs w:val="20"/>
                <w:color w:val="auto"/>
              </w:rPr>
            </w:pPr>
            <w:r>
              <w:rPr>
                <w:rFonts w:ascii="Arial" w:cs="Arial" w:eastAsia="Arial" w:hAnsi="Arial"/>
                <w:sz w:val="13"/>
                <w:szCs w:val="13"/>
                <w:color w:val="auto"/>
              </w:rPr>
              <w:t>Greeley CO</w:t>
            </w:r>
          </w:p>
        </w:tc>
        <w:tc>
          <w:tcPr>
            <w:tcW w:w="2480" w:type="dxa"/>
            <w:vAlign w:val="bottom"/>
            <w:gridSpan w:val="4"/>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560" w:type="dxa"/>
            <w:vAlign w:val="bottom"/>
          </w:tcPr>
          <w:p>
            <w:pPr>
              <w:spacing w:after="0"/>
              <w:rPr>
                <w:sz w:val="15"/>
                <w:szCs w:val="15"/>
                <w:color w:val="auto"/>
              </w:rPr>
            </w:pPr>
          </w:p>
        </w:tc>
        <w:tc>
          <w:tcPr>
            <w:tcW w:w="4700" w:type="dxa"/>
            <w:vAlign w:val="bottom"/>
            <w:gridSpan w:val="13"/>
          </w:tcPr>
          <w:p>
            <w:pPr>
              <w:jc w:val="center"/>
              <w:ind w:right="1500"/>
              <w:spacing w:after="0"/>
              <w:rPr>
                <w:sz w:val="20"/>
                <w:szCs w:val="20"/>
                <w:color w:val="auto"/>
              </w:rPr>
            </w:pPr>
            <w:r>
              <w:rPr>
                <w:rFonts w:ascii="Arial" w:cs="Arial" w:eastAsia="Arial" w:hAnsi="Arial"/>
                <w:sz w:val="11"/>
                <w:szCs w:val="11"/>
                <w:color w:val="auto"/>
                <w:w w:val="95"/>
              </w:rPr>
              <w:t>(Address of principal executive offices)</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0" w:type="dxa"/>
            <w:vAlign w:val="bottom"/>
            <w:gridSpan w:val="2"/>
          </w:tcPr>
          <w:p>
            <w:pPr>
              <w:jc w:val="center"/>
              <w:ind w:right="1480"/>
              <w:spacing w:after="0"/>
              <w:rPr>
                <w:sz w:val="20"/>
                <w:szCs w:val="20"/>
                <w:color w:val="auto"/>
              </w:rPr>
            </w:pPr>
            <w:r>
              <w:rPr>
                <w:rFonts w:ascii="Arial" w:cs="Arial" w:eastAsia="Arial" w:hAnsi="Arial"/>
                <w:sz w:val="13"/>
                <w:szCs w:val="13"/>
                <w:color w:val="auto"/>
                <w:w w:val="88"/>
              </w:rPr>
              <w:t>(Zip code)</w:t>
            </w:r>
          </w:p>
        </w:tc>
        <w:tc>
          <w:tcPr>
            <w:tcW w:w="0" w:type="dxa"/>
            <w:vAlign w:val="bottom"/>
          </w:tcPr>
          <w:p>
            <w:pPr>
              <w:spacing w:after="0"/>
              <w:rPr>
                <w:sz w:val="1"/>
                <w:szCs w:val="1"/>
                <w:color w:val="auto"/>
              </w:rPr>
            </w:pPr>
          </w:p>
        </w:tc>
      </w:tr>
      <w:tr>
        <w:trPr>
          <w:trHeight w:val="221"/>
        </w:trPr>
        <w:tc>
          <w:tcPr>
            <w:tcW w:w="15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520" w:type="dxa"/>
            <w:vAlign w:val="bottom"/>
            <w:gridSpan w:val="11"/>
          </w:tcPr>
          <w:p>
            <w:pPr>
              <w:jc w:val="center"/>
              <w:ind w:right="2840"/>
              <w:spacing w:after="0"/>
              <w:rPr>
                <w:sz w:val="20"/>
                <w:szCs w:val="20"/>
                <w:color w:val="auto"/>
              </w:rPr>
            </w:pPr>
            <w:r>
              <w:rPr>
                <w:rFonts w:ascii="Arial" w:cs="Arial" w:eastAsia="Arial" w:hAnsi="Arial"/>
                <w:sz w:val="13"/>
                <w:szCs w:val="13"/>
                <w:color w:val="auto"/>
                <w:w w:val="88"/>
              </w:rPr>
              <w:t xml:space="preserve">Registrant’s telephone number, including area code: </w:t>
            </w:r>
            <w:r>
              <w:rPr>
                <w:rFonts w:ascii="Arial" w:cs="Arial" w:eastAsia="Arial" w:hAnsi="Arial"/>
                <w:sz w:val="13"/>
                <w:szCs w:val="13"/>
                <w:b w:val="1"/>
                <w:bCs w:val="1"/>
                <w:color w:val="auto"/>
                <w:w w:val="88"/>
              </w:rPr>
              <w:t>(970) 506-8000</w:t>
            </w:r>
          </w:p>
        </w:tc>
        <w:tc>
          <w:tcPr>
            <w:tcW w:w="0" w:type="dxa"/>
            <w:vAlign w:val="bottom"/>
          </w:tcPr>
          <w:p>
            <w:pPr>
              <w:spacing w:after="0"/>
              <w:rPr>
                <w:sz w:val="1"/>
                <w:szCs w:val="1"/>
                <w:color w:val="auto"/>
              </w:rPr>
            </w:pPr>
          </w:p>
        </w:tc>
      </w:tr>
      <w:tr>
        <w:trPr>
          <w:trHeight w:val="161"/>
        </w:trPr>
        <w:tc>
          <w:tcPr>
            <w:tcW w:w="1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520" w:type="dxa"/>
            <w:vAlign w:val="bottom"/>
            <w:gridSpan w:val="11"/>
          </w:tcPr>
          <w:p>
            <w:pPr>
              <w:jc w:val="center"/>
              <w:ind w:right="2820"/>
              <w:spacing w:after="0"/>
              <w:rPr>
                <w:sz w:val="20"/>
                <w:szCs w:val="20"/>
                <w:color w:val="auto"/>
              </w:rPr>
            </w:pPr>
            <w:r>
              <w:rPr>
                <w:rFonts w:ascii="Arial" w:cs="Arial" w:eastAsia="Arial" w:hAnsi="Arial"/>
                <w:sz w:val="13"/>
                <w:szCs w:val="13"/>
                <w:color w:val="auto"/>
                <w:w w:val="89"/>
              </w:rPr>
              <w:t>Securities registered pursuant to Section 12(b) of the Act:</w:t>
            </w:r>
          </w:p>
        </w:tc>
        <w:tc>
          <w:tcPr>
            <w:tcW w:w="0" w:type="dxa"/>
            <w:vAlign w:val="bottom"/>
          </w:tcPr>
          <w:p>
            <w:pPr>
              <w:spacing w:after="0"/>
              <w:rPr>
                <w:sz w:val="1"/>
                <w:szCs w:val="1"/>
                <w:color w:val="auto"/>
              </w:rPr>
            </w:pPr>
          </w:p>
        </w:tc>
      </w:tr>
      <w:tr>
        <w:trPr>
          <w:trHeight w:val="195"/>
        </w:trPr>
        <w:tc>
          <w:tcPr>
            <w:tcW w:w="1560" w:type="dxa"/>
            <w:vAlign w:val="bottom"/>
          </w:tcPr>
          <w:p>
            <w:pPr>
              <w:spacing w:after="0"/>
              <w:rPr>
                <w:sz w:val="16"/>
                <w:szCs w:val="16"/>
                <w:color w:val="auto"/>
              </w:rPr>
            </w:pPr>
          </w:p>
        </w:tc>
        <w:tc>
          <w:tcPr>
            <w:tcW w:w="820" w:type="dxa"/>
            <w:vAlign w:val="bottom"/>
          </w:tcPr>
          <w:p>
            <w:pPr>
              <w:spacing w:after="0"/>
              <w:rPr>
                <w:sz w:val="20"/>
                <w:szCs w:val="20"/>
                <w:color w:val="auto"/>
              </w:rPr>
            </w:pPr>
            <w:r>
              <w:rPr>
                <w:rFonts w:ascii="Arial" w:cs="Arial" w:eastAsia="Arial" w:hAnsi="Arial"/>
                <w:sz w:val="11"/>
                <w:szCs w:val="11"/>
                <w:color w:val="auto"/>
                <w:w w:val="90"/>
              </w:rPr>
              <w:t>Title of each class</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60" w:type="dxa"/>
            <w:vAlign w:val="bottom"/>
            <w:gridSpan w:val="3"/>
          </w:tcPr>
          <w:p>
            <w:pPr>
              <w:jc w:val="center"/>
              <w:ind w:left="1138"/>
              <w:spacing w:after="0"/>
              <w:rPr>
                <w:sz w:val="20"/>
                <w:szCs w:val="20"/>
                <w:color w:val="auto"/>
              </w:rPr>
            </w:pPr>
            <w:r>
              <w:rPr>
                <w:rFonts w:ascii="Arial" w:cs="Arial" w:eastAsia="Arial" w:hAnsi="Arial"/>
                <w:sz w:val="11"/>
                <w:szCs w:val="11"/>
                <w:color w:val="auto"/>
                <w:w w:val="96"/>
              </w:rPr>
              <w:t>Trading Symbol</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0" w:type="dxa"/>
            <w:vAlign w:val="bottom"/>
            <w:gridSpan w:val="2"/>
          </w:tcPr>
          <w:p>
            <w:pPr>
              <w:jc w:val="center"/>
              <w:spacing w:after="0"/>
              <w:rPr>
                <w:sz w:val="20"/>
                <w:szCs w:val="20"/>
                <w:color w:val="auto"/>
              </w:rPr>
            </w:pPr>
            <w:r>
              <w:rPr>
                <w:rFonts w:ascii="Arial" w:cs="Arial" w:eastAsia="Arial" w:hAnsi="Arial"/>
                <w:sz w:val="11"/>
                <w:szCs w:val="11"/>
                <w:color w:val="auto"/>
                <w:w w:val="91"/>
              </w:rPr>
              <w:t>Name of each exchange on which registered</w:t>
            </w: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540" w:type="dxa"/>
            <w:vAlign w:val="bottom"/>
            <w:gridSpan w:val="3"/>
            <w:vMerge w:val="restart"/>
          </w:tcPr>
          <w:p>
            <w:pPr>
              <w:ind w:left="300"/>
              <w:spacing w:after="0"/>
              <w:rPr>
                <w:sz w:val="20"/>
                <w:szCs w:val="20"/>
                <w:color w:val="auto"/>
              </w:rPr>
            </w:pPr>
            <w:r>
              <w:rPr>
                <w:rFonts w:ascii="Arial" w:cs="Arial" w:eastAsia="Arial" w:hAnsi="Arial"/>
                <w:sz w:val="11"/>
                <w:szCs w:val="11"/>
                <w:color w:val="auto"/>
              </w:rPr>
              <w:t>Common Stock, par value $0.01 per share</w:t>
            </w: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0" w:type="dxa"/>
            <w:vAlign w:val="bottom"/>
            <w:gridSpan w:val="2"/>
            <w:vMerge w:val="restart"/>
          </w:tcPr>
          <w:p>
            <w:pPr>
              <w:jc w:val="center"/>
              <w:ind w:right="20"/>
              <w:spacing w:after="0"/>
              <w:rPr>
                <w:sz w:val="20"/>
                <w:szCs w:val="20"/>
                <w:color w:val="auto"/>
              </w:rPr>
            </w:pPr>
            <w:r>
              <w:rPr>
                <w:rFonts w:ascii="Arial" w:cs="Arial" w:eastAsia="Arial" w:hAnsi="Arial"/>
                <w:sz w:val="11"/>
                <w:szCs w:val="11"/>
                <w:color w:val="auto"/>
                <w:w w:val="94"/>
              </w:rPr>
              <w:t>The Nasdaq Stock Market LLC</w:t>
            </w:r>
          </w:p>
        </w:tc>
        <w:tc>
          <w:tcPr>
            <w:tcW w:w="0" w:type="dxa"/>
            <w:vAlign w:val="bottom"/>
          </w:tcPr>
          <w:p>
            <w:pPr>
              <w:spacing w:after="0" w:line="20" w:lineRule="exact"/>
              <w:rPr>
                <w:sz w:val="1"/>
                <w:szCs w:val="1"/>
                <w:color w:val="auto"/>
              </w:rPr>
            </w:pPr>
          </w:p>
        </w:tc>
      </w:tr>
      <w:tr>
        <w:trPr>
          <w:trHeight w:val="127"/>
        </w:trPr>
        <w:tc>
          <w:tcPr>
            <w:tcW w:w="2540" w:type="dxa"/>
            <w:vAlign w:val="bottom"/>
            <w:gridSpan w:val="3"/>
            <w:vMerge w:val="continue"/>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60" w:type="dxa"/>
            <w:vAlign w:val="bottom"/>
            <w:gridSpan w:val="3"/>
          </w:tcPr>
          <w:p>
            <w:pPr>
              <w:jc w:val="center"/>
              <w:ind w:left="1158"/>
              <w:spacing w:after="0"/>
              <w:rPr>
                <w:sz w:val="20"/>
                <w:szCs w:val="20"/>
                <w:color w:val="auto"/>
              </w:rPr>
            </w:pPr>
            <w:r>
              <w:rPr>
                <w:rFonts w:ascii="Arial" w:cs="Arial" w:eastAsia="Arial" w:hAnsi="Arial"/>
                <w:sz w:val="11"/>
                <w:szCs w:val="11"/>
                <w:color w:val="auto"/>
                <w:w w:val="88"/>
              </w:rPr>
              <w:t>PPC</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33"/>
        </w:trPr>
        <w:tc>
          <w:tcPr>
            <w:tcW w:w="15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520" w:type="dxa"/>
            <w:vAlign w:val="bottom"/>
            <w:gridSpan w:val="11"/>
          </w:tcPr>
          <w:p>
            <w:pPr>
              <w:jc w:val="center"/>
              <w:ind w:right="2840"/>
              <w:spacing w:after="0"/>
              <w:rPr>
                <w:sz w:val="20"/>
                <w:szCs w:val="20"/>
                <w:color w:val="auto"/>
              </w:rPr>
            </w:pPr>
            <w:r>
              <w:rPr>
                <w:rFonts w:ascii="Arial" w:cs="Arial" w:eastAsia="Arial" w:hAnsi="Arial"/>
                <w:sz w:val="13"/>
                <w:szCs w:val="13"/>
                <w:color w:val="auto"/>
                <w:w w:val="88"/>
              </w:rPr>
              <w:t>Securities registered pursuant to Section 12(g) of the Act: None</w:t>
            </w:r>
          </w:p>
        </w:tc>
        <w:tc>
          <w:tcPr>
            <w:tcW w:w="0" w:type="dxa"/>
            <w:vAlign w:val="bottom"/>
          </w:tcPr>
          <w:p>
            <w:pPr>
              <w:spacing w:after="0"/>
              <w:rPr>
                <w:sz w:val="1"/>
                <w:szCs w:val="1"/>
                <w:color w:val="auto"/>
              </w:rPr>
            </w:pPr>
          </w:p>
        </w:tc>
      </w:tr>
      <w:tr>
        <w:trPr>
          <w:trHeight w:val="195"/>
        </w:trPr>
        <w:tc>
          <w:tcPr>
            <w:tcW w:w="6260" w:type="dxa"/>
            <w:vAlign w:val="bottom"/>
            <w:gridSpan w:val="14"/>
          </w:tcPr>
          <w:p>
            <w:pPr>
              <w:spacing w:after="0"/>
              <w:rPr>
                <w:sz w:val="20"/>
                <w:szCs w:val="20"/>
                <w:color w:val="auto"/>
              </w:rPr>
            </w:pPr>
            <w:r>
              <w:rPr>
                <w:rFonts w:ascii="Arial" w:cs="Arial" w:eastAsia="Arial" w:hAnsi="Arial"/>
                <w:sz w:val="13"/>
                <w:szCs w:val="13"/>
                <w:color w:val="auto"/>
                <w:w w:val="89"/>
              </w:rPr>
              <w:t>Indicate by check mark if the registrant is a well-known seasoned issuer, as defined in Rule 405 of the Securities Act. Yes</w:t>
            </w:r>
          </w:p>
        </w:tc>
        <w:tc>
          <w:tcPr>
            <w:tcW w:w="4060" w:type="dxa"/>
            <w:vAlign w:val="bottom"/>
            <w:gridSpan w:val="8"/>
          </w:tcPr>
          <w:p>
            <w:pPr>
              <w:jc w:val="center"/>
              <w:ind w:right="3620"/>
              <w:spacing w:after="0"/>
              <w:rPr>
                <w:sz w:val="20"/>
                <w:szCs w:val="20"/>
                <w:color w:val="auto"/>
              </w:rPr>
            </w:pPr>
            <w:r>
              <w:rPr>
                <w:rFonts w:ascii="Arial" w:cs="Arial" w:eastAsia="Arial" w:hAnsi="Arial"/>
                <w:sz w:val="13"/>
                <w:szCs w:val="13"/>
                <w:color w:val="auto"/>
              </w:rPr>
              <w:t xml:space="preserve">x No </w:t>
            </w:r>
            <w:r>
              <w:rPr>
                <w:rFonts w:ascii="Arial" w:cs="Arial" w:eastAsia="Arial" w:hAnsi="Arial"/>
                <w:sz w:val="14"/>
                <w:szCs w:val="14"/>
                <w:color w:val="auto"/>
              </w:rPr>
              <w:t>o</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3270885</wp:posOffset>
            </wp:positionH>
            <wp:positionV relativeFrom="paragraph">
              <wp:posOffset>-2013585</wp:posOffset>
            </wp:positionV>
            <wp:extent cx="626745" cy="377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6745" cy="377190"/>
                    </a:xfrm>
                    <a:prstGeom prst="rect">
                      <a:avLst/>
                    </a:prstGeom>
                    <a:noFill/>
                  </pic:spPr>
                </pic:pic>
              </a:graphicData>
            </a:graphic>
          </wp:anchor>
        </w:drawing>
      </w:r>
    </w:p>
    <w:p>
      <w:pPr>
        <w:spacing w:after="0" w:line="22"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Indicate by check mark if the registrant is not required to file reports pursuant to Section 13 or Section 15(d) of the Exchange Act. Yes </w:t>
      </w:r>
      <w:r>
        <w:rPr>
          <w:rFonts w:ascii="Arial" w:cs="Arial" w:eastAsia="Arial" w:hAnsi="Arial"/>
          <w:sz w:val="14"/>
          <w:szCs w:val="14"/>
          <w:color w:val="auto"/>
        </w:rPr>
        <w:t>o</w:t>
      </w:r>
      <w:r>
        <w:rPr>
          <w:rFonts w:ascii="Arial" w:cs="Arial" w:eastAsia="Arial" w:hAnsi="Arial"/>
          <w:sz w:val="13"/>
          <w:szCs w:val="13"/>
          <w:color w:val="auto"/>
        </w:rPr>
        <w:t xml:space="preserve"> No x</w:t>
      </w:r>
    </w:p>
    <w:p>
      <w:pPr>
        <w:spacing w:after="0" w:line="45" w:lineRule="exact"/>
        <w:rPr>
          <w:sz w:val="24"/>
          <w:szCs w:val="24"/>
          <w:color w:val="auto"/>
        </w:rPr>
      </w:pPr>
    </w:p>
    <w:p>
      <w:pPr>
        <w:spacing w:after="0" w:line="261" w:lineRule="auto"/>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Arial" w:cs="Arial" w:eastAsia="Arial" w:hAnsi="Arial"/>
          <w:sz w:val="14"/>
          <w:szCs w:val="14"/>
          <w:color w:val="auto"/>
        </w:rPr>
        <w:t>o</w:t>
      </w:r>
    </w:p>
    <w:p>
      <w:pPr>
        <w:spacing w:after="0" w:line="23" w:lineRule="exact"/>
        <w:rPr>
          <w:sz w:val="24"/>
          <w:szCs w:val="24"/>
          <w:color w:val="auto"/>
        </w:rPr>
      </w:pPr>
    </w:p>
    <w:p>
      <w:pPr>
        <w:spacing w:after="0" w:line="261" w:lineRule="auto"/>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w:t>
      </w:r>
      <w:r>
        <w:rPr>
          <w:rFonts w:ascii="Arial" w:cs="Arial" w:eastAsia="Arial" w:hAnsi="Arial"/>
          <w:sz w:val="14"/>
          <w:szCs w:val="14"/>
          <w:color w:val="auto"/>
        </w:rPr>
        <w:t>o</w:t>
      </w:r>
    </w:p>
    <w:p>
      <w:pPr>
        <w:spacing w:after="0" w:line="23" w:lineRule="exact"/>
        <w:rPr>
          <w:sz w:val="24"/>
          <w:szCs w:val="24"/>
          <w:color w:val="auto"/>
        </w:rPr>
      </w:pPr>
    </w:p>
    <w:p>
      <w:pPr>
        <w:ind w:right="60"/>
        <w:spacing w:after="0" w:line="257"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4" w:lineRule="exact"/>
        <w:rPr>
          <w:sz w:val="24"/>
          <w:szCs w:val="24"/>
          <w:color w:val="auto"/>
        </w:rPr>
      </w:pPr>
    </w:p>
    <w:tbl>
      <w:tblPr>
        <w:tblLayout w:type="fixed"/>
        <w:tblInd w:w="2460" w:type="dxa"/>
        <w:tblCellMar>
          <w:top w:w="0" w:type="dxa"/>
          <w:left w:w="0" w:type="dxa"/>
          <w:bottom w:w="0" w:type="dxa"/>
          <w:right w:w="0" w:type="dxa"/>
        </w:tblCellMar>
      </w:tblPr>
      <w:tr>
        <w:trPr>
          <w:trHeight w:val="128"/>
        </w:trPr>
        <w:tc>
          <w:tcPr>
            <w:tcW w:w="1280" w:type="dxa"/>
            <w:vAlign w:val="bottom"/>
          </w:tcPr>
          <w:p>
            <w:pPr>
              <w:spacing w:after="0"/>
              <w:rPr>
                <w:sz w:val="20"/>
                <w:szCs w:val="20"/>
                <w:color w:val="auto"/>
              </w:rPr>
            </w:pPr>
            <w:r>
              <w:rPr>
                <w:rFonts w:ascii="Arial" w:cs="Arial" w:eastAsia="Arial" w:hAnsi="Arial"/>
                <w:sz w:val="11"/>
                <w:szCs w:val="11"/>
                <w:color w:val="auto"/>
              </w:rPr>
              <w:t>Large Accelerated Filer</w:t>
            </w:r>
          </w:p>
        </w:tc>
        <w:tc>
          <w:tcPr>
            <w:tcW w:w="1640" w:type="dxa"/>
            <w:vAlign w:val="bottom"/>
          </w:tcPr>
          <w:p>
            <w:pPr>
              <w:ind w:left="180"/>
              <w:spacing w:after="0"/>
              <w:rPr>
                <w:sz w:val="20"/>
                <w:szCs w:val="20"/>
                <w:color w:val="auto"/>
              </w:rPr>
            </w:pPr>
            <w:r>
              <w:rPr>
                <w:rFonts w:ascii="Arial" w:cs="Arial" w:eastAsia="Arial" w:hAnsi="Arial"/>
                <w:sz w:val="11"/>
                <w:szCs w:val="11"/>
                <w:color w:val="auto"/>
              </w:rPr>
              <w:t>x</w:t>
            </w:r>
          </w:p>
        </w:tc>
        <w:tc>
          <w:tcPr>
            <w:tcW w:w="2920" w:type="dxa"/>
            <w:vAlign w:val="bottom"/>
          </w:tcPr>
          <w:p>
            <w:pPr>
              <w:ind w:left="1400"/>
              <w:spacing w:after="0"/>
              <w:rPr>
                <w:sz w:val="20"/>
                <w:szCs w:val="20"/>
                <w:color w:val="auto"/>
              </w:rPr>
            </w:pPr>
            <w:r>
              <w:rPr>
                <w:rFonts w:ascii="Arial" w:cs="Arial" w:eastAsia="Arial" w:hAnsi="Arial"/>
                <w:sz w:val="11"/>
                <w:szCs w:val="11"/>
                <w:color w:val="auto"/>
              </w:rPr>
              <w:t>Accelerated Filer</w:t>
            </w:r>
          </w:p>
        </w:tc>
        <w:tc>
          <w:tcPr>
            <w:tcW w:w="400" w:type="dxa"/>
            <w:vAlign w:val="bottom"/>
          </w:tcPr>
          <w:p>
            <w:pPr>
              <w:ind w:left="280"/>
              <w:spacing w:after="0"/>
              <w:rPr>
                <w:sz w:val="20"/>
                <w:szCs w:val="20"/>
                <w:color w:val="auto"/>
              </w:rPr>
            </w:pPr>
            <w:r>
              <w:rPr>
                <w:rFonts w:ascii="Arial" w:cs="Arial" w:eastAsia="Arial" w:hAnsi="Arial"/>
                <w:sz w:val="11"/>
                <w:szCs w:val="11"/>
                <w:color w:val="auto"/>
              </w:rPr>
              <w:t>o</w:t>
            </w:r>
          </w:p>
        </w:tc>
      </w:tr>
      <w:tr>
        <w:trPr>
          <w:trHeight w:val="180"/>
        </w:trPr>
        <w:tc>
          <w:tcPr>
            <w:tcW w:w="1280" w:type="dxa"/>
            <w:vAlign w:val="bottom"/>
          </w:tcPr>
          <w:p>
            <w:pPr>
              <w:spacing w:after="0"/>
              <w:rPr>
                <w:sz w:val="20"/>
                <w:szCs w:val="20"/>
                <w:color w:val="auto"/>
              </w:rPr>
            </w:pPr>
            <w:r>
              <w:rPr>
                <w:rFonts w:ascii="Arial" w:cs="Arial" w:eastAsia="Arial" w:hAnsi="Arial"/>
                <w:sz w:val="11"/>
                <w:szCs w:val="11"/>
                <w:color w:val="auto"/>
              </w:rPr>
              <w:t>Non-accelerated Filer</w:t>
            </w:r>
          </w:p>
        </w:tc>
        <w:tc>
          <w:tcPr>
            <w:tcW w:w="1640" w:type="dxa"/>
            <w:vAlign w:val="bottom"/>
          </w:tcPr>
          <w:p>
            <w:pPr>
              <w:ind w:left="180"/>
              <w:spacing w:after="0"/>
              <w:rPr>
                <w:sz w:val="20"/>
                <w:szCs w:val="20"/>
                <w:color w:val="auto"/>
              </w:rPr>
            </w:pPr>
            <w:r>
              <w:rPr>
                <w:rFonts w:ascii="Arial" w:cs="Arial" w:eastAsia="Arial" w:hAnsi="Arial"/>
                <w:sz w:val="11"/>
                <w:szCs w:val="11"/>
                <w:color w:val="auto"/>
              </w:rPr>
              <w:t>o</w:t>
            </w:r>
          </w:p>
        </w:tc>
        <w:tc>
          <w:tcPr>
            <w:tcW w:w="2920" w:type="dxa"/>
            <w:vAlign w:val="bottom"/>
          </w:tcPr>
          <w:p>
            <w:pPr>
              <w:ind w:left="1400"/>
              <w:spacing w:after="0"/>
              <w:rPr>
                <w:sz w:val="20"/>
                <w:szCs w:val="20"/>
                <w:color w:val="auto"/>
              </w:rPr>
            </w:pPr>
            <w:r>
              <w:rPr>
                <w:rFonts w:ascii="Arial" w:cs="Arial" w:eastAsia="Arial" w:hAnsi="Arial"/>
                <w:sz w:val="11"/>
                <w:szCs w:val="11"/>
                <w:color w:val="auto"/>
              </w:rPr>
              <w:t>Smaller reporting company</w:t>
            </w:r>
          </w:p>
        </w:tc>
        <w:tc>
          <w:tcPr>
            <w:tcW w:w="400" w:type="dxa"/>
            <w:vAlign w:val="bottom"/>
          </w:tcPr>
          <w:p>
            <w:pPr>
              <w:ind w:left="2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1"/>
        </w:trPr>
        <w:tc>
          <w:tcPr>
            <w:tcW w:w="12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920" w:type="dxa"/>
            <w:vAlign w:val="bottom"/>
          </w:tcPr>
          <w:p>
            <w:pPr>
              <w:ind w:left="1400"/>
              <w:spacing w:after="0"/>
              <w:rPr>
                <w:sz w:val="20"/>
                <w:szCs w:val="20"/>
                <w:color w:val="auto"/>
              </w:rPr>
            </w:pPr>
            <w:r>
              <w:rPr>
                <w:rFonts w:ascii="Arial" w:cs="Arial" w:eastAsia="Arial" w:hAnsi="Arial"/>
                <w:sz w:val="11"/>
                <w:szCs w:val="11"/>
                <w:color w:val="auto"/>
              </w:rPr>
              <w:t>Emerging growth company</w:t>
            </w:r>
          </w:p>
        </w:tc>
        <w:tc>
          <w:tcPr>
            <w:tcW w:w="400" w:type="dxa"/>
            <w:vAlign w:val="bottom"/>
          </w:tcPr>
          <w:p>
            <w:pPr>
              <w:ind w:left="28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52" w:lineRule="exact"/>
        <w:rPr>
          <w:sz w:val="24"/>
          <w:szCs w:val="24"/>
          <w:color w:val="auto"/>
        </w:rPr>
      </w:pPr>
    </w:p>
    <w:p>
      <w:pPr>
        <w:ind w:right="240"/>
        <w:spacing w:after="0" w:line="261" w:lineRule="auto"/>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4"/>
          <w:szCs w:val="14"/>
          <w:color w:val="auto"/>
        </w:rPr>
        <w:t>o</w:t>
      </w:r>
    </w:p>
    <w:p>
      <w:pPr>
        <w:spacing w:after="0" w:line="12" w:lineRule="exact"/>
        <w:rPr>
          <w:sz w:val="24"/>
          <w:szCs w:val="24"/>
          <w:color w:val="auto"/>
        </w:rPr>
      </w:pPr>
    </w:p>
    <w:p>
      <w:pPr>
        <w:spacing w:after="0" w:line="162"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1" w:lineRule="exact"/>
        <w:rPr>
          <w:sz w:val="24"/>
          <w:szCs w:val="24"/>
          <w:color w:val="auto"/>
        </w:rPr>
      </w:pPr>
    </w:p>
    <w:p>
      <w:pPr>
        <w:spacing w:after="0" w:line="150" w:lineRule="exact"/>
        <w:tabs>
          <w:tab w:leader="none" w:pos="6280" w:val="left"/>
        </w:tabs>
        <w:rPr>
          <w:sz w:val="20"/>
          <w:szCs w:val="20"/>
          <w:color w:val="auto"/>
        </w:rPr>
      </w:pPr>
      <w:r>
        <w:rPr>
          <w:rFonts w:ascii="Arial" w:cs="Arial" w:eastAsia="Arial" w:hAnsi="Arial"/>
          <w:sz w:val="12"/>
          <w:szCs w:val="12"/>
          <w:color w:val="auto"/>
        </w:rPr>
        <w:t xml:space="preserve">Indicate by check mark whether the registrant is a shell company (as defined in Rule 12b-2 of the Exchange Act). Yes </w:t>
      </w:r>
      <w:r>
        <w:rPr>
          <w:rFonts w:ascii="MS PGothic" w:cs="MS PGothic" w:eastAsia="MS PGothic" w:hAnsi="MS PGothic"/>
          <w:sz w:val="12"/>
          <w:szCs w:val="12"/>
          <w:color w:val="auto"/>
        </w:rPr>
        <w:t>☐</w:t>
      </w:r>
      <w:r>
        <w:rPr>
          <w:sz w:val="20"/>
          <w:szCs w:val="20"/>
          <w:color w:val="auto"/>
        </w:rPr>
        <w:tab/>
      </w:r>
      <w:r>
        <w:rPr>
          <w:rFonts w:ascii="Arial" w:cs="Arial" w:eastAsia="Arial" w:hAnsi="Arial"/>
          <w:sz w:val="13"/>
          <w:szCs w:val="13"/>
          <w:color w:val="auto"/>
        </w:rPr>
        <w:t>No x</w:t>
      </w:r>
    </w:p>
    <w:p>
      <w:pPr>
        <w:spacing w:after="0" w:line="26" w:lineRule="exact"/>
        <w:rPr>
          <w:sz w:val="24"/>
          <w:szCs w:val="24"/>
          <w:color w:val="auto"/>
        </w:rPr>
      </w:pPr>
    </w:p>
    <w:p>
      <w:pPr>
        <w:spacing w:after="0" w:line="257" w:lineRule="auto"/>
        <w:rPr>
          <w:sz w:val="20"/>
          <w:szCs w:val="20"/>
          <w:color w:val="auto"/>
        </w:rPr>
      </w:pPr>
      <w:r>
        <w:rPr>
          <w:rFonts w:ascii="Arial" w:cs="Arial" w:eastAsia="Arial" w:hAnsi="Arial"/>
          <w:sz w:val="13"/>
          <w:szCs w:val="13"/>
          <w:color w:val="auto"/>
        </w:rPr>
        <w:t>The aggregate market value of the registrant’s Common Stock, $0.01 par value, held by non-affiliates of the registrant as of June 27, 2021 was $1,096,706,728</w:t>
      </w:r>
      <w:r>
        <w:rPr>
          <w:rFonts w:ascii="Arial" w:cs="Arial" w:eastAsia="Arial" w:hAnsi="Arial"/>
          <w:sz w:val="13"/>
          <w:szCs w:val="13"/>
          <w:color w:val="2C2C2C"/>
        </w:rPr>
        <w:t>.</w:t>
      </w:r>
      <w:r>
        <w:rPr>
          <w:rFonts w:ascii="Arial" w:cs="Arial" w:eastAsia="Arial" w:hAnsi="Arial"/>
          <w:sz w:val="13"/>
          <w:szCs w:val="13"/>
          <w:color w:val="auto"/>
        </w:rPr>
        <w:t xml:space="preserve"> The number of shares of the registrant’s Common Stock outstanding as of February 18, 2022 was 243,896,170.</w:t>
      </w:r>
    </w:p>
    <w:p>
      <w:pPr>
        <w:spacing w:after="0" w:line="62" w:lineRule="exact"/>
        <w:rPr>
          <w:sz w:val="24"/>
          <w:szCs w:val="24"/>
          <w:color w:val="auto"/>
        </w:rPr>
      </w:pPr>
    </w:p>
    <w:p>
      <w:pPr>
        <w:ind w:left="4260"/>
        <w:spacing w:after="0"/>
        <w:rPr>
          <w:sz w:val="20"/>
          <w:szCs w:val="20"/>
          <w:color w:val="auto"/>
        </w:rPr>
      </w:pPr>
      <w:r>
        <w:rPr>
          <w:rFonts w:ascii="Arial" w:cs="Arial" w:eastAsia="Arial" w:hAnsi="Arial"/>
          <w:sz w:val="13"/>
          <w:szCs w:val="13"/>
          <w:color w:val="auto"/>
        </w:rPr>
        <w:t>DOCUMENTS INCORPORATED BY REFERENCE</w:t>
      </w:r>
    </w:p>
    <w:p>
      <w:pPr>
        <w:spacing w:after="0" w:line="41" w:lineRule="exact"/>
        <w:rPr>
          <w:sz w:val="24"/>
          <w:szCs w:val="24"/>
          <w:color w:val="auto"/>
        </w:rPr>
      </w:pPr>
    </w:p>
    <w:p>
      <w:pPr>
        <w:spacing w:after="0"/>
        <w:rPr>
          <w:sz w:val="20"/>
          <w:szCs w:val="20"/>
          <w:color w:val="auto"/>
        </w:rPr>
      </w:pPr>
      <w:r>
        <w:rPr>
          <w:rFonts w:ascii="Arial" w:cs="Arial" w:eastAsia="Arial" w:hAnsi="Arial"/>
          <w:sz w:val="13"/>
          <w:szCs w:val="13"/>
          <w:color w:val="auto"/>
        </w:rPr>
        <w:t>Portions of the Company’s Proxy Statement for the 2022 Annual Meeting of Stockholders are incorporated by reference into Part III of this annual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327660</wp:posOffset>
            </wp:positionV>
            <wp:extent cx="71869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4" w:right="3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61"/>
        </w:trPr>
        <w:tc>
          <w:tcPr>
            <w:tcW w:w="1140" w:type="dxa"/>
            <w:vAlign w:val="bottom"/>
            <w:tcBorders>
              <w:bottom w:val="single" w:sz="8" w:color="0000FF"/>
            </w:tcBorders>
            <w:gridSpan w:val="3"/>
          </w:tcPr>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602"/>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340" w:type="dxa"/>
            <w:vAlign w:val="bottom"/>
            <w:gridSpan w:val="8"/>
          </w:tcPr>
          <w:p>
            <w:pPr>
              <w:jc w:val="center"/>
              <w:ind w:right="2080"/>
              <w:spacing w:after="0"/>
              <w:rPr>
                <w:sz w:val="20"/>
                <w:szCs w:val="20"/>
                <w:color w:val="auto"/>
              </w:rPr>
            </w:pPr>
            <w:r>
              <w:rPr>
                <w:rFonts w:ascii="Arial" w:cs="Arial" w:eastAsia="Arial" w:hAnsi="Arial"/>
                <w:sz w:val="14"/>
                <w:szCs w:val="14"/>
                <w:b w:val="1"/>
                <w:bCs w:val="1"/>
                <w:color w:val="auto"/>
              </w:rPr>
              <w:t>PILGRIM’S PRIDE CORPORATION</w:t>
            </w:r>
          </w:p>
        </w:tc>
        <w:tc>
          <w:tcPr>
            <w:tcW w:w="1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70"/>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100" w:type="dxa"/>
            <w:vAlign w:val="bottom"/>
            <w:gridSpan w:val="5"/>
          </w:tcPr>
          <w:p>
            <w:pPr>
              <w:jc w:val="center"/>
              <w:ind w:right="3340"/>
              <w:spacing w:after="0"/>
              <w:rPr>
                <w:sz w:val="20"/>
                <w:szCs w:val="20"/>
                <w:color w:val="auto"/>
              </w:rPr>
            </w:pPr>
            <w:r>
              <w:rPr>
                <w:rFonts w:ascii="Arial" w:cs="Arial" w:eastAsia="Arial" w:hAnsi="Arial"/>
                <w:sz w:val="14"/>
                <w:szCs w:val="14"/>
                <w:b w:val="1"/>
                <w:bCs w:val="1"/>
                <w:color w:val="auto"/>
              </w:rPr>
              <w:t>FORM 10-K</w:t>
            </w:r>
          </w:p>
        </w:tc>
        <w:tc>
          <w:tcPr>
            <w:tcW w:w="1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84"/>
        </w:trPr>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560" w:type="dxa"/>
            <w:vAlign w:val="bottom"/>
            <w:gridSpan w:val="6"/>
          </w:tcPr>
          <w:p>
            <w:pPr>
              <w:jc w:val="center"/>
              <w:ind w:right="2880"/>
              <w:spacing w:after="0"/>
              <w:rPr>
                <w:sz w:val="20"/>
                <w:szCs w:val="20"/>
                <w:color w:val="auto"/>
              </w:rPr>
            </w:pPr>
            <w:r>
              <w:rPr>
                <w:rFonts w:ascii="Arial" w:cs="Arial" w:eastAsia="Arial" w:hAnsi="Arial"/>
                <w:sz w:val="14"/>
                <w:szCs w:val="14"/>
                <w:b w:val="1"/>
                <w:bCs w:val="1"/>
                <w:color w:val="auto"/>
              </w:rPr>
              <w:t>TABLE OF CONTENTS</w:t>
            </w:r>
          </w:p>
        </w:tc>
        <w:tc>
          <w:tcPr>
            <w:tcW w:w="1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403"/>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60" w:type="dxa"/>
            <w:vAlign w:val="bottom"/>
            <w:gridSpan w:val="4"/>
          </w:tcPr>
          <w:p>
            <w:pPr>
              <w:jc w:val="center"/>
              <w:ind w:right="3040"/>
              <w:spacing w:after="0"/>
              <w:rPr>
                <w:sz w:val="20"/>
                <w:szCs w:val="20"/>
                <w:color w:val="auto"/>
              </w:rPr>
            </w:pPr>
            <w:r>
              <w:rPr>
                <w:rFonts w:ascii="Arial" w:cs="Arial" w:eastAsia="Arial" w:hAnsi="Arial"/>
                <w:sz w:val="14"/>
                <w:szCs w:val="14"/>
                <w:b w:val="1"/>
                <w:bCs w:val="1"/>
                <w:color w:val="auto"/>
              </w:rPr>
              <w:t>PART I</w:t>
            </w:r>
          </w:p>
        </w:tc>
        <w:tc>
          <w:tcPr>
            <w:tcW w:w="1900" w:type="dxa"/>
            <w:vAlign w:val="bottom"/>
            <w:gridSpan w:val="3"/>
          </w:tcPr>
          <w:p>
            <w:pPr>
              <w:jc w:val="right"/>
              <w:spacing w:after="0"/>
              <w:rPr>
                <w:sz w:val="20"/>
                <w:szCs w:val="20"/>
                <w:color w:val="auto"/>
              </w:rPr>
            </w:pPr>
            <w:r>
              <w:rPr>
                <w:rFonts w:ascii="Arial" w:cs="Arial" w:eastAsia="Arial" w:hAnsi="Arial"/>
                <w:sz w:val="14"/>
                <w:szCs w:val="14"/>
                <w:color w:val="auto"/>
              </w:rPr>
              <w:t>Page</w:t>
            </w:r>
          </w:p>
        </w:tc>
      </w:tr>
      <w:tr>
        <w:trPr>
          <w:trHeight w:val="149"/>
        </w:trPr>
        <w:tc>
          <w:tcPr>
            <w:tcW w:w="20" w:type="dxa"/>
            <w:vAlign w:val="bottom"/>
          </w:tcPr>
          <w:p>
            <w:pPr>
              <w:spacing w:after="0"/>
              <w:rPr>
                <w:sz w:val="12"/>
                <w:szCs w:val="12"/>
                <w:color w:val="auto"/>
              </w:rPr>
            </w:pPr>
          </w:p>
        </w:tc>
        <w:tc>
          <w:tcPr>
            <w:tcW w:w="1120" w:type="dxa"/>
            <w:vAlign w:val="bottom"/>
            <w:gridSpan w:val="2"/>
          </w:tcPr>
          <w:p>
            <w:pPr>
              <w:spacing w:after="0" w:line="149" w:lineRule="exact"/>
              <w:rPr>
                <w:sz w:val="20"/>
                <w:szCs w:val="20"/>
                <w:color w:val="auto"/>
              </w:rPr>
            </w:pPr>
            <w:r>
              <w:rPr>
                <w:rFonts w:ascii="Arial" w:cs="Arial" w:eastAsia="Arial" w:hAnsi="Arial"/>
                <w:sz w:val="14"/>
                <w:szCs w:val="14"/>
                <w:color w:val="auto"/>
              </w:rPr>
              <w:t>Item 1.</w:t>
            </w:r>
          </w:p>
        </w:tc>
        <w:tc>
          <w:tcPr>
            <w:tcW w:w="260" w:type="dxa"/>
            <w:vAlign w:val="bottom"/>
          </w:tcPr>
          <w:p>
            <w:pPr>
              <w:spacing w:after="0"/>
              <w:rPr>
                <w:sz w:val="12"/>
                <w:szCs w:val="12"/>
                <w:color w:val="auto"/>
              </w:rPr>
            </w:pPr>
          </w:p>
        </w:tc>
        <w:tc>
          <w:tcPr>
            <w:tcW w:w="520" w:type="dxa"/>
            <w:vAlign w:val="bottom"/>
            <w:tcBorders>
              <w:bottom w:val="single" w:sz="8" w:color="0000FF"/>
            </w:tcBorders>
          </w:tcPr>
          <w:p>
            <w:pPr>
              <w:spacing w:after="0" w:line="149" w:lineRule="exact"/>
              <w:rPr>
                <w:rFonts w:ascii="Arial" w:cs="Arial" w:eastAsia="Arial" w:hAnsi="Arial"/>
                <w:sz w:val="14"/>
                <w:szCs w:val="14"/>
                <w:color w:val="0000FF"/>
                <w:w w:val="87"/>
              </w:rPr>
            </w:pPr>
            <w:hyperlink w:anchor="page3">
              <w:r>
                <w:rPr>
                  <w:rFonts w:ascii="Arial" w:cs="Arial" w:eastAsia="Arial" w:hAnsi="Arial"/>
                  <w:sz w:val="14"/>
                  <w:szCs w:val="14"/>
                  <w:color w:val="0000FF"/>
                  <w:w w:val="87"/>
                </w:rPr>
                <w:t>Business</w:t>
              </w:r>
            </w:hyperlink>
          </w:p>
        </w:tc>
        <w:tc>
          <w:tcPr>
            <w:tcW w:w="7440" w:type="dxa"/>
            <w:vAlign w:val="bottom"/>
            <w:gridSpan w:val="18"/>
          </w:tcPr>
          <w:p>
            <w:pPr>
              <w:spacing w:after="0"/>
              <w:rPr>
                <w:sz w:val="12"/>
                <w:szCs w:val="12"/>
                <w:color w:val="auto"/>
              </w:rPr>
            </w:pPr>
          </w:p>
        </w:tc>
        <w:tc>
          <w:tcPr>
            <w:tcW w:w="1820" w:type="dxa"/>
            <w:vAlign w:val="bottom"/>
            <w:gridSpan w:val="2"/>
          </w:tcPr>
          <w:p>
            <w:pPr>
              <w:spacing w:after="0"/>
              <w:rPr>
                <w:sz w:val="12"/>
                <w:szCs w:val="12"/>
                <w:color w:val="auto"/>
              </w:rPr>
            </w:pPr>
          </w:p>
        </w:tc>
        <w:tc>
          <w:tcPr>
            <w:tcW w:w="80" w:type="dxa"/>
            <w:vAlign w:val="bottom"/>
            <w:tcBorders>
              <w:bottom w:val="single" w:sz="8" w:color="0000FF"/>
            </w:tcBorders>
          </w:tcPr>
          <w:p>
            <w:pPr>
              <w:jc w:val="right"/>
              <w:spacing w:after="0" w:line="149" w:lineRule="exact"/>
              <w:rPr>
                <w:rFonts w:ascii="Arial" w:cs="Arial" w:eastAsia="Arial" w:hAnsi="Arial"/>
                <w:sz w:val="14"/>
                <w:szCs w:val="14"/>
                <w:color w:val="0000FF"/>
                <w:w w:val="76"/>
              </w:rPr>
            </w:pPr>
            <w:hyperlink w:anchor="page3">
              <w:r>
                <w:rPr>
                  <w:rFonts w:ascii="Arial" w:cs="Arial" w:eastAsia="Arial" w:hAnsi="Arial"/>
                  <w:sz w:val="14"/>
                  <w:szCs w:val="14"/>
                  <w:color w:val="0000FF"/>
                  <w:w w:val="76"/>
                </w:rPr>
                <w:t>1</w:t>
              </w:r>
            </w:hyperlink>
          </w:p>
        </w:tc>
      </w:tr>
      <w:tr>
        <w:trPr>
          <w:trHeight w:val="160"/>
        </w:trPr>
        <w:tc>
          <w:tcPr>
            <w:tcW w:w="20" w:type="dxa"/>
            <w:vAlign w:val="bottom"/>
          </w:tcPr>
          <w:p>
            <w:pPr>
              <w:spacing w:after="0"/>
              <w:rPr>
                <w:sz w:val="13"/>
                <w:szCs w:val="13"/>
                <w:color w:val="auto"/>
              </w:rPr>
            </w:pPr>
          </w:p>
        </w:tc>
        <w:tc>
          <w:tcPr>
            <w:tcW w:w="1120" w:type="dxa"/>
            <w:vAlign w:val="bottom"/>
            <w:gridSpan w:val="2"/>
          </w:tcPr>
          <w:p>
            <w:pPr>
              <w:spacing w:after="0"/>
              <w:rPr>
                <w:sz w:val="20"/>
                <w:szCs w:val="20"/>
                <w:color w:val="auto"/>
              </w:rPr>
            </w:pPr>
            <w:r>
              <w:rPr>
                <w:rFonts w:ascii="Arial" w:cs="Arial" w:eastAsia="Arial" w:hAnsi="Arial"/>
                <w:sz w:val="14"/>
                <w:szCs w:val="14"/>
                <w:color w:val="auto"/>
              </w:rPr>
              <w:t>Item 1A.</w:t>
            </w:r>
          </w:p>
        </w:tc>
        <w:tc>
          <w:tcPr>
            <w:tcW w:w="260" w:type="dxa"/>
            <w:vAlign w:val="bottom"/>
          </w:tcPr>
          <w:p>
            <w:pPr>
              <w:spacing w:after="0"/>
              <w:rPr>
                <w:sz w:val="13"/>
                <w:szCs w:val="13"/>
                <w:color w:val="auto"/>
              </w:rPr>
            </w:pPr>
          </w:p>
        </w:tc>
        <w:tc>
          <w:tcPr>
            <w:tcW w:w="720" w:type="dxa"/>
            <w:vAlign w:val="bottom"/>
            <w:tcBorders>
              <w:bottom w:val="single" w:sz="8" w:color="0000FF"/>
            </w:tcBorders>
            <w:gridSpan w:val="3"/>
          </w:tcPr>
          <w:p>
            <w:pPr>
              <w:spacing w:after="0"/>
              <w:rPr>
                <w:rFonts w:ascii="Arial" w:cs="Arial" w:eastAsia="Arial" w:hAnsi="Arial"/>
                <w:sz w:val="14"/>
                <w:szCs w:val="14"/>
                <w:color w:val="0000FF"/>
                <w:w w:val="89"/>
              </w:rPr>
            </w:pPr>
            <w:hyperlink w:anchor="page8">
              <w:r>
                <w:rPr>
                  <w:rFonts w:ascii="Arial" w:cs="Arial" w:eastAsia="Arial" w:hAnsi="Arial"/>
                  <w:sz w:val="14"/>
                  <w:szCs w:val="14"/>
                  <w:color w:val="0000FF"/>
                  <w:w w:val="89"/>
                </w:rPr>
                <w:t>Risk Factors</w:t>
              </w:r>
            </w:hyperlink>
          </w:p>
        </w:tc>
        <w:tc>
          <w:tcPr>
            <w:tcW w:w="7240" w:type="dxa"/>
            <w:vAlign w:val="bottom"/>
            <w:gridSpan w:val="16"/>
          </w:tcPr>
          <w:p>
            <w:pPr>
              <w:spacing w:after="0"/>
              <w:rPr>
                <w:sz w:val="13"/>
                <w:szCs w:val="13"/>
                <w:color w:val="auto"/>
              </w:rPr>
            </w:pPr>
          </w:p>
        </w:tc>
        <w:tc>
          <w:tcPr>
            <w:tcW w:w="1820" w:type="dxa"/>
            <w:vAlign w:val="bottom"/>
            <w:gridSpan w:val="2"/>
          </w:tcPr>
          <w:p>
            <w:pPr>
              <w:spacing w:after="0"/>
              <w:rPr>
                <w:sz w:val="13"/>
                <w:szCs w:val="13"/>
                <w:color w:val="auto"/>
              </w:rPr>
            </w:pPr>
          </w:p>
        </w:tc>
        <w:tc>
          <w:tcPr>
            <w:tcW w:w="80" w:type="dxa"/>
            <w:vAlign w:val="bottom"/>
            <w:tcBorders>
              <w:bottom w:val="single" w:sz="8" w:color="0000FF"/>
            </w:tcBorders>
          </w:tcPr>
          <w:p>
            <w:pPr>
              <w:jc w:val="right"/>
              <w:spacing w:after="0"/>
              <w:rPr>
                <w:rFonts w:ascii="Arial" w:cs="Arial" w:eastAsia="Arial" w:hAnsi="Arial"/>
                <w:sz w:val="14"/>
                <w:szCs w:val="14"/>
                <w:color w:val="0000FF"/>
                <w:w w:val="76"/>
              </w:rPr>
            </w:pPr>
            <w:hyperlink w:anchor="page8">
              <w:r>
                <w:rPr>
                  <w:rFonts w:ascii="Arial" w:cs="Arial" w:eastAsia="Arial" w:hAnsi="Arial"/>
                  <w:sz w:val="14"/>
                  <w:szCs w:val="14"/>
                  <w:color w:val="0000FF"/>
                  <w:w w:val="76"/>
                </w:rPr>
                <w:t>6</w:t>
              </w:r>
            </w:hyperlink>
          </w:p>
        </w:tc>
      </w:tr>
      <w:tr>
        <w:trPr>
          <w:trHeight w:val="160"/>
        </w:trPr>
        <w:tc>
          <w:tcPr>
            <w:tcW w:w="20" w:type="dxa"/>
            <w:vAlign w:val="bottom"/>
          </w:tcPr>
          <w:p>
            <w:pPr>
              <w:spacing w:after="0"/>
              <w:rPr>
                <w:sz w:val="13"/>
                <w:szCs w:val="13"/>
                <w:color w:val="auto"/>
              </w:rPr>
            </w:pPr>
          </w:p>
        </w:tc>
        <w:tc>
          <w:tcPr>
            <w:tcW w:w="1120" w:type="dxa"/>
            <w:vAlign w:val="bottom"/>
            <w:gridSpan w:val="2"/>
          </w:tcPr>
          <w:p>
            <w:pPr>
              <w:spacing w:after="0"/>
              <w:rPr>
                <w:sz w:val="20"/>
                <w:szCs w:val="20"/>
                <w:color w:val="auto"/>
              </w:rPr>
            </w:pPr>
            <w:r>
              <w:rPr>
                <w:rFonts w:ascii="Arial" w:cs="Arial" w:eastAsia="Arial" w:hAnsi="Arial"/>
                <w:sz w:val="14"/>
                <w:szCs w:val="14"/>
                <w:color w:val="auto"/>
              </w:rPr>
              <w:t>Item 1B.</w:t>
            </w:r>
          </w:p>
        </w:tc>
        <w:tc>
          <w:tcPr>
            <w:tcW w:w="260" w:type="dxa"/>
            <w:vAlign w:val="bottom"/>
          </w:tcPr>
          <w:p>
            <w:pPr>
              <w:spacing w:after="0"/>
              <w:rPr>
                <w:sz w:val="13"/>
                <w:szCs w:val="13"/>
                <w:color w:val="auto"/>
              </w:rPr>
            </w:pPr>
          </w:p>
        </w:tc>
        <w:tc>
          <w:tcPr>
            <w:tcW w:w="1620" w:type="dxa"/>
            <w:vAlign w:val="bottom"/>
            <w:gridSpan w:val="8"/>
          </w:tcPr>
          <w:p>
            <w:pPr>
              <w:spacing w:after="0"/>
              <w:rPr>
                <w:rFonts w:ascii="Arial" w:cs="Arial" w:eastAsia="Arial" w:hAnsi="Arial"/>
                <w:sz w:val="14"/>
                <w:szCs w:val="14"/>
                <w:color w:val="0000FF"/>
                <w:w w:val="91"/>
              </w:rPr>
            </w:pPr>
            <w:hyperlink w:anchor="page19">
              <w:r>
                <w:rPr>
                  <w:rFonts w:ascii="Arial" w:cs="Arial" w:eastAsia="Arial" w:hAnsi="Arial"/>
                  <w:sz w:val="14"/>
                  <w:szCs w:val="14"/>
                  <w:color w:val="0000FF"/>
                  <w:w w:val="91"/>
                </w:rPr>
                <w:t>Unresolved Staff Comments</w:t>
              </w:r>
            </w:hyperlink>
          </w:p>
        </w:tc>
        <w:tc>
          <w:tcPr>
            <w:tcW w:w="6340" w:type="dxa"/>
            <w:vAlign w:val="bottom"/>
            <w:gridSpan w:val="11"/>
          </w:tcPr>
          <w:p>
            <w:pPr>
              <w:spacing w:after="0"/>
              <w:rPr>
                <w:sz w:val="13"/>
                <w:szCs w:val="13"/>
                <w:color w:val="auto"/>
              </w:rPr>
            </w:pPr>
          </w:p>
        </w:tc>
        <w:tc>
          <w:tcPr>
            <w:tcW w:w="1900" w:type="dxa"/>
            <w:vAlign w:val="bottom"/>
            <w:gridSpan w:val="3"/>
          </w:tcPr>
          <w:p>
            <w:pPr>
              <w:jc w:val="right"/>
              <w:spacing w:after="0"/>
              <w:rPr>
                <w:rFonts w:ascii="Arial" w:cs="Arial" w:eastAsia="Arial" w:hAnsi="Arial"/>
                <w:sz w:val="14"/>
                <w:szCs w:val="14"/>
                <w:color w:val="0000FF"/>
              </w:rPr>
            </w:pPr>
            <w:hyperlink w:anchor="page19">
              <w:r>
                <w:rPr>
                  <w:rFonts w:ascii="Arial" w:cs="Arial" w:eastAsia="Arial" w:hAnsi="Arial"/>
                  <w:sz w:val="14"/>
                  <w:szCs w:val="14"/>
                  <w:color w:val="0000FF"/>
                </w:rPr>
                <w:t>17</w:t>
              </w:r>
            </w:hyperlink>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1120" w:type="dxa"/>
            <w:vAlign w:val="bottom"/>
            <w:gridSpan w:val="2"/>
          </w:tcPr>
          <w:p>
            <w:pPr>
              <w:spacing w:after="0"/>
              <w:rPr>
                <w:sz w:val="20"/>
                <w:szCs w:val="20"/>
                <w:color w:val="auto"/>
              </w:rPr>
            </w:pPr>
            <w:r>
              <w:rPr>
                <w:rFonts w:ascii="Arial" w:cs="Arial" w:eastAsia="Arial" w:hAnsi="Arial"/>
                <w:sz w:val="14"/>
                <w:szCs w:val="14"/>
                <w:color w:val="auto"/>
              </w:rPr>
              <w:t>Item 2.</w:t>
            </w:r>
          </w:p>
        </w:tc>
        <w:tc>
          <w:tcPr>
            <w:tcW w:w="260" w:type="dxa"/>
            <w:vAlign w:val="bottom"/>
          </w:tcPr>
          <w:p>
            <w:pPr>
              <w:spacing w:after="0"/>
              <w:rPr>
                <w:sz w:val="13"/>
                <w:szCs w:val="13"/>
                <w:color w:val="auto"/>
              </w:rPr>
            </w:pPr>
          </w:p>
        </w:tc>
        <w:tc>
          <w:tcPr>
            <w:tcW w:w="1620" w:type="dxa"/>
            <w:vAlign w:val="bottom"/>
            <w:gridSpan w:val="8"/>
          </w:tcPr>
          <w:p>
            <w:pPr>
              <w:spacing w:after="0"/>
              <w:rPr>
                <w:rFonts w:ascii="Arial" w:cs="Arial" w:eastAsia="Arial" w:hAnsi="Arial"/>
                <w:sz w:val="14"/>
                <w:szCs w:val="14"/>
                <w:color w:val="0000FF"/>
              </w:rPr>
            </w:pPr>
            <w:hyperlink w:anchor="page19">
              <w:r>
                <w:rPr>
                  <w:rFonts w:ascii="Arial" w:cs="Arial" w:eastAsia="Arial" w:hAnsi="Arial"/>
                  <w:sz w:val="14"/>
                  <w:szCs w:val="14"/>
                  <w:color w:val="0000FF"/>
                </w:rPr>
                <w:t>Properties</w:t>
              </w:r>
            </w:hyperlink>
          </w:p>
        </w:tc>
        <w:tc>
          <w:tcPr>
            <w:tcW w:w="6340" w:type="dxa"/>
            <w:vAlign w:val="bottom"/>
            <w:gridSpan w:val="11"/>
          </w:tcPr>
          <w:p>
            <w:pPr>
              <w:spacing w:after="0"/>
              <w:rPr>
                <w:sz w:val="13"/>
                <w:szCs w:val="13"/>
                <w:color w:val="auto"/>
              </w:rPr>
            </w:pPr>
          </w:p>
        </w:tc>
        <w:tc>
          <w:tcPr>
            <w:tcW w:w="1900" w:type="dxa"/>
            <w:vAlign w:val="bottom"/>
            <w:gridSpan w:val="3"/>
          </w:tcPr>
          <w:p>
            <w:pPr>
              <w:jc w:val="right"/>
              <w:spacing w:after="0"/>
              <w:rPr>
                <w:rFonts w:ascii="Arial" w:cs="Arial" w:eastAsia="Arial" w:hAnsi="Arial"/>
                <w:sz w:val="14"/>
                <w:szCs w:val="14"/>
                <w:color w:val="0000FF"/>
              </w:rPr>
            </w:pPr>
            <w:hyperlink w:anchor="page19">
              <w:r>
                <w:rPr>
                  <w:rFonts w:ascii="Arial" w:cs="Arial" w:eastAsia="Arial" w:hAnsi="Arial"/>
                  <w:sz w:val="14"/>
                  <w:szCs w:val="14"/>
                  <w:color w:val="0000FF"/>
                </w:rPr>
                <w:t>18</w:t>
              </w:r>
            </w:hyperlink>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1120" w:type="dxa"/>
            <w:vAlign w:val="bottom"/>
            <w:gridSpan w:val="2"/>
          </w:tcPr>
          <w:p>
            <w:pPr>
              <w:spacing w:after="0"/>
              <w:rPr>
                <w:sz w:val="20"/>
                <w:szCs w:val="20"/>
                <w:color w:val="auto"/>
              </w:rPr>
            </w:pPr>
            <w:r>
              <w:rPr>
                <w:rFonts w:ascii="Arial" w:cs="Arial" w:eastAsia="Arial" w:hAnsi="Arial"/>
                <w:sz w:val="14"/>
                <w:szCs w:val="14"/>
                <w:color w:val="auto"/>
              </w:rPr>
              <w:t>Item 3.</w:t>
            </w:r>
          </w:p>
        </w:tc>
        <w:tc>
          <w:tcPr>
            <w:tcW w:w="260" w:type="dxa"/>
            <w:vAlign w:val="bottom"/>
          </w:tcPr>
          <w:p>
            <w:pPr>
              <w:spacing w:after="0"/>
              <w:rPr>
                <w:sz w:val="13"/>
                <w:szCs w:val="13"/>
                <w:color w:val="auto"/>
              </w:rPr>
            </w:pPr>
          </w:p>
        </w:tc>
        <w:tc>
          <w:tcPr>
            <w:tcW w:w="1040" w:type="dxa"/>
            <w:vAlign w:val="bottom"/>
            <w:gridSpan w:val="4"/>
          </w:tcPr>
          <w:p>
            <w:pPr>
              <w:spacing w:after="0"/>
              <w:rPr>
                <w:rFonts w:ascii="Arial" w:cs="Arial" w:eastAsia="Arial" w:hAnsi="Arial"/>
                <w:sz w:val="14"/>
                <w:szCs w:val="14"/>
                <w:color w:val="0000FF"/>
                <w:w w:val="86"/>
              </w:rPr>
            </w:pPr>
            <w:hyperlink w:anchor="page20">
              <w:r>
                <w:rPr>
                  <w:rFonts w:ascii="Arial" w:cs="Arial" w:eastAsia="Arial" w:hAnsi="Arial"/>
                  <w:sz w:val="14"/>
                  <w:szCs w:val="14"/>
                  <w:color w:val="0000FF"/>
                  <w:w w:val="86"/>
                </w:rPr>
                <w:t>Legal Proceedings</w:t>
              </w:r>
            </w:hyperlink>
          </w:p>
        </w:tc>
        <w:tc>
          <w:tcPr>
            <w:tcW w:w="6920" w:type="dxa"/>
            <w:vAlign w:val="bottom"/>
            <w:gridSpan w:val="15"/>
          </w:tcPr>
          <w:p>
            <w:pPr>
              <w:spacing w:after="0"/>
              <w:rPr>
                <w:sz w:val="13"/>
                <w:szCs w:val="13"/>
                <w:color w:val="auto"/>
              </w:rPr>
            </w:pPr>
          </w:p>
        </w:tc>
        <w:tc>
          <w:tcPr>
            <w:tcW w:w="1900" w:type="dxa"/>
            <w:vAlign w:val="bottom"/>
            <w:gridSpan w:val="3"/>
          </w:tcPr>
          <w:p>
            <w:pPr>
              <w:jc w:val="right"/>
              <w:spacing w:after="0"/>
              <w:rPr>
                <w:rFonts w:ascii="Arial" w:cs="Arial" w:eastAsia="Arial" w:hAnsi="Arial"/>
                <w:sz w:val="14"/>
                <w:szCs w:val="14"/>
                <w:color w:val="0000FF"/>
              </w:rPr>
            </w:pPr>
            <w:hyperlink w:anchor="page20">
              <w:r>
                <w:rPr>
                  <w:rFonts w:ascii="Arial" w:cs="Arial" w:eastAsia="Arial" w:hAnsi="Arial"/>
                  <w:sz w:val="14"/>
                  <w:szCs w:val="14"/>
                  <w:color w:val="0000FF"/>
                </w:rPr>
                <w:t>19</w:t>
              </w:r>
            </w:hyperlink>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1120" w:type="dxa"/>
            <w:vAlign w:val="bottom"/>
            <w:gridSpan w:val="2"/>
          </w:tcPr>
          <w:p>
            <w:pPr>
              <w:spacing w:after="0"/>
              <w:rPr>
                <w:sz w:val="20"/>
                <w:szCs w:val="20"/>
                <w:color w:val="auto"/>
              </w:rPr>
            </w:pPr>
            <w:r>
              <w:rPr>
                <w:rFonts w:ascii="Arial" w:cs="Arial" w:eastAsia="Arial" w:hAnsi="Arial"/>
                <w:sz w:val="14"/>
                <w:szCs w:val="14"/>
                <w:color w:val="auto"/>
              </w:rPr>
              <w:t>Item 4.</w:t>
            </w:r>
          </w:p>
        </w:tc>
        <w:tc>
          <w:tcPr>
            <w:tcW w:w="260" w:type="dxa"/>
            <w:vAlign w:val="bottom"/>
          </w:tcPr>
          <w:p>
            <w:pPr>
              <w:spacing w:after="0"/>
              <w:rPr>
                <w:sz w:val="13"/>
                <w:szCs w:val="13"/>
                <w:color w:val="auto"/>
              </w:rPr>
            </w:pPr>
          </w:p>
        </w:tc>
        <w:tc>
          <w:tcPr>
            <w:tcW w:w="7960" w:type="dxa"/>
            <w:vAlign w:val="bottom"/>
            <w:gridSpan w:val="19"/>
          </w:tcPr>
          <w:p>
            <w:pPr>
              <w:spacing w:after="0"/>
              <w:rPr>
                <w:rFonts w:ascii="Arial" w:cs="Arial" w:eastAsia="Arial" w:hAnsi="Arial"/>
                <w:sz w:val="14"/>
                <w:szCs w:val="14"/>
                <w:color w:val="0000FF"/>
              </w:rPr>
            </w:pPr>
            <w:hyperlink w:anchor="page21">
              <w:r>
                <w:rPr>
                  <w:rFonts w:ascii="Arial" w:cs="Arial" w:eastAsia="Arial" w:hAnsi="Arial"/>
                  <w:sz w:val="14"/>
                  <w:szCs w:val="14"/>
                  <w:color w:val="0000FF"/>
                </w:rPr>
                <w:t>Mine Safety Disclosures</w:t>
              </w:r>
            </w:hyperlink>
          </w:p>
        </w:tc>
        <w:tc>
          <w:tcPr>
            <w:tcW w:w="1900" w:type="dxa"/>
            <w:vAlign w:val="bottom"/>
            <w:gridSpan w:val="3"/>
          </w:tcPr>
          <w:p>
            <w:pPr>
              <w:jc w:val="right"/>
              <w:spacing w:after="0"/>
              <w:rPr>
                <w:rFonts w:ascii="Arial" w:cs="Arial" w:eastAsia="Arial" w:hAnsi="Arial"/>
                <w:sz w:val="14"/>
                <w:szCs w:val="14"/>
                <w:color w:val="0000FF"/>
              </w:rPr>
            </w:pPr>
            <w:hyperlink w:anchor="page21">
              <w:r>
                <w:rPr>
                  <w:rFonts w:ascii="Arial" w:cs="Arial" w:eastAsia="Arial" w:hAnsi="Arial"/>
                  <w:sz w:val="14"/>
                  <w:szCs w:val="14"/>
                  <w:color w:val="0000FF"/>
                </w:rPr>
                <w:t>19</w:t>
              </w:r>
            </w:hyperlink>
          </w:p>
        </w:tc>
      </w:tr>
      <w:tr>
        <w:trPr>
          <w:trHeight w:val="192"/>
        </w:trPr>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140" w:type="dxa"/>
            <w:vAlign w:val="bottom"/>
            <w:tcBorders>
              <w:top w:val="single" w:sz="8" w:color="0000FF"/>
            </w:tcBorders>
          </w:tcPr>
          <w:p>
            <w:pPr>
              <w:spacing w:after="0"/>
              <w:rPr>
                <w:sz w:val="16"/>
                <w:szCs w:val="16"/>
                <w:color w:val="auto"/>
              </w:rPr>
            </w:pPr>
          </w:p>
        </w:tc>
        <w:tc>
          <w:tcPr>
            <w:tcW w:w="320" w:type="dxa"/>
            <w:vAlign w:val="bottom"/>
            <w:tcBorders>
              <w:top w:val="single" w:sz="8" w:color="0000FF"/>
            </w:tcBorders>
          </w:tcPr>
          <w:p>
            <w:pPr>
              <w:spacing w:after="0"/>
              <w:rPr>
                <w:sz w:val="16"/>
                <w:szCs w:val="16"/>
                <w:color w:val="auto"/>
              </w:rPr>
            </w:pPr>
          </w:p>
        </w:tc>
        <w:tc>
          <w:tcPr>
            <w:tcW w:w="180" w:type="dxa"/>
            <w:vAlign w:val="bottom"/>
            <w:tcBorders>
              <w:top w:val="single" w:sz="8" w:color="0000FF"/>
            </w:tcBorders>
          </w:tcPr>
          <w:p>
            <w:pPr>
              <w:spacing w:after="0"/>
              <w:rPr>
                <w:sz w:val="16"/>
                <w:szCs w:val="16"/>
                <w:color w:val="auto"/>
              </w:rPr>
            </w:pPr>
          </w:p>
        </w:tc>
        <w:tc>
          <w:tcPr>
            <w:tcW w:w="14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660" w:type="dxa"/>
            <w:vAlign w:val="bottom"/>
            <w:gridSpan w:val="4"/>
          </w:tcPr>
          <w:p>
            <w:pPr>
              <w:jc w:val="center"/>
              <w:ind w:right="3020"/>
              <w:spacing w:after="0"/>
              <w:rPr>
                <w:sz w:val="20"/>
                <w:szCs w:val="20"/>
                <w:color w:val="auto"/>
              </w:rPr>
            </w:pPr>
            <w:r>
              <w:rPr>
                <w:rFonts w:ascii="Arial" w:cs="Arial" w:eastAsia="Arial" w:hAnsi="Arial"/>
                <w:sz w:val="14"/>
                <w:szCs w:val="14"/>
                <w:b w:val="1"/>
                <w:bCs w:val="1"/>
                <w:color w:val="auto"/>
              </w:rPr>
              <w:t>PART II</w:t>
            </w:r>
          </w:p>
        </w:tc>
        <w:tc>
          <w:tcPr>
            <w:tcW w:w="1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r>
      <w:tr>
        <w:trPr>
          <w:trHeight w:val="149"/>
        </w:trPr>
        <w:tc>
          <w:tcPr>
            <w:tcW w:w="20" w:type="dxa"/>
            <w:vAlign w:val="bottom"/>
          </w:tcPr>
          <w:p>
            <w:pPr>
              <w:spacing w:after="0"/>
              <w:rPr>
                <w:sz w:val="12"/>
                <w:szCs w:val="12"/>
                <w:color w:val="auto"/>
              </w:rPr>
            </w:pPr>
          </w:p>
        </w:tc>
        <w:tc>
          <w:tcPr>
            <w:tcW w:w="1120" w:type="dxa"/>
            <w:vAlign w:val="bottom"/>
            <w:gridSpan w:val="2"/>
          </w:tcPr>
          <w:p>
            <w:pPr>
              <w:spacing w:after="0" w:line="149" w:lineRule="exact"/>
              <w:rPr>
                <w:sz w:val="20"/>
                <w:szCs w:val="20"/>
                <w:color w:val="auto"/>
              </w:rPr>
            </w:pPr>
            <w:r>
              <w:rPr>
                <w:rFonts w:ascii="Arial" w:cs="Arial" w:eastAsia="Arial" w:hAnsi="Arial"/>
                <w:sz w:val="14"/>
                <w:szCs w:val="14"/>
                <w:color w:val="auto"/>
              </w:rPr>
              <w:t>Item 5.</w:t>
            </w:r>
          </w:p>
        </w:tc>
        <w:tc>
          <w:tcPr>
            <w:tcW w:w="260" w:type="dxa"/>
            <w:vAlign w:val="bottom"/>
          </w:tcPr>
          <w:p>
            <w:pPr>
              <w:spacing w:after="0"/>
              <w:rPr>
                <w:sz w:val="12"/>
                <w:szCs w:val="12"/>
                <w:color w:val="auto"/>
              </w:rPr>
            </w:pPr>
          </w:p>
        </w:tc>
        <w:tc>
          <w:tcPr>
            <w:tcW w:w="6360" w:type="dxa"/>
            <w:vAlign w:val="bottom"/>
            <w:gridSpan w:val="18"/>
          </w:tcPr>
          <w:p>
            <w:pPr>
              <w:spacing w:after="0" w:line="149" w:lineRule="exact"/>
              <w:rPr>
                <w:rFonts w:ascii="Arial" w:cs="Arial" w:eastAsia="Arial" w:hAnsi="Arial"/>
                <w:sz w:val="14"/>
                <w:szCs w:val="14"/>
                <w:color w:val="0000FF"/>
                <w:w w:val="91"/>
              </w:rPr>
            </w:pPr>
            <w:hyperlink w:anchor="page22">
              <w:r>
                <w:rPr>
                  <w:rFonts w:ascii="Arial" w:cs="Arial" w:eastAsia="Arial" w:hAnsi="Arial"/>
                  <w:sz w:val="14"/>
                  <w:szCs w:val="14"/>
                  <w:color w:val="0000FF"/>
                  <w:w w:val="91"/>
                </w:rPr>
                <w:t>Market for Registrant’s Common Equity, Related Stockholder Matters and Issuer Purchases of Equity Securities</w:t>
              </w:r>
            </w:hyperlink>
          </w:p>
        </w:tc>
        <w:tc>
          <w:tcPr>
            <w:tcW w:w="1600" w:type="dxa"/>
            <w:vAlign w:val="bottom"/>
          </w:tcPr>
          <w:p>
            <w:pPr>
              <w:spacing w:after="0"/>
              <w:rPr>
                <w:sz w:val="12"/>
                <w:szCs w:val="12"/>
                <w:color w:val="auto"/>
              </w:rPr>
            </w:pPr>
          </w:p>
        </w:tc>
        <w:tc>
          <w:tcPr>
            <w:tcW w:w="1900" w:type="dxa"/>
            <w:vAlign w:val="bottom"/>
            <w:gridSpan w:val="3"/>
          </w:tcPr>
          <w:p>
            <w:pPr>
              <w:jc w:val="right"/>
              <w:spacing w:after="0" w:line="149" w:lineRule="exact"/>
              <w:rPr>
                <w:rFonts w:ascii="Arial" w:cs="Arial" w:eastAsia="Arial" w:hAnsi="Arial"/>
                <w:sz w:val="14"/>
                <w:szCs w:val="14"/>
                <w:color w:val="0000FF"/>
              </w:rPr>
            </w:pPr>
            <w:hyperlink w:anchor="page22">
              <w:r>
                <w:rPr>
                  <w:rFonts w:ascii="Arial" w:cs="Arial" w:eastAsia="Arial" w:hAnsi="Arial"/>
                  <w:sz w:val="14"/>
                  <w:szCs w:val="14"/>
                  <w:color w:val="0000FF"/>
                </w:rPr>
                <w:t>20</w:t>
              </w:r>
            </w:hyperlink>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6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1120" w:type="dxa"/>
            <w:vAlign w:val="bottom"/>
            <w:gridSpan w:val="2"/>
          </w:tcPr>
          <w:p>
            <w:pPr>
              <w:spacing w:after="0"/>
              <w:rPr>
                <w:sz w:val="20"/>
                <w:szCs w:val="20"/>
                <w:color w:val="auto"/>
              </w:rPr>
            </w:pPr>
            <w:r>
              <w:rPr>
                <w:rFonts w:ascii="Arial" w:cs="Arial" w:eastAsia="Arial" w:hAnsi="Arial"/>
                <w:sz w:val="14"/>
                <w:szCs w:val="14"/>
                <w:color w:val="auto"/>
              </w:rPr>
              <w:t>Item 6.</w:t>
            </w:r>
          </w:p>
        </w:tc>
        <w:tc>
          <w:tcPr>
            <w:tcW w:w="260" w:type="dxa"/>
            <w:vAlign w:val="bottom"/>
          </w:tcPr>
          <w:p>
            <w:pPr>
              <w:spacing w:after="0"/>
              <w:rPr>
                <w:sz w:val="13"/>
                <w:szCs w:val="13"/>
                <w:color w:val="auto"/>
              </w:rPr>
            </w:pPr>
          </w:p>
        </w:tc>
        <w:tc>
          <w:tcPr>
            <w:tcW w:w="1360" w:type="dxa"/>
            <w:vAlign w:val="bottom"/>
            <w:gridSpan w:val="6"/>
          </w:tcPr>
          <w:p>
            <w:pPr>
              <w:spacing w:after="0"/>
              <w:rPr>
                <w:rFonts w:ascii="Arial" w:cs="Arial" w:eastAsia="Arial" w:hAnsi="Arial"/>
                <w:sz w:val="14"/>
                <w:szCs w:val="14"/>
                <w:color w:val="0000FF"/>
                <w:w w:val="90"/>
              </w:rPr>
            </w:pPr>
            <w:hyperlink w:anchor="page23">
              <w:r>
                <w:rPr>
                  <w:rFonts w:ascii="Arial" w:cs="Arial" w:eastAsia="Arial" w:hAnsi="Arial"/>
                  <w:sz w:val="14"/>
                  <w:szCs w:val="14"/>
                  <w:color w:val="0000FF"/>
                  <w:w w:val="90"/>
                </w:rPr>
                <w:t>Selected Financial Data</w:t>
              </w:r>
            </w:hyperlink>
          </w:p>
        </w:tc>
        <w:tc>
          <w:tcPr>
            <w:tcW w:w="5000" w:type="dxa"/>
            <w:vAlign w:val="bottom"/>
            <w:gridSpan w:val="12"/>
          </w:tcPr>
          <w:p>
            <w:pPr>
              <w:spacing w:after="0"/>
              <w:rPr>
                <w:sz w:val="13"/>
                <w:szCs w:val="13"/>
                <w:color w:val="auto"/>
              </w:rPr>
            </w:pPr>
          </w:p>
        </w:tc>
        <w:tc>
          <w:tcPr>
            <w:tcW w:w="1600" w:type="dxa"/>
            <w:vAlign w:val="bottom"/>
          </w:tcPr>
          <w:p>
            <w:pPr>
              <w:spacing w:after="0"/>
              <w:rPr>
                <w:sz w:val="13"/>
                <w:szCs w:val="13"/>
                <w:color w:val="auto"/>
              </w:rPr>
            </w:pPr>
          </w:p>
        </w:tc>
        <w:tc>
          <w:tcPr>
            <w:tcW w:w="1900" w:type="dxa"/>
            <w:vAlign w:val="bottom"/>
            <w:gridSpan w:val="3"/>
          </w:tcPr>
          <w:p>
            <w:pPr>
              <w:jc w:val="right"/>
              <w:spacing w:after="0"/>
              <w:rPr>
                <w:rFonts w:ascii="Arial" w:cs="Arial" w:eastAsia="Arial" w:hAnsi="Arial"/>
                <w:sz w:val="14"/>
                <w:szCs w:val="14"/>
                <w:color w:val="0000FF"/>
              </w:rPr>
            </w:pPr>
            <w:hyperlink w:anchor="page23">
              <w:r>
                <w:rPr>
                  <w:rFonts w:ascii="Arial" w:cs="Arial" w:eastAsia="Arial" w:hAnsi="Arial"/>
                  <w:sz w:val="14"/>
                  <w:szCs w:val="14"/>
                  <w:color w:val="0000FF"/>
                </w:rPr>
                <w:t>21</w:t>
              </w:r>
            </w:hyperlink>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gridSpan w:val="4"/>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1120" w:type="dxa"/>
            <w:vAlign w:val="bottom"/>
            <w:gridSpan w:val="2"/>
          </w:tcPr>
          <w:p>
            <w:pPr>
              <w:spacing w:after="0"/>
              <w:rPr>
                <w:sz w:val="20"/>
                <w:szCs w:val="20"/>
                <w:color w:val="auto"/>
              </w:rPr>
            </w:pPr>
            <w:r>
              <w:rPr>
                <w:rFonts w:ascii="Arial" w:cs="Arial" w:eastAsia="Arial" w:hAnsi="Arial"/>
                <w:sz w:val="14"/>
                <w:szCs w:val="14"/>
                <w:color w:val="auto"/>
              </w:rPr>
              <w:t>Item 7.</w:t>
            </w:r>
          </w:p>
        </w:tc>
        <w:tc>
          <w:tcPr>
            <w:tcW w:w="260" w:type="dxa"/>
            <w:vAlign w:val="bottom"/>
          </w:tcPr>
          <w:p>
            <w:pPr>
              <w:spacing w:after="0"/>
              <w:rPr>
                <w:sz w:val="13"/>
                <w:szCs w:val="13"/>
                <w:color w:val="auto"/>
              </w:rPr>
            </w:pPr>
          </w:p>
        </w:tc>
        <w:tc>
          <w:tcPr>
            <w:tcW w:w="7960" w:type="dxa"/>
            <w:vAlign w:val="bottom"/>
            <w:gridSpan w:val="19"/>
          </w:tcPr>
          <w:p>
            <w:pPr>
              <w:spacing w:after="0"/>
              <w:rPr>
                <w:rFonts w:ascii="Arial" w:cs="Arial" w:eastAsia="Arial" w:hAnsi="Arial"/>
                <w:sz w:val="14"/>
                <w:szCs w:val="14"/>
                <w:color w:val="0000FF"/>
              </w:rPr>
            </w:pPr>
            <w:hyperlink w:anchor="page23">
              <w:r>
                <w:rPr>
                  <w:rFonts w:ascii="Arial" w:cs="Arial" w:eastAsia="Arial" w:hAnsi="Arial"/>
                  <w:sz w:val="14"/>
                  <w:szCs w:val="14"/>
                  <w:color w:val="0000FF"/>
                </w:rPr>
                <w:t>Management’s Discussion and Analysis of Financial Condition and Results of Operations</w:t>
              </w:r>
            </w:hyperlink>
          </w:p>
        </w:tc>
        <w:tc>
          <w:tcPr>
            <w:tcW w:w="1900" w:type="dxa"/>
            <w:vAlign w:val="bottom"/>
            <w:gridSpan w:val="3"/>
          </w:tcPr>
          <w:p>
            <w:pPr>
              <w:jc w:val="right"/>
              <w:spacing w:after="0"/>
              <w:rPr>
                <w:rFonts w:ascii="Arial" w:cs="Arial" w:eastAsia="Arial" w:hAnsi="Arial"/>
                <w:sz w:val="14"/>
                <w:szCs w:val="14"/>
                <w:color w:val="0000FF"/>
              </w:rPr>
            </w:pPr>
            <w:hyperlink w:anchor="page23">
              <w:r>
                <w:rPr>
                  <w:rFonts w:ascii="Arial" w:cs="Arial" w:eastAsia="Arial" w:hAnsi="Arial"/>
                  <w:sz w:val="14"/>
                  <w:szCs w:val="14"/>
                  <w:color w:val="0000FF"/>
                </w:rPr>
                <w:t>22</w:t>
              </w:r>
            </w:hyperlink>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gridSpan w:val="4"/>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86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1120" w:type="dxa"/>
            <w:vAlign w:val="bottom"/>
            <w:gridSpan w:val="2"/>
          </w:tcPr>
          <w:p>
            <w:pPr>
              <w:spacing w:after="0"/>
              <w:rPr>
                <w:sz w:val="20"/>
                <w:szCs w:val="20"/>
                <w:color w:val="auto"/>
              </w:rPr>
            </w:pPr>
            <w:r>
              <w:rPr>
                <w:rFonts w:ascii="Arial" w:cs="Arial" w:eastAsia="Arial" w:hAnsi="Arial"/>
                <w:sz w:val="14"/>
                <w:szCs w:val="14"/>
                <w:color w:val="auto"/>
              </w:rPr>
              <w:t>Item 7A.</w:t>
            </w:r>
          </w:p>
        </w:tc>
        <w:tc>
          <w:tcPr>
            <w:tcW w:w="260" w:type="dxa"/>
            <w:vAlign w:val="bottom"/>
          </w:tcPr>
          <w:p>
            <w:pPr>
              <w:spacing w:after="0"/>
              <w:rPr>
                <w:sz w:val="13"/>
                <w:szCs w:val="13"/>
                <w:color w:val="auto"/>
              </w:rPr>
            </w:pPr>
          </w:p>
        </w:tc>
        <w:tc>
          <w:tcPr>
            <w:tcW w:w="3400" w:type="dxa"/>
            <w:vAlign w:val="bottom"/>
            <w:gridSpan w:val="13"/>
          </w:tcPr>
          <w:p>
            <w:pPr>
              <w:spacing w:after="0"/>
              <w:rPr>
                <w:rFonts w:ascii="Arial" w:cs="Arial" w:eastAsia="Arial" w:hAnsi="Arial"/>
                <w:sz w:val="14"/>
                <w:szCs w:val="14"/>
                <w:color w:val="0000FF"/>
                <w:w w:val="92"/>
              </w:rPr>
            </w:pPr>
            <w:hyperlink w:anchor="page40">
              <w:r>
                <w:rPr>
                  <w:rFonts w:ascii="Arial" w:cs="Arial" w:eastAsia="Arial" w:hAnsi="Arial"/>
                  <w:sz w:val="14"/>
                  <w:szCs w:val="14"/>
                  <w:color w:val="0000FF"/>
                  <w:w w:val="92"/>
                </w:rPr>
                <w:t>Quantitative and Qualitative Disclosures about Market Risk</w:t>
              </w:r>
            </w:hyperlink>
          </w:p>
        </w:tc>
        <w:tc>
          <w:tcPr>
            <w:tcW w:w="1680" w:type="dxa"/>
            <w:vAlign w:val="bottom"/>
            <w:gridSpan w:val="3"/>
          </w:tcPr>
          <w:p>
            <w:pPr>
              <w:spacing w:after="0"/>
              <w:rPr>
                <w:sz w:val="13"/>
                <w:szCs w:val="13"/>
                <w:color w:val="auto"/>
              </w:rPr>
            </w:pPr>
          </w:p>
        </w:tc>
        <w:tc>
          <w:tcPr>
            <w:tcW w:w="2880" w:type="dxa"/>
            <w:vAlign w:val="bottom"/>
            <w:gridSpan w:val="3"/>
          </w:tcPr>
          <w:p>
            <w:pPr>
              <w:spacing w:after="0"/>
              <w:rPr>
                <w:sz w:val="13"/>
                <w:szCs w:val="13"/>
                <w:color w:val="auto"/>
              </w:rPr>
            </w:pPr>
          </w:p>
        </w:tc>
        <w:tc>
          <w:tcPr>
            <w:tcW w:w="1900" w:type="dxa"/>
            <w:vAlign w:val="bottom"/>
            <w:gridSpan w:val="3"/>
          </w:tcPr>
          <w:p>
            <w:pPr>
              <w:jc w:val="right"/>
              <w:spacing w:after="0"/>
              <w:rPr>
                <w:rFonts w:ascii="Arial" w:cs="Arial" w:eastAsia="Arial" w:hAnsi="Arial"/>
                <w:sz w:val="14"/>
                <w:szCs w:val="14"/>
                <w:color w:val="0000FF"/>
              </w:rPr>
            </w:pPr>
            <w:hyperlink w:anchor="page40">
              <w:r>
                <w:rPr>
                  <w:rFonts w:ascii="Arial" w:cs="Arial" w:eastAsia="Arial" w:hAnsi="Arial"/>
                  <w:sz w:val="14"/>
                  <w:szCs w:val="14"/>
                  <w:color w:val="0000FF"/>
                </w:rPr>
                <w:t>38</w:t>
              </w:r>
            </w:hyperlink>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1120" w:type="dxa"/>
            <w:vAlign w:val="bottom"/>
            <w:gridSpan w:val="2"/>
          </w:tcPr>
          <w:p>
            <w:pPr>
              <w:spacing w:after="0"/>
              <w:rPr>
                <w:sz w:val="20"/>
                <w:szCs w:val="20"/>
                <w:color w:val="auto"/>
              </w:rPr>
            </w:pPr>
            <w:r>
              <w:rPr>
                <w:rFonts w:ascii="Arial" w:cs="Arial" w:eastAsia="Arial" w:hAnsi="Arial"/>
                <w:sz w:val="14"/>
                <w:szCs w:val="14"/>
                <w:color w:val="auto"/>
              </w:rPr>
              <w:t>Item 8.</w:t>
            </w:r>
          </w:p>
        </w:tc>
        <w:tc>
          <w:tcPr>
            <w:tcW w:w="260" w:type="dxa"/>
            <w:vAlign w:val="bottom"/>
          </w:tcPr>
          <w:p>
            <w:pPr>
              <w:spacing w:after="0"/>
              <w:rPr>
                <w:sz w:val="13"/>
                <w:szCs w:val="13"/>
                <w:color w:val="auto"/>
              </w:rPr>
            </w:pPr>
          </w:p>
        </w:tc>
        <w:tc>
          <w:tcPr>
            <w:tcW w:w="3400" w:type="dxa"/>
            <w:vAlign w:val="bottom"/>
            <w:gridSpan w:val="13"/>
          </w:tcPr>
          <w:p>
            <w:pPr>
              <w:spacing w:after="0"/>
              <w:rPr>
                <w:rFonts w:ascii="Arial" w:cs="Arial" w:eastAsia="Arial" w:hAnsi="Arial"/>
                <w:sz w:val="14"/>
                <w:szCs w:val="14"/>
                <w:color w:val="0000FF"/>
              </w:rPr>
            </w:pPr>
            <w:hyperlink w:anchor="page42">
              <w:r>
                <w:rPr>
                  <w:rFonts w:ascii="Arial" w:cs="Arial" w:eastAsia="Arial" w:hAnsi="Arial"/>
                  <w:sz w:val="14"/>
                  <w:szCs w:val="14"/>
                  <w:color w:val="0000FF"/>
                </w:rPr>
                <w:t>Financial Statements and Supplementary Data</w:t>
              </w:r>
            </w:hyperlink>
          </w:p>
        </w:tc>
        <w:tc>
          <w:tcPr>
            <w:tcW w:w="4560" w:type="dxa"/>
            <w:vAlign w:val="bottom"/>
            <w:gridSpan w:val="6"/>
          </w:tcPr>
          <w:p>
            <w:pPr>
              <w:spacing w:after="0"/>
              <w:rPr>
                <w:sz w:val="13"/>
                <w:szCs w:val="13"/>
                <w:color w:val="auto"/>
              </w:rPr>
            </w:pPr>
          </w:p>
        </w:tc>
        <w:tc>
          <w:tcPr>
            <w:tcW w:w="1900" w:type="dxa"/>
            <w:vAlign w:val="bottom"/>
            <w:gridSpan w:val="3"/>
          </w:tcPr>
          <w:p>
            <w:pPr>
              <w:jc w:val="right"/>
              <w:spacing w:after="0"/>
              <w:rPr>
                <w:rFonts w:ascii="Arial" w:cs="Arial" w:eastAsia="Arial" w:hAnsi="Arial"/>
                <w:sz w:val="14"/>
                <w:szCs w:val="14"/>
                <w:color w:val="0000FF"/>
              </w:rPr>
            </w:pPr>
            <w:hyperlink w:anchor="page42">
              <w:r>
                <w:rPr>
                  <w:rFonts w:ascii="Arial" w:cs="Arial" w:eastAsia="Arial" w:hAnsi="Arial"/>
                  <w:sz w:val="14"/>
                  <w:szCs w:val="14"/>
                  <w:color w:val="0000FF"/>
                </w:rPr>
                <w:t>41</w:t>
              </w:r>
            </w:hyperlink>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gridSpan w:val="4"/>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86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1120" w:type="dxa"/>
            <w:vAlign w:val="bottom"/>
            <w:gridSpan w:val="2"/>
          </w:tcPr>
          <w:p>
            <w:pPr>
              <w:spacing w:after="0"/>
              <w:rPr>
                <w:sz w:val="20"/>
                <w:szCs w:val="20"/>
                <w:color w:val="auto"/>
              </w:rPr>
            </w:pPr>
            <w:r>
              <w:rPr>
                <w:rFonts w:ascii="Arial" w:cs="Arial" w:eastAsia="Arial" w:hAnsi="Arial"/>
                <w:sz w:val="14"/>
                <w:szCs w:val="14"/>
                <w:color w:val="auto"/>
              </w:rPr>
              <w:t>Item 9.</w:t>
            </w:r>
          </w:p>
        </w:tc>
        <w:tc>
          <w:tcPr>
            <w:tcW w:w="260" w:type="dxa"/>
            <w:vAlign w:val="bottom"/>
          </w:tcPr>
          <w:p>
            <w:pPr>
              <w:spacing w:after="0"/>
              <w:rPr>
                <w:sz w:val="13"/>
                <w:szCs w:val="13"/>
                <w:color w:val="auto"/>
              </w:rPr>
            </w:pPr>
          </w:p>
        </w:tc>
        <w:tc>
          <w:tcPr>
            <w:tcW w:w="5080" w:type="dxa"/>
            <w:vAlign w:val="bottom"/>
            <w:gridSpan w:val="16"/>
          </w:tcPr>
          <w:p>
            <w:pPr>
              <w:spacing w:after="0"/>
              <w:rPr>
                <w:rFonts w:ascii="Arial" w:cs="Arial" w:eastAsia="Arial" w:hAnsi="Arial"/>
                <w:sz w:val="14"/>
                <w:szCs w:val="14"/>
                <w:color w:val="0000FF"/>
                <w:w w:val="90"/>
              </w:rPr>
            </w:pPr>
            <w:hyperlink w:anchor="page98">
              <w:r>
                <w:rPr>
                  <w:rFonts w:ascii="Arial" w:cs="Arial" w:eastAsia="Arial" w:hAnsi="Arial"/>
                  <w:sz w:val="14"/>
                  <w:szCs w:val="14"/>
                  <w:color w:val="0000FF"/>
                  <w:w w:val="90"/>
                </w:rPr>
                <w:t>Changes in and Disagreements with Accountants on Accounting and Financial Disclosure</w:t>
              </w:r>
            </w:hyperlink>
          </w:p>
        </w:tc>
        <w:tc>
          <w:tcPr>
            <w:tcW w:w="2880" w:type="dxa"/>
            <w:vAlign w:val="bottom"/>
            <w:gridSpan w:val="3"/>
          </w:tcPr>
          <w:p>
            <w:pPr>
              <w:spacing w:after="0"/>
              <w:rPr>
                <w:sz w:val="13"/>
                <w:szCs w:val="13"/>
                <w:color w:val="auto"/>
              </w:rPr>
            </w:pPr>
          </w:p>
        </w:tc>
        <w:tc>
          <w:tcPr>
            <w:tcW w:w="1900" w:type="dxa"/>
            <w:vAlign w:val="bottom"/>
            <w:gridSpan w:val="3"/>
          </w:tcPr>
          <w:p>
            <w:pPr>
              <w:jc w:val="right"/>
              <w:spacing w:after="0"/>
              <w:rPr>
                <w:rFonts w:ascii="Arial" w:cs="Arial" w:eastAsia="Arial" w:hAnsi="Arial"/>
                <w:sz w:val="14"/>
                <w:szCs w:val="14"/>
                <w:color w:val="0000FF"/>
              </w:rPr>
            </w:pPr>
            <w:hyperlink w:anchor="page98">
              <w:r>
                <w:rPr>
                  <w:rFonts w:ascii="Arial" w:cs="Arial" w:eastAsia="Arial" w:hAnsi="Arial"/>
                  <w:sz w:val="14"/>
                  <w:szCs w:val="14"/>
                  <w:color w:val="0000FF"/>
                </w:rPr>
                <w:t>95</w:t>
              </w:r>
            </w:hyperlink>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60" w:type="dxa"/>
            <w:vAlign w:val="bottom"/>
            <w:tcBorders>
              <w:left w:val="single" w:sz="8" w:color="0000FF"/>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1120" w:type="dxa"/>
            <w:vAlign w:val="bottom"/>
            <w:gridSpan w:val="2"/>
          </w:tcPr>
          <w:p>
            <w:pPr>
              <w:spacing w:after="0"/>
              <w:rPr>
                <w:sz w:val="20"/>
                <w:szCs w:val="20"/>
                <w:color w:val="auto"/>
              </w:rPr>
            </w:pPr>
            <w:r>
              <w:rPr>
                <w:rFonts w:ascii="Arial" w:cs="Arial" w:eastAsia="Arial" w:hAnsi="Arial"/>
                <w:sz w:val="14"/>
                <w:szCs w:val="14"/>
                <w:color w:val="auto"/>
              </w:rPr>
              <w:t>Item 9A.</w:t>
            </w:r>
          </w:p>
        </w:tc>
        <w:tc>
          <w:tcPr>
            <w:tcW w:w="260" w:type="dxa"/>
            <w:vAlign w:val="bottom"/>
          </w:tcPr>
          <w:p>
            <w:pPr>
              <w:spacing w:after="0"/>
              <w:rPr>
                <w:sz w:val="13"/>
                <w:szCs w:val="13"/>
                <w:color w:val="auto"/>
              </w:rPr>
            </w:pPr>
          </w:p>
        </w:tc>
        <w:tc>
          <w:tcPr>
            <w:tcW w:w="1400" w:type="dxa"/>
            <w:vAlign w:val="bottom"/>
            <w:gridSpan w:val="7"/>
          </w:tcPr>
          <w:p>
            <w:pPr>
              <w:spacing w:after="0"/>
              <w:rPr>
                <w:rFonts w:ascii="Arial" w:cs="Arial" w:eastAsia="Arial" w:hAnsi="Arial"/>
                <w:sz w:val="14"/>
                <w:szCs w:val="14"/>
                <w:color w:val="0000FF"/>
                <w:w w:val="87"/>
              </w:rPr>
            </w:pPr>
            <w:hyperlink w:anchor="page98">
              <w:r>
                <w:rPr>
                  <w:rFonts w:ascii="Arial" w:cs="Arial" w:eastAsia="Arial" w:hAnsi="Arial"/>
                  <w:sz w:val="14"/>
                  <w:szCs w:val="14"/>
                  <w:color w:val="0000FF"/>
                  <w:w w:val="87"/>
                </w:rPr>
                <w:t>Controls and Procedures</w:t>
              </w:r>
            </w:hyperlink>
          </w:p>
        </w:tc>
        <w:tc>
          <w:tcPr>
            <w:tcW w:w="3680" w:type="dxa"/>
            <w:vAlign w:val="bottom"/>
            <w:gridSpan w:val="9"/>
          </w:tcPr>
          <w:p>
            <w:pPr>
              <w:spacing w:after="0"/>
              <w:rPr>
                <w:sz w:val="13"/>
                <w:szCs w:val="13"/>
                <w:color w:val="auto"/>
              </w:rPr>
            </w:pPr>
          </w:p>
        </w:tc>
        <w:tc>
          <w:tcPr>
            <w:tcW w:w="2880" w:type="dxa"/>
            <w:vAlign w:val="bottom"/>
            <w:gridSpan w:val="3"/>
          </w:tcPr>
          <w:p>
            <w:pPr>
              <w:spacing w:after="0"/>
              <w:rPr>
                <w:sz w:val="13"/>
                <w:szCs w:val="13"/>
                <w:color w:val="auto"/>
              </w:rPr>
            </w:pPr>
          </w:p>
        </w:tc>
        <w:tc>
          <w:tcPr>
            <w:tcW w:w="1900" w:type="dxa"/>
            <w:vAlign w:val="bottom"/>
            <w:gridSpan w:val="3"/>
          </w:tcPr>
          <w:p>
            <w:pPr>
              <w:jc w:val="right"/>
              <w:spacing w:after="0"/>
              <w:rPr>
                <w:rFonts w:ascii="Arial" w:cs="Arial" w:eastAsia="Arial" w:hAnsi="Arial"/>
                <w:sz w:val="14"/>
                <w:szCs w:val="14"/>
                <w:color w:val="0000FF"/>
              </w:rPr>
            </w:pPr>
            <w:hyperlink w:anchor="page98">
              <w:r>
                <w:rPr>
                  <w:rFonts w:ascii="Arial" w:cs="Arial" w:eastAsia="Arial" w:hAnsi="Arial"/>
                  <w:sz w:val="14"/>
                  <w:szCs w:val="14"/>
                  <w:color w:val="0000FF"/>
                </w:rPr>
                <w:t>95</w:t>
              </w:r>
            </w:hyperlink>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gridSpan w:val="4"/>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1120" w:type="dxa"/>
            <w:vAlign w:val="bottom"/>
            <w:gridSpan w:val="2"/>
          </w:tcPr>
          <w:p>
            <w:pPr>
              <w:spacing w:after="0"/>
              <w:rPr>
                <w:sz w:val="20"/>
                <w:szCs w:val="20"/>
                <w:color w:val="auto"/>
              </w:rPr>
            </w:pPr>
            <w:r>
              <w:rPr>
                <w:rFonts w:ascii="Arial" w:cs="Arial" w:eastAsia="Arial" w:hAnsi="Arial"/>
                <w:sz w:val="14"/>
                <w:szCs w:val="14"/>
                <w:color w:val="auto"/>
              </w:rPr>
              <w:t>Item 9B.</w:t>
            </w:r>
          </w:p>
        </w:tc>
        <w:tc>
          <w:tcPr>
            <w:tcW w:w="260" w:type="dxa"/>
            <w:vAlign w:val="bottom"/>
          </w:tcPr>
          <w:p>
            <w:pPr>
              <w:spacing w:after="0"/>
              <w:rPr>
                <w:sz w:val="13"/>
                <w:szCs w:val="13"/>
                <w:color w:val="auto"/>
              </w:rPr>
            </w:pPr>
          </w:p>
        </w:tc>
        <w:tc>
          <w:tcPr>
            <w:tcW w:w="1400" w:type="dxa"/>
            <w:vAlign w:val="bottom"/>
            <w:gridSpan w:val="7"/>
          </w:tcPr>
          <w:p>
            <w:pPr>
              <w:spacing w:after="0"/>
              <w:rPr>
                <w:rFonts w:ascii="Arial" w:cs="Arial" w:eastAsia="Arial" w:hAnsi="Arial"/>
                <w:sz w:val="14"/>
                <w:szCs w:val="14"/>
                <w:color w:val="0000FF"/>
              </w:rPr>
            </w:pPr>
            <w:hyperlink w:anchor="page99">
              <w:r>
                <w:rPr>
                  <w:rFonts w:ascii="Arial" w:cs="Arial" w:eastAsia="Arial" w:hAnsi="Arial"/>
                  <w:sz w:val="14"/>
                  <w:szCs w:val="14"/>
                  <w:color w:val="0000FF"/>
                </w:rPr>
                <w:t>Other Information</w:t>
              </w:r>
            </w:hyperlink>
          </w:p>
        </w:tc>
        <w:tc>
          <w:tcPr>
            <w:tcW w:w="6560" w:type="dxa"/>
            <w:vAlign w:val="bottom"/>
            <w:gridSpan w:val="12"/>
          </w:tcPr>
          <w:p>
            <w:pPr>
              <w:spacing w:after="0"/>
              <w:rPr>
                <w:sz w:val="13"/>
                <w:szCs w:val="13"/>
                <w:color w:val="auto"/>
              </w:rPr>
            </w:pPr>
          </w:p>
        </w:tc>
        <w:tc>
          <w:tcPr>
            <w:tcW w:w="1900" w:type="dxa"/>
            <w:vAlign w:val="bottom"/>
            <w:gridSpan w:val="3"/>
          </w:tcPr>
          <w:p>
            <w:pPr>
              <w:jc w:val="right"/>
              <w:spacing w:after="0"/>
              <w:rPr>
                <w:rFonts w:ascii="Arial" w:cs="Arial" w:eastAsia="Arial" w:hAnsi="Arial"/>
                <w:sz w:val="14"/>
                <w:szCs w:val="14"/>
                <w:color w:val="0000FF"/>
              </w:rPr>
            </w:pPr>
            <w:hyperlink w:anchor="page99">
              <w:r>
                <w:rPr>
                  <w:rFonts w:ascii="Arial" w:cs="Arial" w:eastAsia="Arial" w:hAnsi="Arial"/>
                  <w:sz w:val="14"/>
                  <w:szCs w:val="14"/>
                  <w:color w:val="0000FF"/>
                </w:rPr>
                <w:t>97</w:t>
              </w:r>
            </w:hyperlink>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gridSpan w:val="4"/>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1120" w:type="dxa"/>
            <w:vAlign w:val="bottom"/>
            <w:gridSpan w:val="2"/>
          </w:tcPr>
          <w:p>
            <w:pPr>
              <w:spacing w:after="0"/>
              <w:rPr>
                <w:sz w:val="20"/>
                <w:szCs w:val="20"/>
                <w:color w:val="auto"/>
              </w:rPr>
            </w:pPr>
            <w:r>
              <w:rPr>
                <w:rFonts w:ascii="Arial" w:cs="Arial" w:eastAsia="Arial" w:hAnsi="Arial"/>
                <w:sz w:val="14"/>
                <w:szCs w:val="14"/>
                <w:color w:val="auto"/>
              </w:rPr>
              <w:t>Item 9C.</w:t>
            </w:r>
          </w:p>
        </w:tc>
        <w:tc>
          <w:tcPr>
            <w:tcW w:w="260" w:type="dxa"/>
            <w:vAlign w:val="bottom"/>
          </w:tcPr>
          <w:p>
            <w:pPr>
              <w:spacing w:after="0"/>
              <w:rPr>
                <w:sz w:val="13"/>
                <w:szCs w:val="13"/>
                <w:color w:val="auto"/>
              </w:rPr>
            </w:pPr>
          </w:p>
        </w:tc>
        <w:tc>
          <w:tcPr>
            <w:tcW w:w="7960" w:type="dxa"/>
            <w:vAlign w:val="bottom"/>
            <w:gridSpan w:val="19"/>
          </w:tcPr>
          <w:p>
            <w:pPr>
              <w:spacing w:after="0"/>
              <w:rPr>
                <w:rFonts w:ascii="Arial" w:cs="Arial" w:eastAsia="Arial" w:hAnsi="Arial"/>
                <w:sz w:val="14"/>
                <w:szCs w:val="14"/>
                <w:color w:val="0000FF"/>
              </w:rPr>
            </w:pPr>
            <w:hyperlink w:anchor="page100">
              <w:r>
                <w:rPr>
                  <w:rFonts w:ascii="Arial" w:cs="Arial" w:eastAsia="Arial" w:hAnsi="Arial"/>
                  <w:sz w:val="14"/>
                  <w:szCs w:val="14"/>
                  <w:color w:val="0000FF"/>
                </w:rPr>
                <w:t>Disclosure Regarding Foreign Jurisdictions that Prevent Inspections</w:t>
              </w:r>
            </w:hyperlink>
          </w:p>
        </w:tc>
        <w:tc>
          <w:tcPr>
            <w:tcW w:w="1900" w:type="dxa"/>
            <w:vAlign w:val="bottom"/>
            <w:gridSpan w:val="3"/>
          </w:tcPr>
          <w:p>
            <w:pPr>
              <w:jc w:val="right"/>
              <w:spacing w:after="0"/>
              <w:rPr>
                <w:rFonts w:ascii="Arial" w:cs="Arial" w:eastAsia="Arial" w:hAnsi="Arial"/>
                <w:sz w:val="14"/>
                <w:szCs w:val="14"/>
                <w:color w:val="0000FF"/>
              </w:rPr>
            </w:pPr>
            <w:hyperlink w:anchor="page100">
              <w:r>
                <w:rPr>
                  <w:rFonts w:ascii="Arial" w:cs="Arial" w:eastAsia="Arial" w:hAnsi="Arial"/>
                  <w:sz w:val="14"/>
                  <w:szCs w:val="14"/>
                  <w:color w:val="0000FF"/>
                </w:rPr>
                <w:t>97</w:t>
              </w:r>
            </w:hyperlink>
          </w:p>
        </w:tc>
      </w:tr>
      <w:tr>
        <w:trPr>
          <w:trHeight w:val="192"/>
        </w:trPr>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140" w:type="dxa"/>
            <w:vAlign w:val="bottom"/>
            <w:tcBorders>
              <w:top w:val="single" w:sz="8" w:color="0000FF"/>
            </w:tcBorders>
          </w:tcPr>
          <w:p>
            <w:pPr>
              <w:spacing w:after="0"/>
              <w:rPr>
                <w:sz w:val="16"/>
                <w:szCs w:val="16"/>
                <w:color w:val="auto"/>
              </w:rPr>
            </w:pPr>
          </w:p>
        </w:tc>
        <w:tc>
          <w:tcPr>
            <w:tcW w:w="320" w:type="dxa"/>
            <w:vAlign w:val="bottom"/>
            <w:tcBorders>
              <w:top w:val="single" w:sz="8" w:color="0000FF"/>
            </w:tcBorders>
          </w:tcPr>
          <w:p>
            <w:pPr>
              <w:spacing w:after="0"/>
              <w:rPr>
                <w:sz w:val="16"/>
                <w:szCs w:val="16"/>
                <w:color w:val="auto"/>
              </w:rPr>
            </w:pPr>
          </w:p>
        </w:tc>
        <w:tc>
          <w:tcPr>
            <w:tcW w:w="180" w:type="dxa"/>
            <w:vAlign w:val="bottom"/>
            <w:tcBorders>
              <w:top w:val="single" w:sz="8" w:color="0000FF"/>
            </w:tcBorders>
          </w:tcPr>
          <w:p>
            <w:pPr>
              <w:spacing w:after="0"/>
              <w:rPr>
                <w:sz w:val="16"/>
                <w:szCs w:val="16"/>
                <w:color w:val="auto"/>
              </w:rPr>
            </w:pPr>
          </w:p>
        </w:tc>
        <w:tc>
          <w:tcPr>
            <w:tcW w:w="14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220" w:type="dxa"/>
            <w:vAlign w:val="bottom"/>
            <w:tcBorders>
              <w:top w:val="single" w:sz="8" w:color="0000FF"/>
            </w:tcBorders>
          </w:tcPr>
          <w:p>
            <w:pPr>
              <w:spacing w:after="0"/>
              <w:rPr>
                <w:sz w:val="16"/>
                <w:szCs w:val="16"/>
                <w:color w:val="auto"/>
              </w:rPr>
            </w:pPr>
          </w:p>
        </w:tc>
        <w:tc>
          <w:tcPr>
            <w:tcW w:w="640" w:type="dxa"/>
            <w:vAlign w:val="bottom"/>
            <w:tcBorders>
              <w:top w:val="single" w:sz="8" w:color="0000FF"/>
            </w:tcBorders>
          </w:tcPr>
          <w:p>
            <w:pPr>
              <w:spacing w:after="0"/>
              <w:rPr>
                <w:sz w:val="16"/>
                <w:szCs w:val="16"/>
                <w:color w:val="auto"/>
              </w:rPr>
            </w:pPr>
          </w:p>
        </w:tc>
        <w:tc>
          <w:tcPr>
            <w:tcW w:w="240" w:type="dxa"/>
            <w:vAlign w:val="bottom"/>
            <w:tcBorders>
              <w:top w:val="single" w:sz="8" w:color="0000FF"/>
            </w:tcBorders>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600" w:type="dxa"/>
            <w:vAlign w:val="bottom"/>
            <w:tcBorders>
              <w:top w:val="single" w:sz="8" w:color="0000FF"/>
            </w:tcBorders>
          </w:tcPr>
          <w:p>
            <w:pPr>
              <w:spacing w:after="0"/>
              <w:rPr>
                <w:sz w:val="16"/>
                <w:szCs w:val="16"/>
                <w:color w:val="auto"/>
              </w:rPr>
            </w:pPr>
          </w:p>
        </w:tc>
        <w:tc>
          <w:tcPr>
            <w:tcW w:w="180" w:type="dxa"/>
            <w:vAlign w:val="bottom"/>
            <w:tcBorders>
              <w:top w:val="single" w:sz="8" w:color="0000FF"/>
            </w:tcBorders>
          </w:tcPr>
          <w:p>
            <w:pPr>
              <w:spacing w:after="0"/>
              <w:rPr>
                <w:sz w:val="16"/>
                <w:szCs w:val="16"/>
                <w:color w:val="auto"/>
              </w:rPr>
            </w:pPr>
          </w:p>
        </w:tc>
        <w:tc>
          <w:tcPr>
            <w:tcW w:w="460" w:type="dxa"/>
            <w:vAlign w:val="bottom"/>
            <w:tcBorders>
              <w:top w:val="single" w:sz="8" w:color="0000FF"/>
            </w:tcBorders>
          </w:tcPr>
          <w:p>
            <w:pPr>
              <w:spacing w:after="0"/>
              <w:rPr>
                <w:sz w:val="16"/>
                <w:szCs w:val="16"/>
                <w:color w:val="auto"/>
              </w:rPr>
            </w:pPr>
          </w:p>
        </w:tc>
        <w:tc>
          <w:tcPr>
            <w:tcW w:w="440" w:type="dxa"/>
            <w:vAlign w:val="bottom"/>
          </w:tcPr>
          <w:p>
            <w:pPr>
              <w:spacing w:after="0"/>
              <w:rPr>
                <w:sz w:val="16"/>
                <w:szCs w:val="16"/>
                <w:color w:val="auto"/>
              </w:rPr>
            </w:pPr>
          </w:p>
        </w:tc>
        <w:tc>
          <w:tcPr>
            <w:tcW w:w="3660" w:type="dxa"/>
            <w:vAlign w:val="bottom"/>
            <w:gridSpan w:val="4"/>
          </w:tcPr>
          <w:p>
            <w:pPr>
              <w:jc w:val="center"/>
              <w:ind w:right="3020"/>
              <w:spacing w:after="0"/>
              <w:rPr>
                <w:sz w:val="20"/>
                <w:szCs w:val="20"/>
                <w:color w:val="auto"/>
              </w:rPr>
            </w:pPr>
            <w:r>
              <w:rPr>
                <w:rFonts w:ascii="Arial" w:cs="Arial" w:eastAsia="Arial" w:hAnsi="Arial"/>
                <w:sz w:val="14"/>
                <w:szCs w:val="14"/>
                <w:b w:val="1"/>
                <w:bCs w:val="1"/>
                <w:color w:val="auto"/>
              </w:rPr>
              <w:t>PART III</w:t>
            </w:r>
          </w:p>
        </w:tc>
        <w:tc>
          <w:tcPr>
            <w:tcW w:w="1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r>
      <w:tr>
        <w:trPr>
          <w:trHeight w:val="149"/>
        </w:trPr>
        <w:tc>
          <w:tcPr>
            <w:tcW w:w="20" w:type="dxa"/>
            <w:vAlign w:val="bottom"/>
          </w:tcPr>
          <w:p>
            <w:pPr>
              <w:spacing w:after="0"/>
              <w:rPr>
                <w:sz w:val="12"/>
                <w:szCs w:val="12"/>
                <w:color w:val="auto"/>
              </w:rPr>
            </w:pPr>
          </w:p>
        </w:tc>
        <w:tc>
          <w:tcPr>
            <w:tcW w:w="1120" w:type="dxa"/>
            <w:vAlign w:val="bottom"/>
            <w:gridSpan w:val="2"/>
          </w:tcPr>
          <w:p>
            <w:pPr>
              <w:spacing w:after="0" w:line="149" w:lineRule="exact"/>
              <w:rPr>
                <w:sz w:val="20"/>
                <w:szCs w:val="20"/>
                <w:color w:val="auto"/>
              </w:rPr>
            </w:pPr>
            <w:r>
              <w:rPr>
                <w:rFonts w:ascii="Arial" w:cs="Arial" w:eastAsia="Arial" w:hAnsi="Arial"/>
                <w:sz w:val="14"/>
                <w:szCs w:val="14"/>
                <w:color w:val="auto"/>
              </w:rPr>
              <w:t>Item 10.</w:t>
            </w:r>
          </w:p>
        </w:tc>
        <w:tc>
          <w:tcPr>
            <w:tcW w:w="260" w:type="dxa"/>
            <w:vAlign w:val="bottom"/>
          </w:tcPr>
          <w:p>
            <w:pPr>
              <w:spacing w:after="0"/>
              <w:rPr>
                <w:sz w:val="12"/>
                <w:szCs w:val="12"/>
                <w:color w:val="auto"/>
              </w:rPr>
            </w:pPr>
          </w:p>
        </w:tc>
        <w:tc>
          <w:tcPr>
            <w:tcW w:w="7960" w:type="dxa"/>
            <w:vAlign w:val="bottom"/>
            <w:gridSpan w:val="19"/>
          </w:tcPr>
          <w:p>
            <w:pPr>
              <w:spacing w:after="0" w:line="149" w:lineRule="exact"/>
              <w:rPr>
                <w:rFonts w:ascii="Arial" w:cs="Arial" w:eastAsia="Arial" w:hAnsi="Arial"/>
                <w:sz w:val="14"/>
                <w:szCs w:val="14"/>
                <w:color w:val="0000FF"/>
              </w:rPr>
            </w:pPr>
            <w:hyperlink w:anchor="page100">
              <w:r>
                <w:rPr>
                  <w:rFonts w:ascii="Arial" w:cs="Arial" w:eastAsia="Arial" w:hAnsi="Arial"/>
                  <w:sz w:val="14"/>
                  <w:szCs w:val="14"/>
                  <w:color w:val="0000FF"/>
                </w:rPr>
                <w:t>Directors, Executive Officers and Corporate Governance</w:t>
              </w:r>
            </w:hyperlink>
          </w:p>
        </w:tc>
        <w:tc>
          <w:tcPr>
            <w:tcW w:w="1900" w:type="dxa"/>
            <w:vAlign w:val="bottom"/>
            <w:gridSpan w:val="3"/>
          </w:tcPr>
          <w:p>
            <w:pPr>
              <w:jc w:val="right"/>
              <w:spacing w:after="0" w:line="149" w:lineRule="exact"/>
              <w:rPr>
                <w:rFonts w:ascii="Arial" w:cs="Arial" w:eastAsia="Arial" w:hAnsi="Arial"/>
                <w:sz w:val="14"/>
                <w:szCs w:val="14"/>
                <w:color w:val="0000FF"/>
              </w:rPr>
            </w:pPr>
            <w:hyperlink w:anchor="page100">
              <w:r>
                <w:rPr>
                  <w:rFonts w:ascii="Arial" w:cs="Arial" w:eastAsia="Arial" w:hAnsi="Arial"/>
                  <w:sz w:val="14"/>
                  <w:szCs w:val="14"/>
                  <w:color w:val="0000FF"/>
                </w:rPr>
                <w:t>97</w:t>
              </w:r>
            </w:hyperlink>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gridSpan w:val="5"/>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86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1120" w:type="dxa"/>
            <w:vAlign w:val="bottom"/>
            <w:gridSpan w:val="2"/>
          </w:tcPr>
          <w:p>
            <w:pPr>
              <w:spacing w:after="0"/>
              <w:rPr>
                <w:sz w:val="20"/>
                <w:szCs w:val="20"/>
                <w:color w:val="auto"/>
              </w:rPr>
            </w:pPr>
            <w:r>
              <w:rPr>
                <w:rFonts w:ascii="Arial" w:cs="Arial" w:eastAsia="Arial" w:hAnsi="Arial"/>
                <w:sz w:val="14"/>
                <w:szCs w:val="14"/>
                <w:color w:val="auto"/>
              </w:rPr>
              <w:t>Item 11.</w:t>
            </w:r>
          </w:p>
        </w:tc>
        <w:tc>
          <w:tcPr>
            <w:tcW w:w="260" w:type="dxa"/>
            <w:vAlign w:val="bottom"/>
          </w:tcPr>
          <w:p>
            <w:pPr>
              <w:spacing w:after="0"/>
              <w:rPr>
                <w:sz w:val="13"/>
                <w:szCs w:val="13"/>
                <w:color w:val="auto"/>
              </w:rPr>
            </w:pPr>
          </w:p>
        </w:tc>
        <w:tc>
          <w:tcPr>
            <w:tcW w:w="3220" w:type="dxa"/>
            <w:vAlign w:val="bottom"/>
            <w:gridSpan w:val="12"/>
          </w:tcPr>
          <w:p>
            <w:pPr>
              <w:spacing w:after="0"/>
              <w:rPr>
                <w:rFonts w:ascii="Arial" w:cs="Arial" w:eastAsia="Arial" w:hAnsi="Arial"/>
                <w:sz w:val="14"/>
                <w:szCs w:val="14"/>
                <w:color w:val="0000FF"/>
              </w:rPr>
            </w:pPr>
            <w:hyperlink w:anchor="page100">
              <w:r>
                <w:rPr>
                  <w:rFonts w:ascii="Arial" w:cs="Arial" w:eastAsia="Arial" w:hAnsi="Arial"/>
                  <w:sz w:val="14"/>
                  <w:szCs w:val="14"/>
                  <w:color w:val="0000FF"/>
                </w:rPr>
                <w:t>Executive Compensation</w:t>
              </w:r>
            </w:hyperlink>
          </w:p>
        </w:tc>
        <w:tc>
          <w:tcPr>
            <w:tcW w:w="4740" w:type="dxa"/>
            <w:vAlign w:val="bottom"/>
            <w:gridSpan w:val="7"/>
          </w:tcPr>
          <w:p>
            <w:pPr>
              <w:spacing w:after="0"/>
              <w:rPr>
                <w:sz w:val="13"/>
                <w:szCs w:val="13"/>
                <w:color w:val="auto"/>
              </w:rPr>
            </w:pPr>
          </w:p>
        </w:tc>
        <w:tc>
          <w:tcPr>
            <w:tcW w:w="1900" w:type="dxa"/>
            <w:vAlign w:val="bottom"/>
            <w:gridSpan w:val="3"/>
          </w:tcPr>
          <w:p>
            <w:pPr>
              <w:jc w:val="right"/>
              <w:spacing w:after="0"/>
              <w:rPr>
                <w:rFonts w:ascii="Arial" w:cs="Arial" w:eastAsia="Arial" w:hAnsi="Arial"/>
                <w:sz w:val="14"/>
                <w:szCs w:val="14"/>
                <w:color w:val="0000FF"/>
              </w:rPr>
            </w:pPr>
            <w:hyperlink w:anchor="page100">
              <w:r>
                <w:rPr>
                  <w:rFonts w:ascii="Arial" w:cs="Arial" w:eastAsia="Arial" w:hAnsi="Arial"/>
                  <w:sz w:val="14"/>
                  <w:szCs w:val="14"/>
                  <w:color w:val="0000FF"/>
                </w:rPr>
                <w:t>97</w:t>
              </w:r>
            </w:hyperlink>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1120" w:type="dxa"/>
            <w:vAlign w:val="bottom"/>
            <w:gridSpan w:val="2"/>
          </w:tcPr>
          <w:p>
            <w:pPr>
              <w:spacing w:after="0"/>
              <w:rPr>
                <w:sz w:val="20"/>
                <w:szCs w:val="20"/>
                <w:color w:val="auto"/>
              </w:rPr>
            </w:pPr>
            <w:r>
              <w:rPr>
                <w:rFonts w:ascii="Arial" w:cs="Arial" w:eastAsia="Arial" w:hAnsi="Arial"/>
                <w:sz w:val="14"/>
                <w:szCs w:val="14"/>
                <w:color w:val="auto"/>
              </w:rPr>
              <w:t>Item 12.</w:t>
            </w:r>
          </w:p>
        </w:tc>
        <w:tc>
          <w:tcPr>
            <w:tcW w:w="260" w:type="dxa"/>
            <w:vAlign w:val="bottom"/>
          </w:tcPr>
          <w:p>
            <w:pPr>
              <w:spacing w:after="0"/>
              <w:rPr>
                <w:sz w:val="13"/>
                <w:szCs w:val="13"/>
                <w:color w:val="auto"/>
              </w:rPr>
            </w:pPr>
          </w:p>
        </w:tc>
        <w:tc>
          <w:tcPr>
            <w:tcW w:w="5740" w:type="dxa"/>
            <w:vAlign w:val="bottom"/>
            <w:gridSpan w:val="17"/>
          </w:tcPr>
          <w:p>
            <w:pPr>
              <w:spacing w:after="0"/>
              <w:rPr>
                <w:rFonts w:ascii="Arial" w:cs="Arial" w:eastAsia="Arial" w:hAnsi="Arial"/>
                <w:sz w:val="14"/>
                <w:szCs w:val="14"/>
                <w:color w:val="0000FF"/>
                <w:w w:val="91"/>
              </w:rPr>
            </w:pPr>
            <w:hyperlink w:anchor="page100">
              <w:r>
                <w:rPr>
                  <w:rFonts w:ascii="Arial" w:cs="Arial" w:eastAsia="Arial" w:hAnsi="Arial"/>
                  <w:sz w:val="14"/>
                  <w:szCs w:val="14"/>
                  <w:color w:val="0000FF"/>
                  <w:w w:val="91"/>
                </w:rPr>
                <w:t>Security Ownership of Certain Beneficial Owners and Management and Related Stockholder Matters</w:t>
              </w:r>
            </w:hyperlink>
          </w:p>
        </w:tc>
        <w:tc>
          <w:tcPr>
            <w:tcW w:w="2220" w:type="dxa"/>
            <w:vAlign w:val="bottom"/>
            <w:gridSpan w:val="2"/>
          </w:tcPr>
          <w:p>
            <w:pPr>
              <w:spacing w:after="0"/>
              <w:rPr>
                <w:sz w:val="13"/>
                <w:szCs w:val="13"/>
                <w:color w:val="auto"/>
              </w:rPr>
            </w:pPr>
          </w:p>
        </w:tc>
        <w:tc>
          <w:tcPr>
            <w:tcW w:w="1900" w:type="dxa"/>
            <w:vAlign w:val="bottom"/>
            <w:gridSpan w:val="3"/>
          </w:tcPr>
          <w:p>
            <w:pPr>
              <w:jc w:val="right"/>
              <w:spacing w:after="0"/>
              <w:rPr>
                <w:rFonts w:ascii="Arial" w:cs="Arial" w:eastAsia="Arial" w:hAnsi="Arial"/>
                <w:sz w:val="14"/>
                <w:szCs w:val="14"/>
                <w:color w:val="0000FF"/>
              </w:rPr>
            </w:pPr>
            <w:hyperlink w:anchor="page100">
              <w:r>
                <w:rPr>
                  <w:rFonts w:ascii="Arial" w:cs="Arial" w:eastAsia="Arial" w:hAnsi="Arial"/>
                  <w:sz w:val="14"/>
                  <w:szCs w:val="14"/>
                  <w:color w:val="0000FF"/>
                </w:rPr>
                <w:t>97</w:t>
              </w:r>
            </w:hyperlink>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gridSpan w:val="5"/>
            <w:shd w:val="clear" w:color="auto" w:fill="0000FF"/>
          </w:tcPr>
          <w:p>
            <w:pPr>
              <w:spacing w:after="0" w:line="20" w:lineRule="exact"/>
              <w:rPr>
                <w:sz w:val="1"/>
                <w:szCs w:val="1"/>
                <w:color w:val="auto"/>
              </w:rPr>
            </w:pPr>
          </w:p>
        </w:tc>
        <w:tc>
          <w:tcPr>
            <w:tcW w:w="1040" w:type="dxa"/>
            <w:vAlign w:val="bottom"/>
            <w:gridSpan w:val="4"/>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0" w:type="dxa"/>
            <w:vAlign w:val="bottom"/>
            <w:gridSpan w:val="5"/>
            <w:shd w:val="clear" w:color="auto" w:fill="0000FF"/>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1120" w:type="dxa"/>
            <w:vAlign w:val="bottom"/>
            <w:gridSpan w:val="2"/>
          </w:tcPr>
          <w:p>
            <w:pPr>
              <w:spacing w:after="0"/>
              <w:rPr>
                <w:sz w:val="20"/>
                <w:szCs w:val="20"/>
                <w:color w:val="auto"/>
              </w:rPr>
            </w:pPr>
            <w:r>
              <w:rPr>
                <w:rFonts w:ascii="Arial" w:cs="Arial" w:eastAsia="Arial" w:hAnsi="Arial"/>
                <w:sz w:val="14"/>
                <w:szCs w:val="14"/>
                <w:color w:val="auto"/>
              </w:rPr>
              <w:t>Item 13.</w:t>
            </w:r>
          </w:p>
        </w:tc>
        <w:tc>
          <w:tcPr>
            <w:tcW w:w="260" w:type="dxa"/>
            <w:vAlign w:val="bottom"/>
          </w:tcPr>
          <w:p>
            <w:pPr>
              <w:spacing w:after="0"/>
              <w:rPr>
                <w:sz w:val="13"/>
                <w:szCs w:val="13"/>
                <w:color w:val="auto"/>
              </w:rPr>
            </w:pPr>
          </w:p>
        </w:tc>
        <w:tc>
          <w:tcPr>
            <w:tcW w:w="4300" w:type="dxa"/>
            <w:vAlign w:val="bottom"/>
            <w:gridSpan w:val="15"/>
          </w:tcPr>
          <w:p>
            <w:pPr>
              <w:spacing w:after="0"/>
              <w:rPr>
                <w:rFonts w:ascii="Arial" w:cs="Arial" w:eastAsia="Arial" w:hAnsi="Arial"/>
                <w:sz w:val="14"/>
                <w:szCs w:val="14"/>
                <w:color w:val="0000FF"/>
                <w:w w:val="90"/>
              </w:rPr>
            </w:pPr>
            <w:hyperlink w:anchor="page100">
              <w:r>
                <w:rPr>
                  <w:rFonts w:ascii="Arial" w:cs="Arial" w:eastAsia="Arial" w:hAnsi="Arial"/>
                  <w:sz w:val="14"/>
                  <w:szCs w:val="14"/>
                  <w:color w:val="0000FF"/>
                  <w:w w:val="90"/>
                </w:rPr>
                <w:t>Certain Relationships and Related Transactions, and Director Independence</w:t>
              </w:r>
            </w:hyperlink>
          </w:p>
        </w:tc>
        <w:tc>
          <w:tcPr>
            <w:tcW w:w="1440" w:type="dxa"/>
            <w:vAlign w:val="bottom"/>
            <w:gridSpan w:val="2"/>
          </w:tcPr>
          <w:p>
            <w:pPr>
              <w:spacing w:after="0"/>
              <w:rPr>
                <w:sz w:val="13"/>
                <w:szCs w:val="13"/>
                <w:color w:val="auto"/>
              </w:rPr>
            </w:pPr>
          </w:p>
        </w:tc>
        <w:tc>
          <w:tcPr>
            <w:tcW w:w="2220" w:type="dxa"/>
            <w:vAlign w:val="bottom"/>
            <w:gridSpan w:val="2"/>
          </w:tcPr>
          <w:p>
            <w:pPr>
              <w:spacing w:after="0"/>
              <w:rPr>
                <w:sz w:val="13"/>
                <w:szCs w:val="13"/>
                <w:color w:val="auto"/>
              </w:rPr>
            </w:pPr>
          </w:p>
        </w:tc>
        <w:tc>
          <w:tcPr>
            <w:tcW w:w="1900" w:type="dxa"/>
            <w:vAlign w:val="bottom"/>
            <w:gridSpan w:val="3"/>
          </w:tcPr>
          <w:p>
            <w:pPr>
              <w:jc w:val="right"/>
              <w:spacing w:after="0"/>
              <w:rPr>
                <w:rFonts w:ascii="Arial" w:cs="Arial" w:eastAsia="Arial" w:hAnsi="Arial"/>
                <w:sz w:val="14"/>
                <w:szCs w:val="14"/>
                <w:color w:val="0000FF"/>
              </w:rPr>
            </w:pPr>
            <w:hyperlink w:anchor="page100">
              <w:r>
                <w:rPr>
                  <w:rFonts w:ascii="Arial" w:cs="Arial" w:eastAsia="Arial" w:hAnsi="Arial"/>
                  <w:sz w:val="14"/>
                  <w:szCs w:val="14"/>
                  <w:color w:val="0000FF"/>
                </w:rPr>
                <w:t>97</w:t>
              </w:r>
            </w:hyperlink>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gridSpan w:val="5"/>
            <w:shd w:val="clear" w:color="auto" w:fill="0000FF"/>
          </w:tcPr>
          <w:p>
            <w:pPr>
              <w:spacing w:after="0" w:line="20" w:lineRule="exact"/>
              <w:rPr>
                <w:sz w:val="1"/>
                <w:szCs w:val="1"/>
                <w:color w:val="auto"/>
              </w:rPr>
            </w:pPr>
          </w:p>
        </w:tc>
        <w:tc>
          <w:tcPr>
            <w:tcW w:w="1040" w:type="dxa"/>
            <w:vAlign w:val="bottom"/>
            <w:gridSpan w:val="4"/>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0" w:type="dxa"/>
            <w:vAlign w:val="bottom"/>
            <w:gridSpan w:val="5"/>
            <w:shd w:val="clear" w:color="auto" w:fill="0000FF"/>
          </w:tcPr>
          <w:p>
            <w:pPr>
              <w:spacing w:after="0" w:line="20" w:lineRule="exact"/>
              <w:rPr>
                <w:sz w:val="1"/>
                <w:szCs w:val="1"/>
                <w:color w:val="auto"/>
              </w:rPr>
            </w:pPr>
          </w:p>
        </w:tc>
        <w:tc>
          <w:tcPr>
            <w:tcW w:w="3660" w:type="dxa"/>
            <w:vAlign w:val="bottom"/>
            <w:gridSpan w:val="4"/>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1120" w:type="dxa"/>
            <w:vAlign w:val="bottom"/>
            <w:gridSpan w:val="2"/>
          </w:tcPr>
          <w:p>
            <w:pPr>
              <w:spacing w:after="0"/>
              <w:rPr>
                <w:sz w:val="20"/>
                <w:szCs w:val="20"/>
                <w:color w:val="auto"/>
              </w:rPr>
            </w:pPr>
            <w:r>
              <w:rPr>
                <w:rFonts w:ascii="Arial" w:cs="Arial" w:eastAsia="Arial" w:hAnsi="Arial"/>
                <w:sz w:val="14"/>
                <w:szCs w:val="14"/>
                <w:color w:val="auto"/>
              </w:rPr>
              <w:t>Item 14.</w:t>
            </w:r>
          </w:p>
        </w:tc>
        <w:tc>
          <w:tcPr>
            <w:tcW w:w="260" w:type="dxa"/>
            <w:vAlign w:val="bottom"/>
          </w:tcPr>
          <w:p>
            <w:pPr>
              <w:spacing w:after="0"/>
              <w:rPr>
                <w:sz w:val="13"/>
                <w:szCs w:val="13"/>
                <w:color w:val="auto"/>
              </w:rPr>
            </w:pPr>
          </w:p>
        </w:tc>
        <w:tc>
          <w:tcPr>
            <w:tcW w:w="4300" w:type="dxa"/>
            <w:vAlign w:val="bottom"/>
            <w:gridSpan w:val="15"/>
          </w:tcPr>
          <w:p>
            <w:pPr>
              <w:spacing w:after="0"/>
              <w:rPr>
                <w:rFonts w:ascii="Arial" w:cs="Arial" w:eastAsia="Arial" w:hAnsi="Arial"/>
                <w:sz w:val="14"/>
                <w:szCs w:val="14"/>
                <w:color w:val="0000FF"/>
              </w:rPr>
            </w:pPr>
            <w:hyperlink w:anchor="page100">
              <w:r>
                <w:rPr>
                  <w:rFonts w:ascii="Arial" w:cs="Arial" w:eastAsia="Arial" w:hAnsi="Arial"/>
                  <w:sz w:val="14"/>
                  <w:szCs w:val="14"/>
                  <w:color w:val="0000FF"/>
                </w:rPr>
                <w:t>Principal Accountant Fees and Services</w:t>
              </w:r>
            </w:hyperlink>
          </w:p>
        </w:tc>
        <w:tc>
          <w:tcPr>
            <w:tcW w:w="3660" w:type="dxa"/>
            <w:vAlign w:val="bottom"/>
            <w:gridSpan w:val="4"/>
          </w:tcPr>
          <w:p>
            <w:pPr>
              <w:spacing w:after="0"/>
              <w:rPr>
                <w:sz w:val="13"/>
                <w:szCs w:val="13"/>
                <w:color w:val="auto"/>
              </w:rPr>
            </w:pPr>
          </w:p>
        </w:tc>
        <w:tc>
          <w:tcPr>
            <w:tcW w:w="1900" w:type="dxa"/>
            <w:vAlign w:val="bottom"/>
            <w:gridSpan w:val="3"/>
          </w:tcPr>
          <w:p>
            <w:pPr>
              <w:jc w:val="right"/>
              <w:spacing w:after="0"/>
              <w:rPr>
                <w:rFonts w:ascii="Arial" w:cs="Arial" w:eastAsia="Arial" w:hAnsi="Arial"/>
                <w:sz w:val="14"/>
                <w:szCs w:val="14"/>
                <w:color w:val="0000FF"/>
              </w:rPr>
            </w:pPr>
            <w:hyperlink w:anchor="page100">
              <w:r>
                <w:rPr>
                  <w:rFonts w:ascii="Arial" w:cs="Arial" w:eastAsia="Arial" w:hAnsi="Arial"/>
                  <w:sz w:val="14"/>
                  <w:szCs w:val="14"/>
                  <w:color w:val="0000FF"/>
                </w:rPr>
                <w:t>97</w:t>
              </w:r>
            </w:hyperlink>
          </w:p>
        </w:tc>
      </w:tr>
      <w:tr>
        <w:trPr>
          <w:trHeight w:val="192"/>
        </w:trPr>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140" w:type="dxa"/>
            <w:vAlign w:val="bottom"/>
            <w:tcBorders>
              <w:top w:val="single" w:sz="8" w:color="0000FF"/>
            </w:tcBorders>
          </w:tcPr>
          <w:p>
            <w:pPr>
              <w:spacing w:after="0"/>
              <w:rPr>
                <w:sz w:val="16"/>
                <w:szCs w:val="16"/>
                <w:color w:val="auto"/>
              </w:rPr>
            </w:pPr>
          </w:p>
        </w:tc>
        <w:tc>
          <w:tcPr>
            <w:tcW w:w="320" w:type="dxa"/>
            <w:vAlign w:val="bottom"/>
            <w:tcBorders>
              <w:top w:val="single" w:sz="8" w:color="0000FF"/>
            </w:tcBorders>
          </w:tcPr>
          <w:p>
            <w:pPr>
              <w:spacing w:after="0"/>
              <w:rPr>
                <w:sz w:val="16"/>
                <w:szCs w:val="16"/>
                <w:color w:val="auto"/>
              </w:rPr>
            </w:pPr>
          </w:p>
        </w:tc>
        <w:tc>
          <w:tcPr>
            <w:tcW w:w="180" w:type="dxa"/>
            <w:vAlign w:val="bottom"/>
            <w:tcBorders>
              <w:top w:val="single" w:sz="8" w:color="0000FF"/>
            </w:tcBorders>
          </w:tcPr>
          <w:p>
            <w:pPr>
              <w:spacing w:after="0"/>
              <w:rPr>
                <w:sz w:val="16"/>
                <w:szCs w:val="16"/>
                <w:color w:val="auto"/>
              </w:rPr>
            </w:pPr>
          </w:p>
        </w:tc>
        <w:tc>
          <w:tcPr>
            <w:tcW w:w="14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220" w:type="dxa"/>
            <w:vAlign w:val="bottom"/>
            <w:tcBorders>
              <w:top w:val="single" w:sz="8" w:color="0000FF"/>
            </w:tcBorders>
          </w:tcPr>
          <w:p>
            <w:pPr>
              <w:spacing w:after="0"/>
              <w:rPr>
                <w:sz w:val="16"/>
                <w:szCs w:val="16"/>
                <w:color w:val="auto"/>
              </w:rPr>
            </w:pPr>
          </w:p>
        </w:tc>
        <w:tc>
          <w:tcPr>
            <w:tcW w:w="640" w:type="dxa"/>
            <w:vAlign w:val="bottom"/>
            <w:tcBorders>
              <w:top w:val="single" w:sz="8" w:color="0000FF"/>
            </w:tcBorders>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660" w:type="dxa"/>
            <w:vAlign w:val="bottom"/>
            <w:gridSpan w:val="4"/>
          </w:tcPr>
          <w:p>
            <w:pPr>
              <w:jc w:val="center"/>
              <w:ind w:right="3020"/>
              <w:spacing w:after="0"/>
              <w:rPr>
                <w:sz w:val="20"/>
                <w:szCs w:val="20"/>
                <w:color w:val="auto"/>
              </w:rPr>
            </w:pPr>
            <w:r>
              <w:rPr>
                <w:rFonts w:ascii="Arial" w:cs="Arial" w:eastAsia="Arial" w:hAnsi="Arial"/>
                <w:sz w:val="14"/>
                <w:szCs w:val="14"/>
                <w:b w:val="1"/>
                <w:bCs w:val="1"/>
                <w:color w:val="auto"/>
              </w:rPr>
              <w:t>PART IV</w:t>
            </w:r>
          </w:p>
        </w:tc>
        <w:tc>
          <w:tcPr>
            <w:tcW w:w="1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r>
      <w:tr>
        <w:trPr>
          <w:trHeight w:val="149"/>
        </w:trPr>
        <w:tc>
          <w:tcPr>
            <w:tcW w:w="20" w:type="dxa"/>
            <w:vAlign w:val="bottom"/>
          </w:tcPr>
          <w:p>
            <w:pPr>
              <w:spacing w:after="0"/>
              <w:rPr>
                <w:sz w:val="12"/>
                <w:szCs w:val="12"/>
                <w:color w:val="auto"/>
              </w:rPr>
            </w:pPr>
          </w:p>
        </w:tc>
        <w:tc>
          <w:tcPr>
            <w:tcW w:w="1120" w:type="dxa"/>
            <w:vAlign w:val="bottom"/>
            <w:gridSpan w:val="2"/>
          </w:tcPr>
          <w:p>
            <w:pPr>
              <w:spacing w:after="0" w:line="149" w:lineRule="exact"/>
              <w:rPr>
                <w:sz w:val="20"/>
                <w:szCs w:val="20"/>
                <w:color w:val="auto"/>
              </w:rPr>
            </w:pPr>
            <w:r>
              <w:rPr>
                <w:rFonts w:ascii="Arial" w:cs="Arial" w:eastAsia="Arial" w:hAnsi="Arial"/>
                <w:sz w:val="14"/>
                <w:szCs w:val="14"/>
                <w:color w:val="auto"/>
              </w:rPr>
              <w:t>Item 15.</w:t>
            </w:r>
          </w:p>
        </w:tc>
        <w:tc>
          <w:tcPr>
            <w:tcW w:w="260" w:type="dxa"/>
            <w:vAlign w:val="bottom"/>
          </w:tcPr>
          <w:p>
            <w:pPr>
              <w:spacing w:after="0"/>
              <w:rPr>
                <w:sz w:val="12"/>
                <w:szCs w:val="12"/>
                <w:color w:val="auto"/>
              </w:rPr>
            </w:pPr>
          </w:p>
        </w:tc>
        <w:tc>
          <w:tcPr>
            <w:tcW w:w="2500" w:type="dxa"/>
            <w:vAlign w:val="bottom"/>
            <w:gridSpan w:val="10"/>
          </w:tcPr>
          <w:p>
            <w:pPr>
              <w:spacing w:after="0" w:line="149" w:lineRule="exact"/>
              <w:rPr>
                <w:rFonts w:ascii="Arial" w:cs="Arial" w:eastAsia="Arial" w:hAnsi="Arial"/>
                <w:sz w:val="14"/>
                <w:szCs w:val="14"/>
                <w:color w:val="0000FF"/>
                <w:w w:val="90"/>
              </w:rPr>
            </w:pPr>
            <w:hyperlink w:anchor="page102">
              <w:r>
                <w:rPr>
                  <w:rFonts w:ascii="Arial" w:cs="Arial" w:eastAsia="Arial" w:hAnsi="Arial"/>
                  <w:sz w:val="14"/>
                  <w:szCs w:val="14"/>
                  <w:color w:val="0000FF"/>
                  <w:w w:val="90"/>
                </w:rPr>
                <w:t>Exhibits and Financial Statement Schedules</w:t>
              </w:r>
            </w:hyperlink>
          </w:p>
        </w:tc>
        <w:tc>
          <w:tcPr>
            <w:tcW w:w="5460" w:type="dxa"/>
            <w:vAlign w:val="bottom"/>
            <w:gridSpan w:val="9"/>
          </w:tcPr>
          <w:p>
            <w:pPr>
              <w:spacing w:after="0"/>
              <w:rPr>
                <w:sz w:val="12"/>
                <w:szCs w:val="12"/>
                <w:color w:val="auto"/>
              </w:rPr>
            </w:pPr>
          </w:p>
        </w:tc>
        <w:tc>
          <w:tcPr>
            <w:tcW w:w="1900" w:type="dxa"/>
            <w:vAlign w:val="bottom"/>
            <w:gridSpan w:val="3"/>
          </w:tcPr>
          <w:p>
            <w:pPr>
              <w:jc w:val="right"/>
              <w:spacing w:after="0" w:line="149" w:lineRule="exact"/>
              <w:rPr>
                <w:rFonts w:ascii="Arial" w:cs="Arial" w:eastAsia="Arial" w:hAnsi="Arial"/>
                <w:sz w:val="14"/>
                <w:szCs w:val="14"/>
                <w:color w:val="0000FF"/>
              </w:rPr>
            </w:pPr>
            <w:hyperlink w:anchor="page102">
              <w:r>
                <w:rPr>
                  <w:rFonts w:ascii="Arial" w:cs="Arial" w:eastAsia="Arial" w:hAnsi="Arial"/>
                  <w:sz w:val="14"/>
                  <w:szCs w:val="14"/>
                  <w:color w:val="0000FF"/>
                </w:rPr>
                <w:t>99</w:t>
              </w:r>
            </w:hyperlink>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gridSpan w:val="5"/>
            <w:shd w:val="clear" w:color="auto" w:fill="0000FF"/>
          </w:tcPr>
          <w:p>
            <w:pPr>
              <w:spacing w:after="0" w:line="20" w:lineRule="exact"/>
              <w:rPr>
                <w:sz w:val="1"/>
                <w:szCs w:val="1"/>
                <w:color w:val="auto"/>
              </w:rPr>
            </w:pPr>
          </w:p>
        </w:tc>
        <w:tc>
          <w:tcPr>
            <w:tcW w:w="1280" w:type="dxa"/>
            <w:vAlign w:val="bottom"/>
            <w:gridSpan w:val="5"/>
            <w:shd w:val="clear" w:color="auto" w:fill="0000FF"/>
          </w:tcPr>
          <w:p>
            <w:pPr>
              <w:spacing w:after="0" w:line="20" w:lineRule="exact"/>
              <w:rPr>
                <w:sz w:val="1"/>
                <w:szCs w:val="1"/>
                <w:color w:val="auto"/>
              </w:rPr>
            </w:pPr>
          </w:p>
        </w:tc>
        <w:tc>
          <w:tcPr>
            <w:tcW w:w="5460" w:type="dxa"/>
            <w:vAlign w:val="bottom"/>
            <w:gridSpan w:val="9"/>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1120" w:type="dxa"/>
            <w:vAlign w:val="bottom"/>
            <w:gridSpan w:val="2"/>
          </w:tcPr>
          <w:p>
            <w:pPr>
              <w:spacing w:after="0"/>
              <w:rPr>
                <w:sz w:val="20"/>
                <w:szCs w:val="20"/>
                <w:color w:val="auto"/>
              </w:rPr>
            </w:pPr>
            <w:r>
              <w:rPr>
                <w:rFonts w:ascii="Arial" w:cs="Arial" w:eastAsia="Arial" w:hAnsi="Arial"/>
                <w:sz w:val="14"/>
                <w:szCs w:val="14"/>
                <w:color w:val="auto"/>
              </w:rPr>
              <w:t>Item 16.</w:t>
            </w:r>
          </w:p>
        </w:tc>
        <w:tc>
          <w:tcPr>
            <w:tcW w:w="260" w:type="dxa"/>
            <w:vAlign w:val="bottom"/>
          </w:tcPr>
          <w:p>
            <w:pPr>
              <w:spacing w:after="0"/>
              <w:rPr>
                <w:sz w:val="13"/>
                <w:szCs w:val="13"/>
                <w:color w:val="auto"/>
              </w:rPr>
            </w:pPr>
          </w:p>
        </w:tc>
        <w:tc>
          <w:tcPr>
            <w:tcW w:w="2500" w:type="dxa"/>
            <w:vAlign w:val="bottom"/>
            <w:gridSpan w:val="10"/>
          </w:tcPr>
          <w:p>
            <w:pPr>
              <w:spacing w:after="0"/>
              <w:rPr>
                <w:rFonts w:ascii="Arial" w:cs="Arial" w:eastAsia="Arial" w:hAnsi="Arial"/>
                <w:sz w:val="14"/>
                <w:szCs w:val="14"/>
                <w:color w:val="0000FF"/>
              </w:rPr>
            </w:pPr>
            <w:hyperlink w:anchor="page103">
              <w:r>
                <w:rPr>
                  <w:rFonts w:ascii="Arial" w:cs="Arial" w:eastAsia="Arial" w:hAnsi="Arial"/>
                  <w:sz w:val="14"/>
                  <w:szCs w:val="14"/>
                  <w:color w:val="0000FF"/>
                </w:rPr>
                <w:t>Form 10-K Summary</w:t>
              </w:r>
            </w:hyperlink>
          </w:p>
        </w:tc>
        <w:tc>
          <w:tcPr>
            <w:tcW w:w="5460" w:type="dxa"/>
            <w:vAlign w:val="bottom"/>
            <w:gridSpan w:val="9"/>
          </w:tcPr>
          <w:p>
            <w:pPr>
              <w:spacing w:after="0"/>
              <w:rPr>
                <w:sz w:val="13"/>
                <w:szCs w:val="13"/>
                <w:color w:val="auto"/>
              </w:rPr>
            </w:pPr>
          </w:p>
        </w:tc>
        <w:tc>
          <w:tcPr>
            <w:tcW w:w="1900" w:type="dxa"/>
            <w:vAlign w:val="bottom"/>
            <w:gridSpan w:val="3"/>
          </w:tcPr>
          <w:p>
            <w:pPr>
              <w:jc w:val="right"/>
              <w:spacing w:after="0"/>
              <w:rPr>
                <w:rFonts w:ascii="Arial" w:cs="Arial" w:eastAsia="Arial" w:hAnsi="Arial"/>
                <w:sz w:val="14"/>
                <w:szCs w:val="14"/>
                <w:color w:val="0000FF"/>
              </w:rPr>
            </w:pPr>
            <w:hyperlink w:anchor="page103">
              <w:r>
                <w:rPr>
                  <w:rFonts w:ascii="Arial" w:cs="Arial" w:eastAsia="Arial" w:hAnsi="Arial"/>
                  <w:sz w:val="14"/>
                  <w:szCs w:val="14"/>
                  <w:color w:val="0000FF"/>
                </w:rPr>
                <w:t>101</w:t>
              </w:r>
            </w:hyperlink>
          </w:p>
        </w:tc>
      </w:tr>
      <w:tr>
        <w:trPr>
          <w:trHeight w:val="160"/>
        </w:trPr>
        <w:tc>
          <w:tcPr>
            <w:tcW w:w="20" w:type="dxa"/>
            <w:vAlign w:val="bottom"/>
          </w:tcPr>
          <w:p>
            <w:pPr>
              <w:spacing w:after="0"/>
              <w:rPr>
                <w:sz w:val="13"/>
                <w:szCs w:val="13"/>
                <w:color w:val="auto"/>
              </w:rPr>
            </w:pPr>
          </w:p>
        </w:tc>
        <w:tc>
          <w:tcPr>
            <w:tcW w:w="1120" w:type="dxa"/>
            <w:vAlign w:val="bottom"/>
            <w:gridSpan w:val="2"/>
          </w:tcPr>
          <w:p>
            <w:pPr>
              <w:spacing w:after="0"/>
              <w:rPr>
                <w:rFonts w:ascii="Arial" w:cs="Arial" w:eastAsia="Arial" w:hAnsi="Arial"/>
                <w:sz w:val="14"/>
                <w:szCs w:val="14"/>
                <w:color w:val="0000FF"/>
              </w:rPr>
            </w:pPr>
            <w:hyperlink w:anchor="page104">
              <w:r>
                <w:rPr>
                  <w:rFonts w:ascii="Arial" w:cs="Arial" w:eastAsia="Arial" w:hAnsi="Arial"/>
                  <w:sz w:val="14"/>
                  <w:szCs w:val="14"/>
                  <w:color w:val="0000FF"/>
                </w:rPr>
                <w:t>Signatures</w:t>
              </w:r>
            </w:hyperlink>
          </w:p>
        </w:tc>
        <w:tc>
          <w:tcPr>
            <w:tcW w:w="260" w:type="dxa"/>
            <w:vAlign w:val="bottom"/>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20" w:type="dxa"/>
            <w:vAlign w:val="bottom"/>
            <w:tcBorders>
              <w:top w:val="single" w:sz="8" w:color="0000FF"/>
            </w:tcBorders>
            <w:gridSpan w:val="2"/>
          </w:tcPr>
          <w:p>
            <w:pPr>
              <w:jc w:val="right"/>
              <w:spacing w:after="0"/>
              <w:rPr>
                <w:rFonts w:ascii="Arial" w:cs="Arial" w:eastAsia="Arial" w:hAnsi="Arial"/>
                <w:sz w:val="14"/>
                <w:szCs w:val="14"/>
                <w:color w:val="0000FF"/>
                <w:w w:val="85"/>
              </w:rPr>
            </w:pPr>
            <w:hyperlink w:anchor="page104">
              <w:r>
                <w:rPr>
                  <w:rFonts w:ascii="Arial" w:cs="Arial" w:eastAsia="Arial" w:hAnsi="Arial"/>
                  <w:sz w:val="14"/>
                  <w:szCs w:val="14"/>
                  <w:color w:val="0000FF"/>
                  <w:w w:val="85"/>
                </w:rPr>
                <w:t>101</w:t>
              </w:r>
            </w:hyperlink>
          </w:p>
        </w:tc>
      </w:tr>
      <w:tr>
        <w:trPr>
          <w:trHeight w:val="20"/>
        </w:trPr>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16" w:right="339" w:bottom="1440" w:gutter="0" w:footer="0" w:header="0"/>
        </w:sectPr>
      </w:pPr>
    </w:p>
    <w:bookmarkStart w:id="2" w:name="page3"/>
    <w:bookmarkEnd w:id="2"/>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-6985</wp:posOffset>
            </wp:positionV>
            <wp:extent cx="727075"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075" cy="698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PART I</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Forward Looking Statements and Explanatory Note</w:t>
      </w:r>
    </w:p>
    <w:p>
      <w:pPr>
        <w:spacing w:after="0" w:line="140"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4"/>
          <w:szCs w:val="14"/>
          <w:color w:val="auto"/>
        </w:rPr>
        <w:t>This annual report contains, and management may make, certain “forward-looking statements” as defined under the Private Securities Litigation Reform Act of 1995. Statements of our intentions, beliefs, expectations or predictions for the future, denoted by the words “anticipate,” “believe,” “estimate,” “expect,” “plan,” “project,” “imply,” “intend,” “should,” “foresee” and similar expressions, are forward-looking statements that reflect our current views about future events and are subject to risks and uncertainties. Such risks and uncertainties include those described under “Risk Factors” below and elsewhere in this annual report. Actual results could differ materially from those expressed in, or implied or projected by these forward-looking statements as a result of these risks and uncertainties, many of which are difficult to predict and beyond our control. The Company’s forward-looking statements speak only as of the date of this report or as of the date they are made, and the Company undertakes no obligation to update its forward-looking statements. The risks described in this annual report are not the only risks we face, and additional risks and uncertainties may impair our business operations. The occurrence of any one or more of the factors described herein or other currently unknown factors could materially adversely affect our business and operating results.</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 Business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Company Overview</w:t>
      </w:r>
    </w:p>
    <w:p>
      <w:pPr>
        <w:spacing w:after="0" w:line="140"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4"/>
          <w:szCs w:val="14"/>
          <w:color w:val="auto"/>
        </w:rPr>
        <w:t>Pilgrim’s Pride Corporation (referred to herein as “Pilgrim’s,” “PPC,” “the Company,” “we,” “us,” “our,” or similar terms) is primarily engaged in the production, processing, marketing and distribution of fresh, frozen and value-added chicken and pork products to retailers, distributors and foodservice operators. JBS S.A., through its indirect wholly-owned subsidiaries (together, “JBS”), beneficially owns 80.21% of our outstanding common stock.</w:t>
      </w:r>
    </w:p>
    <w:p>
      <w:pPr>
        <w:spacing w:after="0" w:line="99"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color w:val="auto"/>
        </w:rPr>
        <w:t>We market our balanced portfolio of fresh, prepared and value-added meat products to a diverse set of over 55,000 customers across the U.S., the U.K. and Europe, Mexico and in approximately 125 other countries. Our sales efforts are largely targeted towards the foodservice industry, principally chain restaurants and food processors, such as Chick-fil-A® and retail customers, including grocery store chains and wholesale clubs, such as Kroger®, Costco®, Publix® and H-E-B® in the U.S., chain restaurants such as McDonald’s® and grocery store chains such as Tesco and Waitrose in the U.K. and Europe, and grocery store chains such as Wal-Mart® in Mexico.</w:t>
      </w:r>
    </w:p>
    <w:p>
      <w:pPr>
        <w:spacing w:after="0" w:line="103"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color w:val="auto"/>
        </w:rPr>
        <w:t>As a vertically integrated company, we are able to control every phase of the production process, which helps us manage food safety and quality, control margins and improve customer service. Our plants are strategically located to ensure that customers timely receive fresh products. With our global network of approximately 5,100 growers, 35 feed mills, 48 hatcheries, 43 processing plants, 37 prepared foods cook plants, 30 distribution centers, 10 rendering facilities and four pet food plants, we believe we are well-positioned to supply the growing demand for our products.</w:t>
      </w:r>
    </w:p>
    <w:p>
      <w:pPr>
        <w:spacing w:after="0" w:line="103"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color w:val="auto"/>
        </w:rPr>
        <w:t>On September 24, 2021, the Company acquired 100% of the equity of the specialty meats and ready meals businesses of Kerry Group plc for cash of £695.3 million, or $954.1 million, subject to customary working capital adjustments. The specialty meats and ready meals businesses of Kerry Group plc, which have subsequently changed their name to Pilgrim’s Food Masters (“PFM”), are leading manufacturers of branded and private label meats, meat snacks, food to-go products in the U.K. and the Republic of Ireland and a leading ethnic chilled and frozen ready meals business in the U.K. The acquired operations are included in our U.K. and Europe reportable segment.</w:t>
      </w:r>
    </w:p>
    <w:p>
      <w:pPr>
        <w:spacing w:after="0" w:line="103"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color w:val="auto"/>
        </w:rPr>
        <w:t>On October 15, 2019, the Company acquired 100% of the equity of Tulip Limited and its subsidiaries (together, “Tulip”) from Danish Crown AmbA for £311.3 million, or $393.3 million for cash. Tulip, which has subsequently changed its name to Pilgrim’s Pride Ltd. (“PPL”), is a leading, integrated prepared pork supplier headquartered in Warwick, U.K. This acquisition solidifies Pilgrim’s as a leading European food company, creating one of the largest integrated prepared foods businesses in the U.K. The PPL operations are included in our U.K. and Europe reportable segment.</w:t>
      </w:r>
    </w:p>
    <w:p>
      <w:pPr>
        <w:spacing w:after="0" w:line="103" w:lineRule="exact"/>
        <w:rPr>
          <w:sz w:val="20"/>
          <w:szCs w:val="20"/>
          <w:color w:val="auto"/>
        </w:rPr>
      </w:pPr>
    </w:p>
    <w:p>
      <w:pPr>
        <w:jc w:val="both"/>
        <w:ind w:firstLine="509"/>
        <w:spacing w:after="0" w:line="281" w:lineRule="auto"/>
        <w:rPr>
          <w:sz w:val="20"/>
          <w:szCs w:val="20"/>
          <w:color w:val="auto"/>
        </w:rPr>
      </w:pPr>
      <w:r>
        <w:rPr>
          <w:rFonts w:ascii="Arial" w:cs="Arial" w:eastAsia="Arial" w:hAnsi="Arial"/>
          <w:sz w:val="14"/>
          <w:szCs w:val="14"/>
          <w:color w:val="auto"/>
        </w:rPr>
        <w:t>We operate on the basis of a 52/53-week fiscal year that ends on the Sunday falling on or before December 31. Any reference we make to a particular year, for example, 2021, applies to our fiscal year and not the calendar year. Fiscal 2021 was a 52-week fiscal year.</w:t>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Reportable Segments</w:t>
      </w:r>
    </w:p>
    <w:p>
      <w:pPr>
        <w:spacing w:after="0" w:line="140" w:lineRule="exact"/>
        <w:rPr>
          <w:sz w:val="20"/>
          <w:szCs w:val="20"/>
          <w:color w:val="auto"/>
        </w:rPr>
      </w:pPr>
    </w:p>
    <w:p>
      <w:pPr>
        <w:jc w:val="both"/>
        <w:ind w:firstLine="509"/>
        <w:spacing w:after="0" w:line="321" w:lineRule="auto"/>
        <w:rPr>
          <w:sz w:val="20"/>
          <w:szCs w:val="20"/>
          <w:color w:val="auto"/>
        </w:rPr>
      </w:pPr>
      <w:r>
        <w:rPr>
          <w:rFonts w:ascii="Arial" w:cs="Arial" w:eastAsia="Arial" w:hAnsi="Arial"/>
          <w:sz w:val="13"/>
          <w:szCs w:val="13"/>
          <w:color w:val="auto"/>
        </w:rPr>
        <w:t>We operate in three reportable segments: U.S., U.K. and Europe, and Mexico. We either produce or purchase for resale chicken and pork products through our operations in the U.S., the U.K. and continental Europe, and Mexico. We conduct separate operations in the U.S., the U.K., continental Europe, Puerto Rico and Mexico; however, for geographic reporting</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 w:name="page4"/>
    <w:bookmarkEnd w:id="3"/>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-6985</wp:posOffset>
            </wp:positionV>
            <wp:extent cx="727075"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075" cy="6985"/>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ind w:right="180"/>
        <w:spacing w:after="0" w:line="442" w:lineRule="auto"/>
        <w:rPr>
          <w:sz w:val="20"/>
          <w:szCs w:val="20"/>
          <w:color w:val="auto"/>
        </w:rPr>
      </w:pPr>
      <w:r>
        <w:rPr>
          <w:rFonts w:ascii="Arial" w:cs="Arial" w:eastAsia="Arial" w:hAnsi="Arial"/>
          <w:sz w:val="14"/>
          <w:szCs w:val="14"/>
          <w:color w:val="auto"/>
        </w:rPr>
        <w:t xml:space="preserve">purposes, we include Puerto Rico with our U.S. operations. See “Note 19. Reportable Segments” of our Consolidated Financial Statements included in this annual report for additional information. </w:t>
      </w:r>
      <w:r>
        <w:rPr>
          <w:rFonts w:ascii="Arial" w:cs="Arial" w:eastAsia="Arial" w:hAnsi="Arial"/>
          <w:sz w:val="14"/>
          <w:szCs w:val="14"/>
          <w:b w:val="1"/>
          <w:bCs w:val="1"/>
          <w:color w:val="auto"/>
        </w:rPr>
        <w:t>Products and Markets</w:t>
      </w:r>
    </w:p>
    <w:p>
      <w:pPr>
        <w:spacing w:after="0" w:line="1" w:lineRule="exact"/>
        <w:rPr>
          <w:sz w:val="20"/>
          <w:szCs w:val="20"/>
          <w:color w:val="auto"/>
        </w:rPr>
      </w:pPr>
    </w:p>
    <w:p>
      <w:pPr>
        <w:jc w:val="both"/>
        <w:ind w:firstLine="509"/>
        <w:spacing w:after="0" w:line="288" w:lineRule="auto"/>
        <w:rPr>
          <w:sz w:val="20"/>
          <w:szCs w:val="20"/>
          <w:color w:val="auto"/>
        </w:rPr>
      </w:pPr>
      <w:r>
        <w:rPr>
          <w:rFonts w:ascii="Arial" w:cs="Arial" w:eastAsia="Arial" w:hAnsi="Arial"/>
          <w:sz w:val="13"/>
          <w:szCs w:val="13"/>
          <w:i w:val="1"/>
          <w:iCs w:val="1"/>
          <w:color w:val="auto"/>
        </w:rPr>
        <w:t xml:space="preserve">Fresh Products Overview. </w:t>
      </w:r>
      <w:r>
        <w:rPr>
          <w:rFonts w:ascii="Arial" w:cs="Arial" w:eastAsia="Arial" w:hAnsi="Arial"/>
          <w:sz w:val="13"/>
          <w:szCs w:val="13"/>
          <w:color w:val="auto"/>
        </w:rPr>
        <w:t>Our fresh products consist of refrigerated (nonfrozen) whole or cut-up chicken, either pre-marinated or non-marinated, frozen whole chickens, breast fillets, mini</w:t>
      </w:r>
      <w:r>
        <w:rPr>
          <w:rFonts w:ascii="Arial" w:cs="Arial" w:eastAsia="Arial" w:hAnsi="Arial"/>
          <w:sz w:val="13"/>
          <w:szCs w:val="13"/>
          <w:i w:val="1"/>
          <w:iCs w:val="1"/>
          <w:color w:val="auto"/>
        </w:rPr>
        <w:t xml:space="preserve"> </w:t>
      </w:r>
      <w:r>
        <w:rPr>
          <w:rFonts w:ascii="Arial" w:cs="Arial" w:eastAsia="Arial" w:hAnsi="Arial"/>
          <w:sz w:val="13"/>
          <w:szCs w:val="13"/>
          <w:color w:val="auto"/>
        </w:rPr>
        <w:t>breast fillets and prepackaged case-ready chicken, primary pork cuts, added value pork and pork ribs. Our case-ready chicken includes various combinations of freshly refrigerated, whole chickens, chicken parts in trays, bags or other consumer packs labeled and priced ready for the retail grocer’s fresh meat counter. Additionally, we are an important player in the live market in Mexico. In 2021, our fresh product sales accounted for 79.7%, 29.3%, and 87.6% of our total U.S., U.K. and Europe, and Mexico product sales, respectively.</w:t>
      </w:r>
    </w:p>
    <w:p>
      <w:pPr>
        <w:spacing w:after="0" w:line="89"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4"/>
          <w:szCs w:val="14"/>
          <w:i w:val="1"/>
          <w:iCs w:val="1"/>
          <w:color w:val="auto"/>
        </w:rPr>
        <w:t xml:space="preserve">Prepared Products Overview.. </w:t>
      </w:r>
      <w:r>
        <w:rPr>
          <w:rFonts w:ascii="Arial" w:cs="Arial" w:eastAsia="Arial" w:hAnsi="Arial"/>
          <w:sz w:val="14"/>
          <w:szCs w:val="14"/>
          <w:color w:val="auto"/>
        </w:rPr>
        <w:t>Our prepared products include portion-controlled breast fillets, tenderloins and strips, delicatessen products, salads, formed nuggets and patties and bone-in</w:t>
      </w:r>
      <w:r>
        <w:rPr>
          <w:rFonts w:ascii="Arial" w:cs="Arial" w:eastAsia="Arial" w:hAnsi="Arial"/>
          <w:sz w:val="14"/>
          <w:szCs w:val="14"/>
          <w:i w:val="1"/>
          <w:iCs w:val="1"/>
          <w:color w:val="auto"/>
        </w:rPr>
        <w:t xml:space="preserve"> </w:t>
      </w:r>
      <w:r>
        <w:rPr>
          <w:rFonts w:ascii="Arial" w:cs="Arial" w:eastAsia="Arial" w:hAnsi="Arial"/>
          <w:sz w:val="14"/>
          <w:szCs w:val="14"/>
          <w:color w:val="auto"/>
        </w:rPr>
        <w:t>chicken parts. These products are sold either refrigerated or frozen and may be fully cooked, partially cooked or raw. In addition, these products are breaded or non-breaded and either pre-marinated or non-marinated. Our prepared products include processed sausages, bacon, slow cooked, smoked meat, gammon joints, ready-to-cook variety of meat products, pre-packed meats, sandwich and deli counter meats, pulled pork balls, meatballs and coated foods. In 2021, our prepared foods products sales accounted for 9.9%, 56.3%, and 7.4% of our total U.S., U.K. and Europe, and Mexico chicken and pork sales, respectively.</w:t>
      </w:r>
    </w:p>
    <w:p>
      <w:pPr>
        <w:spacing w:after="0" w:line="104"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4"/>
          <w:szCs w:val="14"/>
          <w:i w:val="1"/>
          <w:iCs w:val="1"/>
          <w:color w:val="auto"/>
        </w:rPr>
        <w:t xml:space="preserve">Exported Products Overview. </w:t>
      </w:r>
      <w:r>
        <w:rPr>
          <w:rFonts w:ascii="Arial" w:cs="Arial" w:eastAsia="Arial" w:hAnsi="Arial"/>
          <w:sz w:val="14"/>
          <w:szCs w:val="14"/>
          <w:color w:val="auto"/>
        </w:rPr>
        <w:t>Exported products primarily consist of whole chickens and chicken parts sold either refrigerated for distributors in the U.S. or frozen for distribution to export</w:t>
      </w:r>
      <w:r>
        <w:rPr>
          <w:rFonts w:ascii="Arial" w:cs="Arial" w:eastAsia="Arial" w:hAnsi="Arial"/>
          <w:sz w:val="14"/>
          <w:szCs w:val="14"/>
          <w:i w:val="1"/>
          <w:iCs w:val="1"/>
          <w:color w:val="auto"/>
        </w:rPr>
        <w:t xml:space="preserve"> </w:t>
      </w:r>
      <w:r>
        <w:rPr>
          <w:rFonts w:ascii="Arial" w:cs="Arial" w:eastAsia="Arial" w:hAnsi="Arial"/>
          <w:sz w:val="14"/>
          <w:szCs w:val="14"/>
          <w:color w:val="auto"/>
        </w:rPr>
        <w:t>markets and primary pork cuts, hog heads and trotters frozen for distribution to export markets. In 2021, our export product sales accounted for 5.0% and 11.7% of our total U.S. and U.K. and Europe product sales, respectively.</w:t>
      </w:r>
    </w:p>
    <w:p>
      <w:pPr>
        <w:spacing w:after="0" w:line="99"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4"/>
          <w:szCs w:val="14"/>
          <w:i w:val="1"/>
          <w:iCs w:val="1"/>
          <w:color w:val="auto"/>
        </w:rPr>
        <w:t xml:space="preserve">Market Overview. </w:t>
      </w:r>
      <w:r>
        <w:rPr>
          <w:rFonts w:ascii="Arial" w:cs="Arial" w:eastAsia="Arial" w:hAnsi="Arial"/>
          <w:sz w:val="14"/>
          <w:szCs w:val="14"/>
          <w:color w:val="auto"/>
        </w:rPr>
        <w:t>Our foodservice market principally consists of chain restaurants, food processors, broad-line distributors and certain other institutions. Our retail market consists primarily</w:t>
      </w:r>
      <w:r>
        <w:rPr>
          <w:rFonts w:ascii="Arial" w:cs="Arial" w:eastAsia="Arial" w:hAnsi="Arial"/>
          <w:sz w:val="14"/>
          <w:szCs w:val="14"/>
          <w:i w:val="1"/>
          <w:iCs w:val="1"/>
          <w:color w:val="auto"/>
        </w:rPr>
        <w:t xml:space="preserve"> </w:t>
      </w:r>
      <w:r>
        <w:rPr>
          <w:rFonts w:ascii="Arial" w:cs="Arial" w:eastAsia="Arial" w:hAnsi="Arial"/>
          <w:sz w:val="14"/>
          <w:szCs w:val="14"/>
          <w:color w:val="auto"/>
        </w:rPr>
        <w:t>of grocery store chains, wholesale clubs and other retail distributors. Our export market consists primarily of customers who purchase for distribution in the U.S., U.K. and continental Europe, or for export to Mexico, the Middle East, Asia, and other international markets.</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Net Sales for Primary Product Lines and Markets</w:t>
      </w:r>
    </w:p>
    <w:p>
      <w:pPr>
        <w:spacing w:after="0" w:line="140" w:lineRule="exact"/>
        <w:rPr>
          <w:sz w:val="20"/>
          <w:szCs w:val="20"/>
          <w:color w:val="auto"/>
        </w:rPr>
      </w:pPr>
    </w:p>
    <w:p>
      <w:pPr>
        <w:jc w:val="both"/>
        <w:ind w:firstLine="509"/>
        <w:spacing w:after="0" w:line="281" w:lineRule="auto"/>
        <w:rPr>
          <w:sz w:val="20"/>
          <w:szCs w:val="20"/>
          <w:color w:val="auto"/>
        </w:rPr>
      </w:pPr>
      <w:r>
        <w:rPr>
          <w:rFonts w:ascii="Arial" w:cs="Arial" w:eastAsia="Arial" w:hAnsi="Arial"/>
          <w:sz w:val="14"/>
          <w:szCs w:val="14"/>
          <w:color w:val="auto"/>
        </w:rPr>
        <w:t>The following table sets forth, for the periods beginning with 2019, net sales attributable to each of our primary product lines and markets served with those products. We based the table on our internal sales reports and their classification of product types.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 w:name="page5"/>
    <w:bookmarkEnd w:id="4"/>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-6985</wp:posOffset>
            </wp:positionV>
            <wp:extent cx="727075"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07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5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0" w:type="dxa"/>
            <w:vAlign w:val="bottom"/>
            <w:gridSpan w:val="2"/>
          </w:tcPr>
          <w:p>
            <w:pPr>
              <w:jc w:val="center"/>
              <w:ind w:right="360"/>
              <w:spacing w:after="0"/>
              <w:rPr>
                <w:sz w:val="20"/>
                <w:szCs w:val="20"/>
                <w:color w:val="auto"/>
              </w:rPr>
            </w:pPr>
            <w:r>
              <w:rPr>
                <w:rFonts w:ascii="Arial" w:cs="Arial" w:eastAsia="Arial" w:hAnsi="Arial"/>
                <w:sz w:val="11"/>
                <w:szCs w:val="11"/>
                <w:b w:val="1"/>
                <w:bCs w:val="1"/>
                <w:color w:val="auto"/>
                <w:w w:val="92"/>
              </w:rPr>
              <w:t>Year Ended</w:t>
            </w:r>
          </w:p>
        </w:tc>
        <w:tc>
          <w:tcPr>
            <w:tcW w:w="260" w:type="dxa"/>
            <w:vAlign w:val="bottom"/>
          </w:tcPr>
          <w:p>
            <w:pPr>
              <w:spacing w:after="0"/>
              <w:rPr>
                <w:sz w:val="12"/>
                <w:szCs w:val="12"/>
                <w:color w:val="auto"/>
              </w:rPr>
            </w:pPr>
          </w:p>
        </w:tc>
        <w:tc>
          <w:tcPr>
            <w:tcW w:w="1500" w:type="dxa"/>
            <w:vAlign w:val="bottom"/>
          </w:tcPr>
          <w:p>
            <w:pPr>
              <w:spacing w:after="0"/>
              <w:rPr>
                <w:sz w:val="12"/>
                <w:szCs w:val="12"/>
                <w:color w:val="auto"/>
              </w:rPr>
            </w:pPr>
          </w:p>
        </w:tc>
      </w:tr>
      <w:tr>
        <w:trPr>
          <w:trHeight w:val="153"/>
        </w:trPr>
        <w:tc>
          <w:tcPr>
            <w:tcW w:w="576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2"/>
          </w:tcPr>
          <w:p>
            <w:pPr>
              <w:ind w:left="180"/>
              <w:spacing w:after="0"/>
              <w:rPr>
                <w:sz w:val="20"/>
                <w:szCs w:val="20"/>
                <w:color w:val="auto"/>
              </w:rPr>
            </w:pPr>
            <w:r>
              <w:rPr>
                <w:rFonts w:ascii="Arial" w:cs="Arial" w:eastAsia="Arial" w:hAnsi="Arial"/>
                <w:sz w:val="11"/>
                <w:szCs w:val="11"/>
                <w:b w:val="1"/>
                <w:bCs w:val="1"/>
                <w:color w:val="auto"/>
              </w:rPr>
              <w:t>December 26, 2021</w:t>
            </w:r>
          </w:p>
        </w:tc>
        <w:tc>
          <w:tcPr>
            <w:tcW w:w="26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1"/>
                <w:szCs w:val="11"/>
                <w:b w:val="1"/>
                <w:bCs w:val="1"/>
                <w:color w:val="auto"/>
                <w:w w:val="92"/>
              </w:rPr>
              <w:t>December 27, 2020</w:t>
            </w:r>
          </w:p>
        </w:tc>
        <w:tc>
          <w:tcPr>
            <w:tcW w:w="2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ind w:right="350"/>
              <w:spacing w:after="0"/>
              <w:rPr>
                <w:sz w:val="20"/>
                <w:szCs w:val="20"/>
                <w:color w:val="auto"/>
              </w:rPr>
            </w:pPr>
            <w:r>
              <w:rPr>
                <w:rFonts w:ascii="Arial" w:cs="Arial" w:eastAsia="Arial" w:hAnsi="Arial"/>
                <w:sz w:val="11"/>
                <w:szCs w:val="11"/>
                <w:b w:val="1"/>
                <w:bCs w:val="1"/>
                <w:color w:val="auto"/>
              </w:rPr>
              <w:t>December 29, 2019</w:t>
            </w:r>
          </w:p>
        </w:tc>
      </w:tr>
      <w:tr>
        <w:trPr>
          <w:trHeight w:val="127"/>
        </w:trPr>
        <w:tc>
          <w:tcPr>
            <w:tcW w:w="5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0" w:type="dxa"/>
            <w:vAlign w:val="bottom"/>
            <w:gridSpan w:val="2"/>
          </w:tcPr>
          <w:p>
            <w:pPr>
              <w:jc w:val="center"/>
              <w:ind w:right="340"/>
              <w:spacing w:after="0"/>
              <w:rPr>
                <w:sz w:val="20"/>
                <w:szCs w:val="20"/>
                <w:color w:val="auto"/>
              </w:rPr>
            </w:pPr>
            <w:r>
              <w:rPr>
                <w:rFonts w:ascii="Arial" w:cs="Arial" w:eastAsia="Arial" w:hAnsi="Arial"/>
                <w:sz w:val="10"/>
                <w:szCs w:val="10"/>
                <w:b w:val="1"/>
                <w:bCs w:val="1"/>
                <w:color w:val="auto"/>
                <w:w w:val="89"/>
              </w:rPr>
              <w:t>(In thousands)</w:t>
            </w:r>
          </w:p>
        </w:tc>
        <w:tc>
          <w:tcPr>
            <w:tcW w:w="260" w:type="dxa"/>
            <w:vAlign w:val="bottom"/>
          </w:tcPr>
          <w:p>
            <w:pPr>
              <w:spacing w:after="0"/>
              <w:rPr>
                <w:sz w:val="11"/>
                <w:szCs w:val="11"/>
                <w:color w:val="auto"/>
              </w:rPr>
            </w:pPr>
          </w:p>
        </w:tc>
        <w:tc>
          <w:tcPr>
            <w:tcW w:w="1500" w:type="dxa"/>
            <w:vAlign w:val="bottom"/>
          </w:tcPr>
          <w:p>
            <w:pPr>
              <w:spacing w:after="0"/>
              <w:rPr>
                <w:sz w:val="11"/>
                <w:szCs w:val="11"/>
                <w:color w:val="auto"/>
              </w:rPr>
            </w:pPr>
          </w:p>
        </w:tc>
      </w:tr>
      <w:tr>
        <w:trPr>
          <w:trHeight w:val="186"/>
        </w:trPr>
        <w:tc>
          <w:tcPr>
            <w:tcW w:w="5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U.S. reportable segment:</w:t>
            </w:r>
          </w:p>
        </w:tc>
        <w:tc>
          <w:tcPr>
            <w:tcW w:w="26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r>
      <w:tr>
        <w:trPr>
          <w:trHeight w:val="180"/>
        </w:trPr>
        <w:tc>
          <w:tcPr>
            <w:tcW w:w="5760" w:type="dxa"/>
            <w:vAlign w:val="bottom"/>
          </w:tcPr>
          <w:p>
            <w:pPr>
              <w:ind w:left="120"/>
              <w:spacing w:after="0"/>
              <w:rPr>
                <w:sz w:val="20"/>
                <w:szCs w:val="20"/>
                <w:color w:val="auto"/>
              </w:rPr>
            </w:pPr>
            <w:r>
              <w:rPr>
                <w:rFonts w:ascii="Arial" w:cs="Arial" w:eastAsia="Arial" w:hAnsi="Arial"/>
                <w:sz w:val="14"/>
                <w:szCs w:val="14"/>
                <w:color w:val="auto"/>
              </w:rPr>
              <w:t>Fresh products</w:t>
            </w:r>
          </w:p>
        </w:tc>
        <w:tc>
          <w:tcPr>
            <w:tcW w:w="2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1500" w:type="dxa"/>
            <w:vAlign w:val="bottom"/>
          </w:tcPr>
          <w:p>
            <w:pPr>
              <w:jc w:val="right"/>
              <w:spacing w:after="0"/>
              <w:rPr>
                <w:sz w:val="20"/>
                <w:szCs w:val="20"/>
                <w:color w:val="auto"/>
              </w:rPr>
            </w:pPr>
            <w:r>
              <w:rPr>
                <w:rFonts w:ascii="Arial" w:cs="Arial" w:eastAsia="Arial" w:hAnsi="Arial"/>
                <w:sz w:val="14"/>
                <w:szCs w:val="14"/>
                <w:color w:val="auto"/>
              </w:rPr>
              <w:t>7,264,448</w:t>
            </w:r>
          </w:p>
        </w:tc>
        <w:tc>
          <w:tcPr>
            <w:tcW w:w="10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1500" w:type="dxa"/>
            <w:vAlign w:val="bottom"/>
          </w:tcPr>
          <w:p>
            <w:pPr>
              <w:jc w:val="right"/>
              <w:spacing w:after="0"/>
              <w:rPr>
                <w:sz w:val="20"/>
                <w:szCs w:val="20"/>
                <w:color w:val="auto"/>
              </w:rPr>
            </w:pPr>
            <w:r>
              <w:rPr>
                <w:rFonts w:ascii="Arial" w:cs="Arial" w:eastAsia="Arial" w:hAnsi="Arial"/>
                <w:sz w:val="14"/>
                <w:szCs w:val="14"/>
                <w:color w:val="auto"/>
              </w:rPr>
              <w:t>6,137,265</w:t>
            </w:r>
          </w:p>
        </w:tc>
        <w:tc>
          <w:tcPr>
            <w:tcW w:w="10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1500" w:type="dxa"/>
            <w:vAlign w:val="bottom"/>
          </w:tcPr>
          <w:p>
            <w:pPr>
              <w:jc w:val="right"/>
              <w:spacing w:after="0"/>
              <w:rPr>
                <w:sz w:val="20"/>
                <w:szCs w:val="20"/>
                <w:color w:val="auto"/>
              </w:rPr>
            </w:pPr>
            <w:r>
              <w:rPr>
                <w:rFonts w:ascii="Arial" w:cs="Arial" w:eastAsia="Arial" w:hAnsi="Arial"/>
                <w:sz w:val="14"/>
                <w:szCs w:val="14"/>
                <w:color w:val="auto"/>
              </w:rPr>
              <w:t>6,214,954</w:t>
            </w:r>
          </w:p>
        </w:tc>
      </w:tr>
      <w:tr>
        <w:trPr>
          <w:trHeight w:val="181"/>
        </w:trPr>
        <w:tc>
          <w:tcPr>
            <w:tcW w:w="57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Prepared foods</w:t>
            </w:r>
          </w:p>
        </w:tc>
        <w:tc>
          <w:tcPr>
            <w:tcW w:w="26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898,614</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714,563</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842,365</w:t>
            </w:r>
          </w:p>
        </w:tc>
      </w:tr>
      <w:tr>
        <w:trPr>
          <w:trHeight w:val="180"/>
        </w:trPr>
        <w:tc>
          <w:tcPr>
            <w:tcW w:w="5760" w:type="dxa"/>
            <w:vAlign w:val="bottom"/>
          </w:tcPr>
          <w:p>
            <w:pPr>
              <w:ind w:left="120"/>
              <w:spacing w:after="0"/>
              <w:rPr>
                <w:sz w:val="20"/>
                <w:szCs w:val="20"/>
                <w:color w:val="auto"/>
              </w:rPr>
            </w:pPr>
            <w:r>
              <w:rPr>
                <w:rFonts w:ascii="Arial" w:cs="Arial" w:eastAsia="Arial" w:hAnsi="Arial"/>
                <w:sz w:val="14"/>
                <w:szCs w:val="14"/>
                <w:color w:val="auto"/>
              </w:rPr>
              <w:t>Export</w:t>
            </w:r>
          </w:p>
        </w:tc>
        <w:tc>
          <w:tcPr>
            <w:tcW w:w="26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459,371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306,478</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282,791</w:t>
            </w:r>
          </w:p>
        </w:tc>
      </w:tr>
      <w:tr>
        <w:trPr>
          <w:trHeight w:val="181"/>
        </w:trPr>
        <w:tc>
          <w:tcPr>
            <w:tcW w:w="57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products</w:t>
            </w:r>
          </w:p>
        </w:tc>
        <w:tc>
          <w:tcPr>
            <w:tcW w:w="260" w:type="dxa"/>
            <w:vAlign w:val="bottom"/>
            <w:tcBorders>
              <w:bottom w:val="single" w:sz="8" w:color="auto"/>
            </w:tcBorders>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491,446</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337,711</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296,606</w:t>
            </w:r>
          </w:p>
        </w:tc>
      </w:tr>
      <w:tr>
        <w:trPr>
          <w:trHeight w:val="171"/>
        </w:trPr>
        <w:tc>
          <w:tcPr>
            <w:tcW w:w="5760" w:type="dxa"/>
            <w:vAlign w:val="bottom"/>
          </w:tcPr>
          <w:p>
            <w:pPr>
              <w:ind w:left="180"/>
              <w:spacing w:after="0"/>
              <w:rPr>
                <w:sz w:val="20"/>
                <w:szCs w:val="20"/>
                <w:color w:val="auto"/>
              </w:rPr>
            </w:pPr>
            <w:r>
              <w:rPr>
                <w:rFonts w:ascii="Arial" w:cs="Arial" w:eastAsia="Arial" w:hAnsi="Arial"/>
                <w:sz w:val="14"/>
                <w:szCs w:val="14"/>
                <w:color w:val="auto"/>
              </w:rPr>
              <w:t>Total U.S. reportable segment</w:t>
            </w:r>
          </w:p>
        </w:tc>
        <w:tc>
          <w:tcPr>
            <w:tcW w:w="2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9,113,879</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7,496,017</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7,636,716</w:t>
            </w:r>
          </w:p>
        </w:tc>
      </w:tr>
      <w:tr>
        <w:trPr>
          <w:trHeight w:val="181"/>
        </w:trPr>
        <w:tc>
          <w:tcPr>
            <w:tcW w:w="5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U.K. and Europe reportable segment:</w:t>
            </w:r>
          </w:p>
        </w:tc>
        <w:tc>
          <w:tcPr>
            <w:tcW w:w="26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r>
      <w:tr>
        <w:trPr>
          <w:trHeight w:val="180"/>
        </w:trPr>
        <w:tc>
          <w:tcPr>
            <w:tcW w:w="5760" w:type="dxa"/>
            <w:vAlign w:val="bottom"/>
          </w:tcPr>
          <w:p>
            <w:pPr>
              <w:ind w:left="120"/>
              <w:spacing w:after="0"/>
              <w:rPr>
                <w:sz w:val="20"/>
                <w:szCs w:val="20"/>
                <w:color w:val="auto"/>
              </w:rPr>
            </w:pPr>
            <w:r>
              <w:rPr>
                <w:rFonts w:ascii="Arial" w:cs="Arial" w:eastAsia="Arial" w:hAnsi="Arial"/>
                <w:sz w:val="14"/>
                <w:szCs w:val="14"/>
                <w:color w:val="auto"/>
              </w:rPr>
              <w:t>Fresh products</w:t>
            </w:r>
          </w:p>
        </w:tc>
        <w:tc>
          <w:tcPr>
            <w:tcW w:w="26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1,151,330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1,594,373</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1,054,837</w:t>
            </w:r>
          </w:p>
        </w:tc>
      </w:tr>
      <w:tr>
        <w:trPr>
          <w:trHeight w:val="181"/>
        </w:trPr>
        <w:tc>
          <w:tcPr>
            <w:tcW w:w="57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Prepared foods</w:t>
            </w:r>
          </w:p>
        </w:tc>
        <w:tc>
          <w:tcPr>
            <w:tcW w:w="26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2,214,180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1,237,486</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951,718</w:t>
            </w:r>
          </w:p>
        </w:tc>
      </w:tr>
      <w:tr>
        <w:trPr>
          <w:trHeight w:val="180"/>
        </w:trPr>
        <w:tc>
          <w:tcPr>
            <w:tcW w:w="5760" w:type="dxa"/>
            <w:vAlign w:val="bottom"/>
          </w:tcPr>
          <w:p>
            <w:pPr>
              <w:ind w:left="120"/>
              <w:spacing w:after="0"/>
              <w:rPr>
                <w:sz w:val="20"/>
                <w:szCs w:val="20"/>
                <w:color w:val="auto"/>
              </w:rPr>
            </w:pPr>
            <w:r>
              <w:rPr>
                <w:rFonts w:ascii="Arial" w:cs="Arial" w:eastAsia="Arial" w:hAnsi="Arial"/>
                <w:sz w:val="14"/>
                <w:szCs w:val="14"/>
                <w:color w:val="auto"/>
              </w:rPr>
              <w:t>Export</w:t>
            </w:r>
          </w:p>
        </w:tc>
        <w:tc>
          <w:tcPr>
            <w:tcW w:w="26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458,588</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297,414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278,215</w:t>
            </w:r>
          </w:p>
        </w:tc>
      </w:tr>
      <w:tr>
        <w:trPr>
          <w:trHeight w:val="181"/>
        </w:trPr>
        <w:tc>
          <w:tcPr>
            <w:tcW w:w="57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products</w:t>
            </w:r>
          </w:p>
        </w:tc>
        <w:tc>
          <w:tcPr>
            <w:tcW w:w="260" w:type="dxa"/>
            <w:vAlign w:val="bottom"/>
            <w:tcBorders>
              <w:bottom w:val="single" w:sz="8" w:color="auto"/>
            </w:tcBorders>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109,964</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145,019</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99,023</w:t>
            </w:r>
          </w:p>
        </w:tc>
      </w:tr>
      <w:tr>
        <w:trPr>
          <w:trHeight w:val="171"/>
        </w:trPr>
        <w:tc>
          <w:tcPr>
            <w:tcW w:w="5760" w:type="dxa"/>
            <w:vAlign w:val="bottom"/>
          </w:tcPr>
          <w:p>
            <w:pPr>
              <w:ind w:left="180"/>
              <w:spacing w:after="0"/>
              <w:rPr>
                <w:sz w:val="20"/>
                <w:szCs w:val="20"/>
                <w:color w:val="auto"/>
              </w:rPr>
            </w:pPr>
            <w:r>
              <w:rPr>
                <w:rFonts w:ascii="Arial" w:cs="Arial" w:eastAsia="Arial" w:hAnsi="Arial"/>
                <w:sz w:val="14"/>
                <w:szCs w:val="14"/>
                <w:color w:val="auto"/>
              </w:rPr>
              <w:t>Total U.K. and Europe reportable segment</w:t>
            </w:r>
          </w:p>
        </w:tc>
        <w:tc>
          <w:tcPr>
            <w:tcW w:w="2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3,934,062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3,274,292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2,383,793</w:t>
            </w:r>
          </w:p>
        </w:tc>
      </w:tr>
      <w:tr>
        <w:trPr>
          <w:trHeight w:val="181"/>
        </w:trPr>
        <w:tc>
          <w:tcPr>
            <w:tcW w:w="5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Mexico reportable segment:</w:t>
            </w:r>
          </w:p>
        </w:tc>
        <w:tc>
          <w:tcPr>
            <w:tcW w:w="26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r>
      <w:tr>
        <w:trPr>
          <w:trHeight w:val="180"/>
        </w:trPr>
        <w:tc>
          <w:tcPr>
            <w:tcW w:w="5760" w:type="dxa"/>
            <w:vAlign w:val="bottom"/>
          </w:tcPr>
          <w:p>
            <w:pPr>
              <w:ind w:left="120"/>
              <w:spacing w:after="0"/>
              <w:rPr>
                <w:sz w:val="20"/>
                <w:szCs w:val="20"/>
                <w:color w:val="auto"/>
              </w:rPr>
            </w:pPr>
            <w:r>
              <w:rPr>
                <w:rFonts w:ascii="Arial" w:cs="Arial" w:eastAsia="Arial" w:hAnsi="Arial"/>
                <w:sz w:val="14"/>
                <w:szCs w:val="14"/>
                <w:color w:val="auto"/>
              </w:rPr>
              <w:t>Fresh products</w:t>
            </w:r>
          </w:p>
        </w:tc>
        <w:tc>
          <w:tcPr>
            <w:tcW w:w="26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1,515,453</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1,210,952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1,245,976</w:t>
            </w:r>
          </w:p>
        </w:tc>
      </w:tr>
      <w:tr>
        <w:trPr>
          <w:trHeight w:val="181"/>
        </w:trPr>
        <w:tc>
          <w:tcPr>
            <w:tcW w:w="57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Prepared foods</w:t>
            </w:r>
          </w:p>
        </w:tc>
        <w:tc>
          <w:tcPr>
            <w:tcW w:w="26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128,208</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66,572</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95,733</w:t>
            </w:r>
          </w:p>
        </w:tc>
      </w:tr>
      <w:tr>
        <w:trPr>
          <w:trHeight w:val="180"/>
        </w:trPr>
        <w:tc>
          <w:tcPr>
            <w:tcW w:w="576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Other products</w:t>
            </w:r>
          </w:p>
        </w:tc>
        <w:tc>
          <w:tcPr>
            <w:tcW w:w="2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85,856</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44,068</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47,001</w:t>
            </w:r>
          </w:p>
        </w:tc>
      </w:tr>
      <w:tr>
        <w:trPr>
          <w:trHeight w:val="171"/>
        </w:trPr>
        <w:tc>
          <w:tcPr>
            <w:tcW w:w="57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Total Mexico reportable segment</w:t>
            </w:r>
          </w:p>
        </w:tc>
        <w:tc>
          <w:tcPr>
            <w:tcW w:w="26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1,729,517</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1,321,592</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1,388,710</w:t>
            </w:r>
          </w:p>
        </w:tc>
      </w:tr>
      <w:tr>
        <w:trPr>
          <w:trHeight w:val="171"/>
        </w:trPr>
        <w:tc>
          <w:tcPr>
            <w:tcW w:w="5760" w:type="dxa"/>
            <w:vAlign w:val="bottom"/>
          </w:tcPr>
          <w:p>
            <w:pPr>
              <w:ind w:left="360"/>
              <w:spacing w:after="0"/>
              <w:rPr>
                <w:sz w:val="20"/>
                <w:szCs w:val="20"/>
                <w:color w:val="auto"/>
              </w:rPr>
            </w:pPr>
            <w:r>
              <w:rPr>
                <w:rFonts w:ascii="Arial" w:cs="Arial" w:eastAsia="Arial" w:hAnsi="Arial"/>
                <w:sz w:val="14"/>
                <w:szCs w:val="14"/>
                <w:color w:val="auto"/>
              </w:rPr>
              <w:t>Total net sales</w:t>
            </w:r>
          </w:p>
        </w:tc>
        <w:tc>
          <w:tcPr>
            <w:tcW w:w="2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14,777,458</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w w:val="76"/>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12,091,901</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w w:val="76"/>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11,409,219</w:t>
            </w:r>
          </w:p>
        </w:tc>
      </w:tr>
      <w:tr>
        <w:trPr>
          <w:trHeight w:val="20"/>
        </w:trPr>
        <w:tc>
          <w:tcPr>
            <w:tcW w:w="5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Raw Materials</w:t>
      </w:r>
    </w:p>
    <w:p>
      <w:pPr>
        <w:spacing w:after="0" w:line="140" w:lineRule="exact"/>
        <w:rPr>
          <w:sz w:val="20"/>
          <w:szCs w:val="20"/>
          <w:color w:val="auto"/>
        </w:rPr>
      </w:pPr>
    </w:p>
    <w:p>
      <w:pPr>
        <w:jc w:val="both"/>
        <w:ind w:firstLine="509"/>
        <w:spacing w:after="0" w:line="282" w:lineRule="auto"/>
        <w:rPr>
          <w:sz w:val="20"/>
          <w:szCs w:val="20"/>
          <w:color w:val="auto"/>
        </w:rPr>
      </w:pPr>
      <w:r>
        <w:rPr>
          <w:rFonts w:ascii="Arial" w:cs="Arial" w:eastAsia="Arial" w:hAnsi="Arial"/>
          <w:sz w:val="13"/>
          <w:szCs w:val="13"/>
          <w:i w:val="1"/>
          <w:iCs w:val="1"/>
          <w:color w:val="auto"/>
        </w:rPr>
        <w:t>Grains</w:t>
      </w:r>
      <w:r>
        <w:rPr>
          <w:rFonts w:ascii="Arial" w:cs="Arial" w:eastAsia="Arial" w:hAnsi="Arial"/>
          <w:sz w:val="13"/>
          <w:szCs w:val="13"/>
          <w:color w:val="auto"/>
        </w:rPr>
        <w:t>. The Company utilizes various raw materials in its operations, including corn, soybean meal and wheat, along with various other ingredients from which the Company produces its</w:t>
      </w:r>
      <w:r>
        <w:rPr>
          <w:rFonts w:ascii="Arial" w:cs="Arial" w:eastAsia="Arial" w:hAnsi="Arial"/>
          <w:sz w:val="13"/>
          <w:szCs w:val="13"/>
          <w:i w:val="1"/>
          <w:iCs w:val="1"/>
          <w:color w:val="auto"/>
        </w:rPr>
        <w:t xml:space="preserve"> </w:t>
      </w:r>
      <w:r>
        <w:rPr>
          <w:rFonts w:ascii="Arial" w:cs="Arial" w:eastAsia="Arial" w:hAnsi="Arial"/>
          <w:sz w:val="13"/>
          <w:szCs w:val="13"/>
          <w:color w:val="auto"/>
        </w:rPr>
        <w:t>own formulated feeds. In 2021, corn, soybean meal and wheat accounted for approximately 52.9%, 41.0% and 6.0% of our feed costs, respectively. The production of feed ingredients is positively or negatively affected primarily by the global level of supply inventories, demand for feed ingredients, the agricultural policies of the U.S. and foreign governments and weather patterns throughout the world. We attempt to mitigate the impact of price volatility on our profitability by decreasing the amount of our products that are sold under longer term fixed-price contracts, broadening our product portfolio and expanding the variety of contracts within our book of business. To also manage this risk, we purchase derivative financial instruments. The Company has long-standing relationships with its sources of grain and other feed ingredients and expects to have an adequate supply for its present needs.</w:t>
      </w:r>
    </w:p>
    <w:p>
      <w:pPr>
        <w:spacing w:after="0" w:line="92"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4"/>
          <w:szCs w:val="14"/>
          <w:i w:val="1"/>
          <w:iCs w:val="1"/>
          <w:color w:val="auto"/>
        </w:rPr>
        <w:t>Live chicks</w:t>
      </w:r>
      <w:r>
        <w:rPr>
          <w:rFonts w:ascii="Arial" w:cs="Arial" w:eastAsia="Arial" w:hAnsi="Arial"/>
          <w:sz w:val="14"/>
          <w:szCs w:val="14"/>
          <w:color w:val="auto"/>
        </w:rPr>
        <w:t>. The Company’s chicken operations purchase one-day old chicks from a few major breeders. These chicks, when mature, serve as the grandparent and parent stock of the broilers</w:t>
      </w:r>
      <w:r>
        <w:rPr>
          <w:rFonts w:ascii="Arial" w:cs="Arial" w:eastAsia="Arial" w:hAnsi="Arial"/>
          <w:sz w:val="14"/>
          <w:szCs w:val="14"/>
          <w:i w:val="1"/>
          <w:iCs w:val="1"/>
          <w:color w:val="auto"/>
        </w:rPr>
        <w:t xml:space="preserve"> </w:t>
      </w:r>
      <w:r>
        <w:rPr>
          <w:rFonts w:ascii="Arial" w:cs="Arial" w:eastAsia="Arial" w:hAnsi="Arial"/>
          <w:sz w:val="14"/>
          <w:szCs w:val="14"/>
          <w:color w:val="auto"/>
        </w:rPr>
        <w:t>that these operations process for consumption. Should breeder stock from its present suppliers not be available for any reason, the Company believes that it could obtain adequate breeder stock from other suppliers in the regions in which it operates.</w:t>
      </w:r>
    </w:p>
    <w:p>
      <w:pPr>
        <w:spacing w:after="0" w:line="99"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i w:val="1"/>
          <w:iCs w:val="1"/>
          <w:color w:val="auto"/>
        </w:rPr>
        <w:t>Live pigs</w:t>
      </w:r>
      <w:r>
        <w:rPr>
          <w:rFonts w:ascii="Arial" w:cs="Arial" w:eastAsia="Arial" w:hAnsi="Arial"/>
          <w:sz w:val="14"/>
          <w:szCs w:val="14"/>
          <w:color w:val="auto"/>
        </w:rPr>
        <w:t>. The Company’s pork operations maintain a pig production base that makes up approximately 50.0% of the total number of pigs processed by the Company each year. Additionally,</w:t>
      </w:r>
      <w:r>
        <w:rPr>
          <w:rFonts w:ascii="Arial" w:cs="Arial" w:eastAsia="Arial" w:hAnsi="Arial"/>
          <w:sz w:val="14"/>
          <w:szCs w:val="14"/>
          <w:i w:val="1"/>
          <w:iCs w:val="1"/>
          <w:color w:val="auto"/>
        </w:rPr>
        <w:t xml:space="preserve"> </w:t>
      </w:r>
      <w:r>
        <w:rPr>
          <w:rFonts w:ascii="Arial" w:cs="Arial" w:eastAsia="Arial" w:hAnsi="Arial"/>
          <w:sz w:val="14"/>
          <w:szCs w:val="14"/>
          <w:color w:val="auto"/>
        </w:rPr>
        <w:t>the Company’s pork operations procure live pigs for slaughter within a few days of purchase from numerous independent farmers throughout the U.K. Live pigs sourced from independent farmers make up approximately 50.0% of the total number of pigs processed by the Company each year. Although we generally expect adequate supply of live pigs in the U.K., there may be periods of imbalance in supply and demand.</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Trademarks</w:t>
      </w:r>
    </w:p>
    <w:p>
      <w:pPr>
        <w:spacing w:after="0" w:line="140" w:lineRule="exact"/>
        <w:rPr>
          <w:sz w:val="20"/>
          <w:szCs w:val="20"/>
          <w:color w:val="auto"/>
        </w:rPr>
      </w:pPr>
    </w:p>
    <w:p>
      <w:pPr>
        <w:jc w:val="both"/>
        <w:ind w:firstLine="509"/>
        <w:spacing w:after="0" w:line="288" w:lineRule="auto"/>
        <w:rPr>
          <w:sz w:val="20"/>
          <w:szCs w:val="20"/>
          <w:color w:val="auto"/>
        </w:rPr>
      </w:pPr>
      <w:r>
        <w:rPr>
          <w:rFonts w:ascii="Arial" w:cs="Arial" w:eastAsia="Arial" w:hAnsi="Arial"/>
          <w:sz w:val="13"/>
          <w:szCs w:val="13"/>
          <w:color w:val="auto"/>
        </w:rPr>
        <w:t>We own registered trademarks which are used in connection with our activity in our business. The trademarks are important to the overall marketing and branding of our products. All major trademarks in our business are registered. In part, our success can be attributed to the existence and continued protection of these trademarks. As long as the Company continues to use its trademarks, they are renewed indefinitely. Some of the more significant owned or licensed trademarks used by the Company or its affiliates are Pilgrim’s®, Just BARE®, Gold’n Pump®, Gold Kist®, County Pride®, Pierce Chicken®, Pilgrim’s® Mexico, County Post®, Savoro, To-Ricos, Del Dia®, Moy Park, O’Kane, Richmond, Fridge Raiders and Denny.</w:t>
      </w:r>
    </w:p>
    <w:p>
      <w:pPr>
        <w:spacing w:after="0" w:line="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Seasonality</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 w:name="page6"/>
    <w:bookmarkEnd w:id="5"/>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-6985</wp:posOffset>
            </wp:positionV>
            <wp:extent cx="727075" cy="69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075" cy="6985"/>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jc w:val="both"/>
        <w:ind w:firstLine="509"/>
        <w:spacing w:after="0" w:line="281" w:lineRule="auto"/>
        <w:rPr>
          <w:sz w:val="20"/>
          <w:szCs w:val="20"/>
          <w:color w:val="auto"/>
        </w:rPr>
      </w:pPr>
      <w:r>
        <w:rPr>
          <w:rFonts w:ascii="Arial" w:cs="Arial" w:eastAsia="Arial" w:hAnsi="Arial"/>
          <w:sz w:val="14"/>
          <w:szCs w:val="14"/>
          <w:color w:val="auto"/>
        </w:rPr>
        <w:t>The demand for our chicken products generally is greatest during the spring and summer months and lowest during the winter months. The demand for our pork products generally is higher during the summer and peaks during the winter primarily due to the holiday season.</w:t>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Key Customers</w:t>
      </w:r>
    </w:p>
    <w:p>
      <w:pPr>
        <w:spacing w:after="0" w:line="140" w:lineRule="exact"/>
        <w:rPr>
          <w:sz w:val="20"/>
          <w:szCs w:val="20"/>
          <w:color w:val="auto"/>
        </w:rPr>
      </w:pPr>
    </w:p>
    <w:p>
      <w:pPr>
        <w:jc w:val="both"/>
        <w:ind w:firstLine="509"/>
        <w:spacing w:after="0" w:line="281" w:lineRule="auto"/>
        <w:rPr>
          <w:sz w:val="20"/>
          <w:szCs w:val="20"/>
          <w:color w:val="auto"/>
        </w:rPr>
      </w:pPr>
      <w:r>
        <w:rPr>
          <w:rFonts w:ascii="Arial" w:cs="Arial" w:eastAsia="Arial" w:hAnsi="Arial"/>
          <w:sz w:val="14"/>
          <w:szCs w:val="14"/>
          <w:color w:val="auto"/>
        </w:rPr>
        <w:t>Our two largest customers accounted for approximately 12.0% and 13.1% of our net sales in 2021 and 2020, respectively. No single customer accounted for ten percent or more of our net sales in either 2021 or 2020.</w:t>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Competition</w:t>
      </w:r>
    </w:p>
    <w:p>
      <w:pPr>
        <w:spacing w:after="0" w:line="140"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4"/>
          <w:szCs w:val="14"/>
          <w:color w:val="auto"/>
        </w:rPr>
        <w:t>The chicken and pork industry in the U.S., the U.K., continental Europe and Mexico is highly competitive. The competitive factors in our business include price, product quality, product development, brand identification, breadth of product line and customer service. We believe that being a vertically integrated chicken company and having a fully integrated supply chain in the pork business provides us with long-term cost and quality advantages over non-vertically integrated and other processors. We utilize numerous advertising and marketing techniques to develop and strengthen trade and consumer awareness and increase brand loyalty for consumer products. We believe our efforts to achieve and maintain brand awareness and loyalty help to achieve greater price premiums than would otherwise be the case in certain markets and support and expand our product distribution. We actively seek to identify and address consumer preferences by using sophisticated qualitative and quantitative consumer research techniques in key geographic markets to discover and validate new product ideas, packaging designs and methods. Although poultry and pork are relatively inexpensive in comparison with other meats, we compete indirectly with the producers of other meats and fish, since changes in the relative prices of these foods may alter consumer buying patterns.</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Regulation and Environmental Matters</w:t>
      </w:r>
    </w:p>
    <w:p>
      <w:pPr>
        <w:spacing w:after="0" w:line="140"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4"/>
          <w:szCs w:val="14"/>
          <w:color w:val="auto"/>
        </w:rPr>
        <w:t>The poultry and pork industries are subject to government regulation, particularly in the health, workplace safety and environmental areas, including provisions relating to the discharge of materials into the environment, treatment and disposal of agricultural and food processing wastes, the use and maintenance of refrigeration systems, ammonia-based chillers, noise, odor and dust management, the operation of mechanized processing equipment and other operations, storm water, air emissions, treatment, storage and disposal of wastes, handling of hazardous substances and remediation of contaminated soil, surface water and groundwater, by the Centers for Disease Control, the United States Department of Agriculture (“USDA”), the Food and Drug Administration (“FDA”), the Environmental Protection Agency (“EPA”), the Occupational Safety and Health Administration and state and local regulatory authorities in the U.S. and by similar governmental agencies in the U.K., continental Europe and Mexico. Our chicken processing facilities in the U.S. are subject to on-site examination, inspection and regulation by the USDA. The FDA inspects the production of our feed mills in the U.S. Our food processing facilities and feed mills in the U.K., continental Europe and Mexico are subject to on-site examination, inspection and regulation by government agencies that perform functions similar to those performed by the USDA and FDA.</w:t>
      </w:r>
    </w:p>
    <w:p>
      <w:pPr>
        <w:spacing w:after="0" w:line="106"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color w:val="auto"/>
        </w:rPr>
        <w:t>The EPA, environmental authorities in the U.K., continental Europe and Mexico, and/or other U.S. or Mexican state and local authorities may, from time to time, adopt revisions to environmental rules and regulations, and/or changes in the terms and conditions of our environmental permits, with which we must comply. Compliance with existing or new environmental requirements, including more stringent limitations imposed or expected in recently-renewed or soon-to be renewed environmental permits, may require capital expenditures and operating expenses which may be significant.</w:t>
      </w:r>
    </w:p>
    <w:p>
      <w:pPr>
        <w:spacing w:after="0" w:line="103"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color w:val="auto"/>
        </w:rPr>
        <w:t>In the U.K., all Moy Park poultry farms which exceed a threshold size of 40,000 birds placed are required to carry out activities in compliance with their environmental permits and they must use Best Available Techniques in order to achieve a high level of environmental protection. PPL’s sites are independently audited and certified by the British Retail Consortium standard. Many of PPL’s sites are certified by additional and traceability schemes including Royal Society for the Prevention of Cruelty to Animals Assured, Soil Association, Organic Farmers and Growers and Assured Food Standards.</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Human Capital Resources</w:t>
      </w:r>
    </w:p>
    <w:p>
      <w:pPr>
        <w:spacing w:after="0" w:line="140" w:lineRule="exact"/>
        <w:rPr>
          <w:sz w:val="20"/>
          <w:szCs w:val="20"/>
          <w:color w:val="auto"/>
        </w:rPr>
      </w:pPr>
    </w:p>
    <w:p>
      <w:pPr>
        <w:jc w:val="both"/>
        <w:ind w:firstLine="509"/>
        <w:spacing w:after="0" w:line="251" w:lineRule="auto"/>
        <w:rPr>
          <w:sz w:val="20"/>
          <w:szCs w:val="20"/>
          <w:color w:val="auto"/>
        </w:rPr>
      </w:pPr>
      <w:r>
        <w:rPr>
          <w:rFonts w:ascii="Arial" w:cs="Arial" w:eastAsia="Arial" w:hAnsi="Arial"/>
          <w:sz w:val="14"/>
          <w:szCs w:val="14"/>
          <w:color w:val="auto"/>
        </w:rPr>
        <w:t>As of December 26, 2021, we employed almost 59,400 persons. Our success is largely dependent on the skills, experience and efforts of our employees. We rely on an adequate number of skilled employees to serve in critical production roles, such as processing workers and operations supervisors. In managing our business, we focus on a number of human capital measures or objectives, which are rooted in our core values and include the following items:</w:t>
      </w:r>
    </w:p>
    <w:p>
      <w:pPr>
        <w:spacing w:after="0" w:line="100" w:lineRule="exact"/>
        <w:rPr>
          <w:sz w:val="20"/>
          <w:szCs w:val="20"/>
          <w:color w:val="auto"/>
        </w:rPr>
      </w:pPr>
    </w:p>
    <w:p>
      <w:pPr>
        <w:ind w:left="520"/>
        <w:spacing w:after="0"/>
        <w:rPr>
          <w:sz w:val="20"/>
          <w:szCs w:val="20"/>
          <w:color w:val="auto"/>
        </w:rPr>
      </w:pPr>
      <w:r>
        <w:rPr>
          <w:rFonts w:ascii="Arial" w:cs="Arial" w:eastAsia="Arial" w:hAnsi="Arial"/>
          <w:sz w:val="14"/>
          <w:szCs w:val="14"/>
          <w:i w:val="1"/>
          <w:iCs w:val="1"/>
          <w:color w:val="auto"/>
        </w:rPr>
        <w:t xml:space="preserve">Health and Safety. </w:t>
      </w:r>
      <w:r>
        <w:rPr>
          <w:rFonts w:ascii="Arial" w:cs="Arial" w:eastAsia="Arial" w:hAnsi="Arial"/>
          <w:sz w:val="14"/>
          <w:szCs w:val="14"/>
          <w:color w:val="auto"/>
        </w:rPr>
        <w:t>A core tenet of our Company is the promotion of a safe and healthy working environment. Key examples of our focus and commitment include:</w:t>
      </w:r>
    </w:p>
    <w:p>
      <w:pPr>
        <w:spacing w:after="0" w:line="115" w:lineRule="exact"/>
        <w:rPr>
          <w:sz w:val="20"/>
          <w:szCs w:val="20"/>
          <w:color w:val="auto"/>
        </w:rPr>
      </w:pPr>
    </w:p>
    <w:p>
      <w:pPr>
        <w:jc w:val="center"/>
        <w:ind w:left="5600" w:right="280" w:hanging="5086"/>
        <w:spacing w:after="0" w:line="914" w:lineRule="auto"/>
        <w:tabs>
          <w:tab w:leader="none" w:pos="757"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engage with our team members through the use of safety committees and other safety initiatives to improve the overall safety of the workplace and advance a safety first culture.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-245110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 w:name="page7"/>
    <w:bookmarkEnd w:id="6"/>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-6985</wp:posOffset>
            </wp:positionV>
            <wp:extent cx="727075" cy="6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075" cy="6985"/>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ind w:left="760" w:hanging="246"/>
        <w:spacing w:after="0" w:line="249" w:lineRule="auto"/>
        <w:tabs>
          <w:tab w:leader="none" w:pos="756" w:val="left"/>
        </w:tabs>
        <w:numPr>
          <w:ilvl w:val="0"/>
          <w:numId w:val="4"/>
        </w:numPr>
        <w:rPr>
          <w:rFonts w:ascii="Arial" w:cs="Arial" w:eastAsia="Arial" w:hAnsi="Arial"/>
          <w:sz w:val="14"/>
          <w:szCs w:val="14"/>
          <w:color w:val="auto"/>
        </w:rPr>
      </w:pPr>
      <w:r>
        <w:rPr>
          <w:rFonts w:ascii="Arial" w:cs="Arial" w:eastAsia="Arial" w:hAnsi="Arial"/>
          <w:sz w:val="14"/>
          <w:szCs w:val="14"/>
          <w:color w:val="auto"/>
        </w:rPr>
        <w:t>We train team members on how to identify physical hazards, conduct focused daily, monthly and annual physical hazard assessments at all facilities, ensure that all identified physical hazards are logged and ensure timely remediation.</w:t>
      </w:r>
    </w:p>
    <w:p>
      <w:pPr>
        <w:spacing w:after="0" w:line="90" w:lineRule="exact"/>
        <w:rPr>
          <w:rFonts w:ascii="Arial" w:cs="Arial" w:eastAsia="Arial" w:hAnsi="Arial"/>
          <w:sz w:val="14"/>
          <w:szCs w:val="14"/>
          <w:color w:val="auto"/>
        </w:rPr>
      </w:pPr>
    </w:p>
    <w:p>
      <w:pPr>
        <w:ind w:left="760" w:hanging="246"/>
        <w:spacing w:after="0"/>
        <w:tabs>
          <w:tab w:leader="none" w:pos="760" w:val="left"/>
        </w:tabs>
        <w:numPr>
          <w:ilvl w:val="0"/>
          <w:numId w:val="4"/>
        </w:numPr>
        <w:rPr>
          <w:rFonts w:ascii="Arial" w:cs="Arial" w:eastAsia="Arial" w:hAnsi="Arial"/>
          <w:sz w:val="14"/>
          <w:szCs w:val="14"/>
          <w:color w:val="auto"/>
        </w:rPr>
      </w:pPr>
      <w:r>
        <w:rPr>
          <w:rFonts w:ascii="Arial" w:cs="Arial" w:eastAsia="Arial" w:hAnsi="Arial"/>
          <w:sz w:val="14"/>
          <w:szCs w:val="14"/>
          <w:color w:val="auto"/>
        </w:rPr>
        <w:t>Leveraging third party experts, we conduct regular ergonomic assessments, ensure that all identified ergonomic issues are logged and ensure timely remediation.</w:t>
      </w:r>
    </w:p>
    <w:p>
      <w:pPr>
        <w:spacing w:after="0" w:line="114" w:lineRule="exact"/>
        <w:rPr>
          <w:rFonts w:ascii="Arial" w:cs="Arial" w:eastAsia="Arial" w:hAnsi="Arial"/>
          <w:sz w:val="14"/>
          <w:szCs w:val="14"/>
          <w:color w:val="auto"/>
        </w:rPr>
      </w:pPr>
    </w:p>
    <w:p>
      <w:pPr>
        <w:ind w:left="760" w:hanging="246"/>
        <w:spacing w:after="0"/>
        <w:tabs>
          <w:tab w:leader="none" w:pos="760" w:val="left"/>
        </w:tabs>
        <w:numPr>
          <w:ilvl w:val="0"/>
          <w:numId w:val="4"/>
        </w:numPr>
        <w:rPr>
          <w:rFonts w:ascii="Arial" w:cs="Arial" w:eastAsia="Arial" w:hAnsi="Arial"/>
          <w:sz w:val="13"/>
          <w:szCs w:val="13"/>
          <w:color w:val="auto"/>
        </w:rPr>
      </w:pPr>
      <w:r>
        <w:rPr>
          <w:rFonts w:ascii="Arial" w:cs="Arial" w:eastAsia="Arial" w:hAnsi="Arial"/>
          <w:sz w:val="13"/>
          <w:szCs w:val="13"/>
          <w:color w:val="auto"/>
        </w:rPr>
        <w:t>We conduct safety audits of all facilities on an annual basis. These audits include auditing the physical state of the plant, policies, safety culture and our occupational health clinics.</w:t>
      </w:r>
    </w:p>
    <w:p>
      <w:pPr>
        <w:spacing w:after="0" w:line="126" w:lineRule="exact"/>
        <w:rPr>
          <w:rFonts w:ascii="Arial" w:cs="Arial" w:eastAsia="Arial" w:hAnsi="Arial"/>
          <w:sz w:val="13"/>
          <w:szCs w:val="13"/>
          <w:color w:val="auto"/>
        </w:rPr>
      </w:pPr>
    </w:p>
    <w:p>
      <w:pPr>
        <w:ind w:left="760" w:hanging="246"/>
        <w:spacing w:after="0"/>
        <w:tabs>
          <w:tab w:leader="none" w:pos="760"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efforts have resulted in year-over-year reductions in severe injuries, lost time incident rate and days away restricted or transferred of 13%, 6% and 8%, respectively.</w:t>
      </w:r>
    </w:p>
    <w:p>
      <w:pPr>
        <w:spacing w:after="0" w:line="125" w:lineRule="exact"/>
        <w:rPr>
          <w:rFonts w:ascii="Arial" w:cs="Arial" w:eastAsia="Arial" w:hAnsi="Arial"/>
          <w:sz w:val="14"/>
          <w:szCs w:val="14"/>
          <w:color w:val="auto"/>
        </w:rPr>
      </w:pPr>
    </w:p>
    <w:p>
      <w:pPr>
        <w:jc w:val="both"/>
        <w:ind w:left="760" w:hanging="246"/>
        <w:spacing w:after="0" w:line="251" w:lineRule="auto"/>
        <w:tabs>
          <w:tab w:leader="none" w:pos="756" w:val="left"/>
        </w:tabs>
        <w:numPr>
          <w:ilvl w:val="0"/>
          <w:numId w:val="4"/>
        </w:numPr>
        <w:rPr>
          <w:rFonts w:ascii="Arial" w:cs="Arial" w:eastAsia="Arial" w:hAnsi="Arial"/>
          <w:sz w:val="14"/>
          <w:szCs w:val="14"/>
          <w:b w:val="1"/>
          <w:bCs w:val="1"/>
          <w:color w:val="auto"/>
        </w:rPr>
      </w:pPr>
      <w:r>
        <w:rPr>
          <w:rFonts w:ascii="Arial" w:cs="Arial" w:eastAsia="Arial" w:hAnsi="Arial"/>
          <w:sz w:val="14"/>
          <w:szCs w:val="14"/>
          <w:color w:val="auto"/>
        </w:rPr>
        <w:t>As discussed in “Part II, Item 7—Management’s Discussion and Analysis of Financial Condition and Results of Operations—Impact of COVID-19,” we have implemented and continue to implement numerous health and safety policies and procedures focused on reducing the spread of novel coronavirus (“COVID-19”) and protecting our facility workers from risks of illness while maintaining our business continuity.</w:t>
      </w:r>
    </w:p>
    <w:p>
      <w:pPr>
        <w:spacing w:after="0" w:line="100" w:lineRule="exact"/>
        <w:rPr>
          <w:sz w:val="20"/>
          <w:szCs w:val="20"/>
          <w:color w:val="auto"/>
        </w:rPr>
      </w:pPr>
    </w:p>
    <w:p>
      <w:pPr>
        <w:ind w:firstLine="509"/>
        <w:spacing w:after="0" w:line="265" w:lineRule="auto"/>
        <w:rPr>
          <w:sz w:val="20"/>
          <w:szCs w:val="20"/>
          <w:color w:val="auto"/>
        </w:rPr>
      </w:pPr>
      <w:r>
        <w:rPr>
          <w:rFonts w:ascii="Arial" w:cs="Arial" w:eastAsia="Arial" w:hAnsi="Arial"/>
          <w:sz w:val="14"/>
          <w:szCs w:val="14"/>
          <w:i w:val="1"/>
          <w:iCs w:val="1"/>
          <w:color w:val="auto"/>
        </w:rPr>
        <w:t xml:space="preserve">Diversity and Inclusion. </w:t>
      </w:r>
      <w:r>
        <w:rPr>
          <w:rFonts w:ascii="Arial" w:cs="Arial" w:eastAsia="Arial" w:hAnsi="Arial"/>
          <w:sz w:val="14"/>
          <w:szCs w:val="14"/>
          <w:color w:val="auto"/>
        </w:rPr>
        <w:t>We believe that promoting diversity and inclusion among our workforce helps to create a trusting and productive workplace. We encourage the management teams at</w:t>
      </w:r>
      <w:r>
        <w:rPr>
          <w:rFonts w:ascii="Arial" w:cs="Arial" w:eastAsia="Arial" w:hAnsi="Arial"/>
          <w:sz w:val="14"/>
          <w:szCs w:val="14"/>
          <w:i w:val="1"/>
          <w:iCs w:val="1"/>
          <w:color w:val="auto"/>
        </w:rPr>
        <w:t xml:space="preserve"> </w:t>
      </w:r>
      <w:r>
        <w:rPr>
          <w:rFonts w:ascii="Arial" w:cs="Arial" w:eastAsia="Arial" w:hAnsi="Arial"/>
          <w:sz w:val="14"/>
          <w:szCs w:val="14"/>
          <w:color w:val="auto"/>
        </w:rPr>
        <w:t>each facility to hire from the local regions in which they are located. In addition:</w:t>
      </w:r>
    </w:p>
    <w:p>
      <w:pPr>
        <w:spacing w:after="0" w:line="90" w:lineRule="exact"/>
        <w:rPr>
          <w:sz w:val="20"/>
          <w:szCs w:val="20"/>
          <w:color w:val="auto"/>
        </w:rPr>
      </w:pPr>
    </w:p>
    <w:p>
      <w:pPr>
        <w:jc w:val="both"/>
        <w:ind w:left="760" w:hanging="246"/>
        <w:spacing w:after="0" w:line="251" w:lineRule="auto"/>
        <w:tabs>
          <w:tab w:leader="none" w:pos="756" w:val="left"/>
        </w:tabs>
        <w:numPr>
          <w:ilvl w:val="0"/>
          <w:numId w:val="5"/>
        </w:numPr>
        <w:rPr>
          <w:rFonts w:ascii="Arial" w:cs="Arial" w:eastAsia="Arial" w:hAnsi="Arial"/>
          <w:sz w:val="14"/>
          <w:szCs w:val="14"/>
          <w:color w:val="auto"/>
        </w:rPr>
      </w:pPr>
      <w:r>
        <w:rPr>
          <w:rFonts w:ascii="Arial" w:cs="Arial" w:eastAsia="Arial" w:hAnsi="Arial"/>
          <w:sz w:val="14"/>
          <w:szCs w:val="14"/>
          <w:color w:val="auto"/>
        </w:rPr>
        <w:t>Our Equal Employment Opportunity Policy (“EEO Policy”) affirms our commitment to employ and support employees of all races, religions, colors, national origins, sexes, sexual orientations, gender identities and ages. Through the EEO Policy, we have been involved in diversity hiring initiatives and partnered with universities with an aim of recruiting from a diverse talent pool.</w:t>
      </w:r>
    </w:p>
    <w:p>
      <w:pPr>
        <w:spacing w:after="0" w:line="110" w:lineRule="exact"/>
        <w:rPr>
          <w:rFonts w:ascii="Arial" w:cs="Arial" w:eastAsia="Arial" w:hAnsi="Arial"/>
          <w:sz w:val="14"/>
          <w:szCs w:val="14"/>
          <w:color w:val="auto"/>
        </w:rPr>
      </w:pPr>
    </w:p>
    <w:p>
      <w:pPr>
        <w:ind w:left="760" w:hanging="246"/>
        <w:spacing w:after="0" w:line="235" w:lineRule="auto"/>
        <w:tabs>
          <w:tab w:leader="none" w:pos="751" w:val="left"/>
        </w:tabs>
        <w:numPr>
          <w:ilvl w:val="0"/>
          <w:numId w:val="5"/>
        </w:numPr>
        <w:rPr>
          <w:rFonts w:ascii="Arial" w:cs="Arial" w:eastAsia="Arial" w:hAnsi="Arial"/>
          <w:sz w:val="16"/>
          <w:szCs w:val="16"/>
          <w:color w:val="auto"/>
        </w:rPr>
      </w:pPr>
      <w:r>
        <w:rPr>
          <w:rFonts w:ascii="Arial" w:cs="Arial" w:eastAsia="Arial" w:hAnsi="Arial"/>
          <w:sz w:val="14"/>
          <w:szCs w:val="14"/>
          <w:color w:val="auto"/>
        </w:rPr>
        <w:t>We track our progress in our efforts to promote diversity and inclusion. For example, in 2021, women comprised 41%, 38% and 35% of our total workforce in the U.S., the U.K. and Europe, and Mexico, respectively, and 68% of our total workforce in the U.S. were minorities.</w:t>
      </w:r>
    </w:p>
    <w:p>
      <w:pPr>
        <w:spacing w:after="0" w:line="118" w:lineRule="exact"/>
        <w:rPr>
          <w:rFonts w:ascii="Arial" w:cs="Arial" w:eastAsia="Arial" w:hAnsi="Arial"/>
          <w:sz w:val="16"/>
          <w:szCs w:val="16"/>
          <w:color w:val="auto"/>
        </w:rPr>
      </w:pPr>
    </w:p>
    <w:p>
      <w:pPr>
        <w:ind w:left="760" w:hanging="246"/>
        <w:spacing w:after="0"/>
        <w:tabs>
          <w:tab w:leader="none" w:pos="760" w:val="left"/>
        </w:tabs>
        <w:numPr>
          <w:ilvl w:val="0"/>
          <w:numId w:val="5"/>
        </w:numPr>
        <w:rPr>
          <w:rFonts w:ascii="Arial" w:cs="Arial" w:eastAsia="Arial" w:hAnsi="Arial"/>
          <w:sz w:val="14"/>
          <w:szCs w:val="14"/>
          <w:color w:val="auto"/>
        </w:rPr>
      </w:pPr>
      <w:r>
        <w:rPr>
          <w:rFonts w:ascii="Arial" w:cs="Arial" w:eastAsia="Arial" w:hAnsi="Arial"/>
          <w:sz w:val="13"/>
          <w:szCs w:val="13"/>
          <w:color w:val="auto"/>
        </w:rPr>
        <w:t>Our management team members are expected to attend People First leadership training, which includes a model dedicated to training and awareness on diversity and inclusion.</w:t>
      </w:r>
    </w:p>
    <w:p>
      <w:pPr>
        <w:spacing w:after="0" w:line="136" w:lineRule="exact"/>
        <w:rPr>
          <w:rFonts w:ascii="Arial" w:cs="Arial" w:eastAsia="Arial" w:hAnsi="Arial"/>
          <w:sz w:val="14"/>
          <w:szCs w:val="14"/>
          <w:color w:val="auto"/>
        </w:rPr>
      </w:pPr>
    </w:p>
    <w:p>
      <w:pPr>
        <w:ind w:left="760" w:hanging="246"/>
        <w:spacing w:after="0"/>
        <w:tabs>
          <w:tab w:leader="none" w:pos="760" w:val="left"/>
        </w:tabs>
        <w:numPr>
          <w:ilvl w:val="0"/>
          <w:numId w:val="5"/>
        </w:numPr>
        <w:rPr>
          <w:rFonts w:ascii="Arial" w:cs="Arial" w:eastAsia="Arial" w:hAnsi="Arial"/>
          <w:sz w:val="14"/>
          <w:szCs w:val="14"/>
          <w:color w:val="auto"/>
        </w:rPr>
      </w:pPr>
      <w:r>
        <w:rPr>
          <w:rFonts w:ascii="Arial" w:cs="Arial" w:eastAsia="Arial" w:hAnsi="Arial"/>
          <w:sz w:val="13"/>
          <w:szCs w:val="13"/>
          <w:color w:val="auto"/>
        </w:rPr>
        <w:t>We provide workshops on diversity and inclusion for our employees and we engage in targeted recruitment at 20 of the nation’s largest historically black colleges and universities.</w:t>
      </w:r>
    </w:p>
    <w:p>
      <w:pPr>
        <w:spacing w:after="0" w:line="125" w:lineRule="exact"/>
        <w:rPr>
          <w:sz w:val="20"/>
          <w:szCs w:val="20"/>
          <w:color w:val="auto"/>
        </w:rPr>
      </w:pPr>
    </w:p>
    <w:p>
      <w:pPr>
        <w:ind w:firstLine="509"/>
        <w:spacing w:after="0" w:line="265" w:lineRule="auto"/>
        <w:rPr>
          <w:sz w:val="20"/>
          <w:szCs w:val="20"/>
          <w:color w:val="auto"/>
        </w:rPr>
      </w:pPr>
      <w:r>
        <w:rPr>
          <w:rFonts w:ascii="Arial" w:cs="Arial" w:eastAsia="Arial" w:hAnsi="Arial"/>
          <w:sz w:val="14"/>
          <w:szCs w:val="14"/>
          <w:i w:val="1"/>
          <w:iCs w:val="1"/>
          <w:color w:val="auto"/>
        </w:rPr>
        <w:t xml:space="preserve">Retention and Career Development. </w:t>
      </w:r>
      <w:r>
        <w:rPr>
          <w:rFonts w:ascii="Arial" w:cs="Arial" w:eastAsia="Arial" w:hAnsi="Arial"/>
          <w:sz w:val="14"/>
          <w:szCs w:val="14"/>
          <w:color w:val="auto"/>
        </w:rPr>
        <w:t>We are committed to retaining talented employees at both production and management levels by offering competitive compensation and benefits, as well</w:t>
      </w:r>
      <w:r>
        <w:rPr>
          <w:rFonts w:ascii="Arial" w:cs="Arial" w:eastAsia="Arial" w:hAnsi="Arial"/>
          <w:sz w:val="14"/>
          <w:szCs w:val="14"/>
          <w:i w:val="1"/>
          <w:iCs w:val="1"/>
          <w:color w:val="auto"/>
        </w:rPr>
        <w:t xml:space="preserve"> </w:t>
      </w:r>
      <w:r>
        <w:rPr>
          <w:rFonts w:ascii="Arial" w:cs="Arial" w:eastAsia="Arial" w:hAnsi="Arial"/>
          <w:sz w:val="14"/>
          <w:szCs w:val="14"/>
          <w:color w:val="auto"/>
        </w:rPr>
        <w:t>as leadership training and development opportunities.</w:t>
      </w:r>
    </w:p>
    <w:p>
      <w:pPr>
        <w:spacing w:after="0" w:line="101" w:lineRule="exact"/>
        <w:rPr>
          <w:sz w:val="20"/>
          <w:szCs w:val="20"/>
          <w:color w:val="auto"/>
        </w:rPr>
      </w:pPr>
    </w:p>
    <w:p>
      <w:pPr>
        <w:ind w:left="760" w:hanging="246"/>
        <w:spacing w:after="0" w:line="235" w:lineRule="auto"/>
        <w:tabs>
          <w:tab w:leader="none" w:pos="751" w:val="left"/>
        </w:tabs>
        <w:numPr>
          <w:ilvl w:val="0"/>
          <w:numId w:val="6"/>
        </w:numPr>
        <w:rPr>
          <w:rFonts w:ascii="Arial" w:cs="Arial" w:eastAsia="Arial" w:hAnsi="Arial"/>
          <w:sz w:val="16"/>
          <w:szCs w:val="16"/>
          <w:color w:val="auto"/>
        </w:rPr>
      </w:pPr>
      <w:r>
        <w:rPr>
          <w:rFonts w:ascii="Arial" w:cs="Arial" w:eastAsia="Arial" w:hAnsi="Arial"/>
          <w:sz w:val="14"/>
          <w:szCs w:val="14"/>
          <w:color w:val="auto"/>
        </w:rPr>
        <w:t>We strive to provide competitive pay to our team members and reward top performers. Our benefits offerings include a minimum paid time off and paid sick leave for salaried employees, life and disability insurance and Company-matching retirement plans.</w:t>
      </w:r>
    </w:p>
    <w:p>
      <w:pPr>
        <w:spacing w:after="0" w:line="107" w:lineRule="exact"/>
        <w:rPr>
          <w:rFonts w:ascii="Arial" w:cs="Arial" w:eastAsia="Arial" w:hAnsi="Arial"/>
          <w:sz w:val="16"/>
          <w:szCs w:val="16"/>
          <w:color w:val="auto"/>
        </w:rPr>
      </w:pPr>
    </w:p>
    <w:p>
      <w:pPr>
        <w:jc w:val="both"/>
        <w:ind w:left="760" w:hanging="246"/>
        <w:spacing w:after="0" w:line="301" w:lineRule="auto"/>
        <w:tabs>
          <w:tab w:leader="none" w:pos="756" w:val="left"/>
        </w:tabs>
        <w:numPr>
          <w:ilvl w:val="0"/>
          <w:numId w:val="6"/>
        </w:numPr>
        <w:rPr>
          <w:rFonts w:ascii="Arial" w:cs="Arial" w:eastAsia="Arial" w:hAnsi="Arial"/>
          <w:sz w:val="12"/>
          <w:szCs w:val="12"/>
          <w:color w:val="auto"/>
        </w:rPr>
      </w:pPr>
      <w:r>
        <w:rPr>
          <w:rFonts w:ascii="Arial" w:cs="Arial" w:eastAsia="Arial" w:hAnsi="Arial"/>
          <w:sz w:val="12"/>
          <w:szCs w:val="12"/>
          <w:color w:val="auto"/>
        </w:rPr>
        <w:t>We have extensive leadership training programs, such as our Supervisor Development Program, created to help identify and develop production workers into frontline supervisors, the aforementioned People First Program, designed to equip frontline supervisors with the behavioral and technical skills needed to effectively lead their production teams and our Summit Program, designed to improve the skill set of our senior leadership team. We have found that recognizing our employees’ efforts through training for continued advancement strengthens their performance and helps with our goals to achieve business results. Our employees completed over 350,000 training hours during 2021 and over 330,000 training hours during 2020.</w:t>
      </w:r>
    </w:p>
    <w:p>
      <w:pPr>
        <w:spacing w:after="0" w:line="72" w:lineRule="exact"/>
        <w:rPr>
          <w:sz w:val="20"/>
          <w:szCs w:val="20"/>
          <w:color w:val="auto"/>
        </w:rPr>
      </w:pPr>
    </w:p>
    <w:p>
      <w:pPr>
        <w:ind w:left="520"/>
        <w:spacing w:after="0"/>
        <w:rPr>
          <w:sz w:val="20"/>
          <w:szCs w:val="20"/>
          <w:color w:val="auto"/>
        </w:rPr>
      </w:pPr>
      <w:r>
        <w:rPr>
          <w:rFonts w:ascii="Arial" w:cs="Arial" w:eastAsia="Arial" w:hAnsi="Arial"/>
          <w:sz w:val="14"/>
          <w:szCs w:val="14"/>
          <w:i w:val="1"/>
          <w:iCs w:val="1"/>
          <w:color w:val="auto"/>
        </w:rPr>
        <w:t>Community Support</w:t>
      </w:r>
      <w:r>
        <w:rPr>
          <w:rFonts w:ascii="Arial" w:cs="Arial" w:eastAsia="Arial" w:hAnsi="Arial"/>
          <w:sz w:val="14"/>
          <w:szCs w:val="14"/>
          <w:color w:val="auto"/>
        </w:rPr>
        <w:t>. We are focused on supporting the communities in which we operate and serve.</w:t>
      </w:r>
    </w:p>
    <w:p>
      <w:pPr>
        <w:spacing w:after="0" w:line="125" w:lineRule="exact"/>
        <w:rPr>
          <w:sz w:val="20"/>
          <w:szCs w:val="20"/>
          <w:color w:val="auto"/>
        </w:rPr>
      </w:pPr>
    </w:p>
    <w:p>
      <w:pPr>
        <w:jc w:val="both"/>
        <w:ind w:left="760" w:hanging="246"/>
        <w:spacing w:after="0" w:line="246" w:lineRule="auto"/>
        <w:tabs>
          <w:tab w:leader="none" w:pos="756" w:val="left"/>
        </w:tabs>
        <w:numPr>
          <w:ilvl w:val="0"/>
          <w:numId w:val="7"/>
        </w:numPr>
        <w:rPr>
          <w:rFonts w:ascii="Arial" w:cs="Arial" w:eastAsia="Arial" w:hAnsi="Arial"/>
          <w:sz w:val="14"/>
          <w:szCs w:val="14"/>
          <w:color w:val="auto"/>
        </w:rPr>
      </w:pPr>
      <w:r>
        <w:rPr>
          <w:rFonts w:ascii="Arial" w:cs="Arial" w:eastAsia="Arial" w:hAnsi="Arial"/>
          <w:sz w:val="14"/>
          <w:szCs w:val="14"/>
          <w:i w:val="1"/>
          <w:iCs w:val="1"/>
          <w:color w:val="auto"/>
        </w:rPr>
        <w:t xml:space="preserve">Hometown Strong Initiative. </w:t>
      </w:r>
      <w:r>
        <w:rPr>
          <w:rFonts w:ascii="Arial" w:cs="Arial" w:eastAsia="Arial" w:hAnsi="Arial"/>
          <w:sz w:val="14"/>
          <w:szCs w:val="14"/>
          <w:color w:val="auto"/>
        </w:rPr>
        <w:t>During 2020, we launched our Hometown Strong initiative to help the communities in which we operate respond to the unexpected challenges on society,</w:t>
      </w:r>
      <w:r>
        <w:rPr>
          <w:rFonts w:ascii="Arial" w:cs="Arial" w:eastAsia="Arial" w:hAnsi="Arial"/>
          <w:sz w:val="14"/>
          <w:szCs w:val="14"/>
          <w:i w:val="1"/>
          <w:iCs w:val="1"/>
          <w:color w:val="auto"/>
        </w:rPr>
        <w:t xml:space="preserve"> </w:t>
      </w:r>
      <w:r>
        <w:rPr>
          <w:rFonts w:ascii="Arial" w:cs="Arial" w:eastAsia="Arial" w:hAnsi="Arial"/>
          <w:sz w:val="14"/>
          <w:szCs w:val="14"/>
          <w:color w:val="auto"/>
        </w:rPr>
        <w:t>such as the COVID-19 pandemic. We believe the Hometown Strong initiative will provide consequential investment projects and help them prepare for unanticipated challenges and build for the future. For 2020, we committed to Hometown Strong donations of $20.0 million and during the year ended December 27, 2020 we recorded $15.0 million in incremental donations expense relating to this initiative.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 w:name="page8"/>
    <w:bookmarkEnd w:id="7"/>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-6985</wp:posOffset>
            </wp:positionV>
            <wp:extent cx="727075" cy="69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075" cy="6985"/>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ind w:left="760" w:hanging="246"/>
        <w:spacing w:after="0" w:line="265" w:lineRule="auto"/>
        <w:tabs>
          <w:tab w:leader="none" w:pos="756" w:val="left"/>
        </w:tabs>
        <w:numPr>
          <w:ilvl w:val="0"/>
          <w:numId w:val="8"/>
        </w:numPr>
        <w:rPr>
          <w:rFonts w:ascii="Arial" w:cs="Arial" w:eastAsia="Arial" w:hAnsi="Arial"/>
          <w:sz w:val="14"/>
          <w:szCs w:val="14"/>
          <w:color w:val="auto"/>
        </w:rPr>
      </w:pPr>
      <w:r>
        <w:rPr>
          <w:rFonts w:ascii="Arial" w:cs="Arial" w:eastAsia="Arial" w:hAnsi="Arial"/>
          <w:sz w:val="14"/>
          <w:szCs w:val="14"/>
          <w:i w:val="1"/>
          <w:iCs w:val="1"/>
          <w:color w:val="auto"/>
        </w:rPr>
        <w:t xml:space="preserve">Tomorrow Fund. </w:t>
      </w:r>
      <w:r>
        <w:rPr>
          <w:rFonts w:ascii="Arial" w:cs="Arial" w:eastAsia="Arial" w:hAnsi="Arial"/>
          <w:sz w:val="14"/>
          <w:szCs w:val="14"/>
          <w:color w:val="auto"/>
        </w:rPr>
        <w:t>During 2019, we launched the Tomorrow Fund, a scholarship program designed to support the collegiate scholastic pursuits of our employees and their direct</w:t>
      </w:r>
      <w:r>
        <w:rPr>
          <w:rFonts w:ascii="Arial" w:cs="Arial" w:eastAsia="Arial" w:hAnsi="Arial"/>
          <w:sz w:val="14"/>
          <w:szCs w:val="14"/>
          <w:i w:val="1"/>
          <w:iCs w:val="1"/>
          <w:color w:val="auto"/>
        </w:rPr>
        <w:t xml:space="preserve"> </w:t>
      </w:r>
      <w:r>
        <w:rPr>
          <w:rFonts w:ascii="Arial" w:cs="Arial" w:eastAsia="Arial" w:hAnsi="Arial"/>
          <w:sz w:val="14"/>
          <w:szCs w:val="14"/>
          <w:color w:val="auto"/>
        </w:rPr>
        <w:t>dependents. The Tomorrow Fund awards certain employees scholarships to an eligible university of their choice.</w:t>
      </w:r>
    </w:p>
    <w:p>
      <w:pPr>
        <w:spacing w:after="0" w:line="90" w:lineRule="exact"/>
        <w:rPr>
          <w:rFonts w:ascii="Arial" w:cs="Arial" w:eastAsia="Arial" w:hAnsi="Arial"/>
          <w:sz w:val="14"/>
          <w:szCs w:val="14"/>
          <w:color w:val="auto"/>
        </w:rPr>
      </w:pPr>
    </w:p>
    <w:p>
      <w:pPr>
        <w:ind w:left="760" w:hanging="246"/>
        <w:spacing w:after="0" w:line="304" w:lineRule="auto"/>
        <w:tabs>
          <w:tab w:leader="none" w:pos="756" w:val="left"/>
        </w:tabs>
        <w:numPr>
          <w:ilvl w:val="0"/>
          <w:numId w:val="8"/>
        </w:numPr>
        <w:rPr>
          <w:rFonts w:ascii="Arial" w:cs="Arial" w:eastAsia="Arial" w:hAnsi="Arial"/>
          <w:sz w:val="13"/>
          <w:szCs w:val="13"/>
          <w:color w:val="auto"/>
        </w:rPr>
      </w:pPr>
      <w:r>
        <w:rPr>
          <w:rFonts w:ascii="Arial" w:cs="Arial" w:eastAsia="Arial" w:hAnsi="Arial"/>
          <w:sz w:val="13"/>
          <w:szCs w:val="13"/>
          <w:i w:val="1"/>
          <w:iCs w:val="1"/>
          <w:color w:val="auto"/>
        </w:rPr>
        <w:t xml:space="preserve">Better Futures. </w:t>
      </w:r>
      <w:r>
        <w:rPr>
          <w:rFonts w:ascii="Arial" w:cs="Arial" w:eastAsia="Arial" w:hAnsi="Arial"/>
          <w:sz w:val="13"/>
          <w:szCs w:val="13"/>
          <w:color w:val="auto"/>
        </w:rPr>
        <w:t>During 2021, we launched Better Futures, the largest privately funded free community college program in rural America, offering free community college to our team</w:t>
      </w:r>
      <w:r>
        <w:rPr>
          <w:rFonts w:ascii="Arial" w:cs="Arial" w:eastAsia="Arial" w:hAnsi="Arial"/>
          <w:sz w:val="13"/>
          <w:szCs w:val="13"/>
          <w:i w:val="1"/>
          <w:iCs w:val="1"/>
          <w:color w:val="auto"/>
        </w:rPr>
        <w:t xml:space="preserve"> </w:t>
      </w:r>
      <w:r>
        <w:rPr>
          <w:rFonts w:ascii="Arial" w:cs="Arial" w:eastAsia="Arial" w:hAnsi="Arial"/>
          <w:sz w:val="13"/>
          <w:szCs w:val="13"/>
          <w:color w:val="auto"/>
        </w:rPr>
        <w:t>members and their dependents. So far, nearly 400 team members or dependents have signed up and nearly 200 have already started their selected academic pathway.</w:t>
      </w:r>
    </w:p>
    <w:p>
      <w:pPr>
        <w:spacing w:after="0" w:line="67" w:lineRule="exact"/>
        <w:rPr>
          <w:sz w:val="20"/>
          <w:szCs w:val="20"/>
          <w:color w:val="auto"/>
        </w:rPr>
      </w:pPr>
    </w:p>
    <w:p>
      <w:pPr>
        <w:jc w:val="both"/>
        <w:ind w:firstLine="509"/>
        <w:spacing w:after="0" w:line="251" w:lineRule="auto"/>
        <w:rPr>
          <w:sz w:val="20"/>
          <w:szCs w:val="20"/>
          <w:color w:val="auto"/>
        </w:rPr>
      </w:pPr>
      <w:r>
        <w:rPr>
          <w:rFonts w:ascii="Arial" w:cs="Arial" w:eastAsia="Arial" w:hAnsi="Arial"/>
          <w:sz w:val="14"/>
          <w:szCs w:val="14"/>
          <w:i w:val="1"/>
          <w:iCs w:val="1"/>
          <w:color w:val="auto"/>
        </w:rPr>
        <w:t xml:space="preserve">Employee Relations. </w:t>
      </w:r>
      <w:r>
        <w:rPr>
          <w:rFonts w:ascii="Arial" w:cs="Arial" w:eastAsia="Arial" w:hAnsi="Arial"/>
          <w:sz w:val="14"/>
          <w:szCs w:val="14"/>
          <w:color w:val="auto"/>
        </w:rPr>
        <w:t>We respect our team members’ rights of association, including by joining labor unions and collective bargaining. Approximately 45.4% of our workforce are covered by</w:t>
      </w:r>
      <w:r>
        <w:rPr>
          <w:rFonts w:ascii="Arial" w:cs="Arial" w:eastAsia="Arial" w:hAnsi="Arial"/>
          <w:sz w:val="14"/>
          <w:szCs w:val="14"/>
          <w:i w:val="1"/>
          <w:iCs w:val="1"/>
          <w:color w:val="auto"/>
        </w:rPr>
        <w:t xml:space="preserve"> </w:t>
      </w:r>
      <w:r>
        <w:rPr>
          <w:rFonts w:ascii="Arial" w:cs="Arial" w:eastAsia="Arial" w:hAnsi="Arial"/>
          <w:sz w:val="14"/>
          <w:szCs w:val="14"/>
          <w:color w:val="auto"/>
        </w:rPr>
        <w:t>a collective bargaining agreement. For additional information, see “Item 1A. Risk Factors - Our performance depends on favorable labor relations with our employees and our compliance with labor laws. Any deterioration of those relations or increase in labor costs due to our compliance with labor laws could adversely affect our business.”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Available Information</w:t>
      </w:r>
    </w:p>
    <w:p>
      <w:pPr>
        <w:spacing w:after="0" w:line="140"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4"/>
          <w:szCs w:val="14"/>
          <w:color w:val="auto"/>
        </w:rPr>
        <w:t>The Company’s website is www.pilgrims.com. The Company makes available, free of charge, through its website, the Company’s annual reports on Form 10-K, quarterly reports on Form 10-Q, current reports on Form 8-K, directors and officers Forms 3, 4 and 5, and amendments to those reports, as soon as reasonably practicable after electronically filing such materials with, or furnishing them to, the SEC. The Company may use its website as a distribution channel of material company information. Financial and other important information regarding the Company is routinely posted on and accessible through the Company’s website at http://ir.pilgrims.com</w:t>
      </w:r>
      <w:r>
        <w:rPr>
          <w:rFonts w:ascii="Arial" w:cs="Arial" w:eastAsia="Arial" w:hAnsi="Arial"/>
          <w:sz w:val="11"/>
          <w:szCs w:val="11"/>
          <w:color w:val="auto"/>
        </w:rPr>
        <w:t>.</w:t>
      </w:r>
      <w:r>
        <w:rPr>
          <w:rFonts w:ascii="Arial" w:cs="Arial" w:eastAsia="Arial" w:hAnsi="Arial"/>
          <w:sz w:val="14"/>
          <w:szCs w:val="14"/>
          <w:color w:val="auto"/>
        </w:rPr>
        <w:t xml:space="preserve"> Information contained on the Company’s website is not included as part of, or incorporated by reference into, this annual report.</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Information about our Executive Officers</w:t>
      </w:r>
    </w:p>
    <w:p>
      <w:pPr>
        <w:spacing w:after="0" w:line="157"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21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900" w:type="dxa"/>
            <w:vAlign w:val="bottom"/>
            <w:tcBorders>
              <w:bottom w:val="single" w:sz="8" w:color="auto"/>
            </w:tcBorders>
          </w:tcPr>
          <w:p>
            <w:pPr>
              <w:jc w:val="center"/>
              <w:ind w:left="149"/>
              <w:spacing w:after="0"/>
              <w:rPr>
                <w:sz w:val="20"/>
                <w:szCs w:val="20"/>
                <w:color w:val="auto"/>
              </w:rPr>
            </w:pPr>
            <w:r>
              <w:rPr>
                <w:rFonts w:ascii="Arial" w:cs="Arial" w:eastAsia="Arial" w:hAnsi="Arial"/>
                <w:sz w:val="14"/>
                <w:szCs w:val="14"/>
                <w:b w:val="1"/>
                <w:bCs w:val="1"/>
                <w:color w:val="auto"/>
                <w:w w:val="90"/>
              </w:rPr>
              <w:t>Age</w:t>
            </w:r>
          </w:p>
        </w:tc>
        <w:tc>
          <w:tcPr>
            <w:tcW w:w="374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Background and Experience</w:t>
            </w:r>
          </w:p>
        </w:tc>
        <w:tc>
          <w:tcPr>
            <w:tcW w:w="4440" w:type="dxa"/>
            <w:vAlign w:val="bottom"/>
            <w:tcBorders>
              <w:bottom w:val="single" w:sz="8" w:color="auto"/>
            </w:tcBorders>
          </w:tcPr>
          <w:p>
            <w:pPr>
              <w:ind w:left="1360"/>
              <w:spacing w:after="0"/>
              <w:rPr>
                <w:sz w:val="20"/>
                <w:szCs w:val="20"/>
                <w:color w:val="auto"/>
              </w:rPr>
            </w:pPr>
            <w:r>
              <w:rPr>
                <w:rFonts w:ascii="Arial" w:cs="Arial" w:eastAsia="Arial" w:hAnsi="Arial"/>
                <w:sz w:val="14"/>
                <w:szCs w:val="14"/>
                <w:b w:val="1"/>
                <w:bCs w:val="1"/>
                <w:color w:val="auto"/>
              </w:rPr>
              <w:t>Dates</w:t>
            </w:r>
          </w:p>
        </w:tc>
      </w:tr>
      <w:tr>
        <w:trPr>
          <w:trHeight w:val="171"/>
        </w:trPr>
        <w:tc>
          <w:tcPr>
            <w:tcW w:w="2180" w:type="dxa"/>
            <w:vAlign w:val="bottom"/>
            <w:shd w:val="clear" w:color="auto" w:fill="CCEEFF"/>
          </w:tcPr>
          <w:p>
            <w:pPr>
              <w:spacing w:after="0"/>
              <w:rPr>
                <w:sz w:val="20"/>
                <w:szCs w:val="20"/>
                <w:color w:val="auto"/>
              </w:rPr>
            </w:pPr>
            <w:r>
              <w:rPr>
                <w:rFonts w:ascii="Arial" w:cs="Arial" w:eastAsia="Arial" w:hAnsi="Arial"/>
                <w:sz w:val="14"/>
                <w:szCs w:val="14"/>
                <w:color w:val="auto"/>
              </w:rPr>
              <w:t>Fabio Sandri</w:t>
            </w:r>
          </w:p>
        </w:tc>
        <w:tc>
          <w:tcPr>
            <w:tcW w:w="900" w:type="dxa"/>
            <w:vAlign w:val="bottom"/>
            <w:shd w:val="clear" w:color="auto" w:fill="CCEEFF"/>
          </w:tcPr>
          <w:p>
            <w:pPr>
              <w:jc w:val="center"/>
              <w:ind w:left="129"/>
              <w:spacing w:after="0"/>
              <w:rPr>
                <w:sz w:val="20"/>
                <w:szCs w:val="20"/>
                <w:color w:val="auto"/>
              </w:rPr>
            </w:pPr>
            <w:r>
              <w:rPr>
                <w:rFonts w:ascii="Arial" w:cs="Arial" w:eastAsia="Arial" w:hAnsi="Arial"/>
                <w:sz w:val="14"/>
                <w:szCs w:val="14"/>
                <w:color w:val="auto"/>
                <w:w w:val="89"/>
              </w:rPr>
              <w:t>50</w:t>
            </w:r>
          </w:p>
        </w:tc>
        <w:tc>
          <w:tcPr>
            <w:tcW w:w="37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President and Chief Executive Officer</w:t>
            </w:r>
          </w:p>
        </w:tc>
        <w:tc>
          <w:tcPr>
            <w:tcW w:w="4440" w:type="dxa"/>
            <w:vAlign w:val="bottom"/>
            <w:shd w:val="clear" w:color="auto" w:fill="CCEEFF"/>
          </w:tcPr>
          <w:p>
            <w:pPr>
              <w:ind w:left="1360"/>
              <w:spacing w:after="0"/>
              <w:rPr>
                <w:sz w:val="20"/>
                <w:szCs w:val="20"/>
                <w:color w:val="auto"/>
              </w:rPr>
            </w:pPr>
            <w:r>
              <w:rPr>
                <w:rFonts w:ascii="Arial" w:cs="Arial" w:eastAsia="Arial" w:hAnsi="Arial"/>
                <w:sz w:val="14"/>
                <w:szCs w:val="14"/>
                <w:color w:val="auto"/>
              </w:rPr>
              <w:t>September 2020 to Present</w:t>
            </w:r>
          </w:p>
        </w:tc>
      </w:tr>
      <w:tr>
        <w:trPr>
          <w:trHeight w:val="181"/>
        </w:trPr>
        <w:tc>
          <w:tcPr>
            <w:tcW w:w="2180" w:type="dxa"/>
            <w:vAlign w:val="bottom"/>
            <w:shd w:val="clear" w:color="auto" w:fill="CCEEFF"/>
          </w:tcPr>
          <w:p>
            <w:pPr>
              <w:spacing w:after="0"/>
              <w:rPr>
                <w:sz w:val="20"/>
                <w:szCs w:val="20"/>
                <w:color w:val="auto"/>
              </w:rPr>
            </w:pPr>
            <w:r>
              <w:rPr>
                <w:rFonts w:ascii="Arial" w:cs="Arial" w:eastAsia="Arial" w:hAnsi="Arial"/>
                <w:sz w:val="14"/>
                <w:szCs w:val="14"/>
                <w:color w:val="auto"/>
              </w:rPr>
              <w:t>Matthew Galvanoni</w:t>
            </w:r>
          </w:p>
        </w:tc>
        <w:tc>
          <w:tcPr>
            <w:tcW w:w="900" w:type="dxa"/>
            <w:vAlign w:val="bottom"/>
            <w:shd w:val="clear" w:color="auto" w:fill="CCEEFF"/>
          </w:tcPr>
          <w:p>
            <w:pPr>
              <w:jc w:val="center"/>
              <w:ind w:left="129"/>
              <w:spacing w:after="0"/>
              <w:rPr>
                <w:sz w:val="20"/>
                <w:szCs w:val="20"/>
                <w:color w:val="auto"/>
              </w:rPr>
            </w:pPr>
            <w:r>
              <w:rPr>
                <w:rFonts w:ascii="Arial" w:cs="Arial" w:eastAsia="Arial" w:hAnsi="Arial"/>
                <w:sz w:val="14"/>
                <w:szCs w:val="14"/>
                <w:color w:val="auto"/>
                <w:w w:val="89"/>
              </w:rPr>
              <w:t>49</w:t>
            </w:r>
          </w:p>
        </w:tc>
        <w:tc>
          <w:tcPr>
            <w:tcW w:w="37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Chief Financial Officer</w:t>
            </w:r>
          </w:p>
        </w:tc>
        <w:tc>
          <w:tcPr>
            <w:tcW w:w="4440" w:type="dxa"/>
            <w:vAlign w:val="bottom"/>
            <w:shd w:val="clear" w:color="auto" w:fill="CCEEFF"/>
          </w:tcPr>
          <w:p>
            <w:pPr>
              <w:ind w:left="1360"/>
              <w:spacing w:after="0"/>
              <w:rPr>
                <w:sz w:val="20"/>
                <w:szCs w:val="20"/>
                <w:color w:val="auto"/>
              </w:rPr>
            </w:pPr>
            <w:r>
              <w:rPr>
                <w:rFonts w:ascii="Arial" w:cs="Arial" w:eastAsia="Arial" w:hAnsi="Arial"/>
                <w:sz w:val="14"/>
                <w:szCs w:val="14"/>
                <w:color w:val="auto"/>
              </w:rPr>
              <w:t>March 2021 to Present</w:t>
            </w:r>
          </w:p>
        </w:tc>
      </w:tr>
    </w:tbl>
    <w:p>
      <w:pPr>
        <w:spacing w:after="0" w:line="117" w:lineRule="exact"/>
        <w:rPr>
          <w:sz w:val="20"/>
          <w:szCs w:val="20"/>
          <w:color w:val="auto"/>
        </w:rPr>
      </w:pPr>
    </w:p>
    <w:p>
      <w:pPr>
        <w:jc w:val="both"/>
        <w:ind w:firstLine="509"/>
        <w:spacing w:after="0" w:line="258" w:lineRule="auto"/>
        <w:rPr>
          <w:sz w:val="20"/>
          <w:szCs w:val="20"/>
          <w:color w:val="auto"/>
        </w:rPr>
      </w:pPr>
      <w:r>
        <w:rPr>
          <w:rFonts w:ascii="Arial" w:cs="Arial" w:eastAsia="Arial" w:hAnsi="Arial"/>
          <w:sz w:val="14"/>
          <w:szCs w:val="14"/>
          <w:color w:val="auto"/>
        </w:rPr>
        <w:t>Fabio Sandri was named the Chief Executive Officer in September 2020 and previously served as our Chief Financial Officer from June 2011 to March 2021. From April 2010 to June 2011, Mr. Sandri served as the Chief Financial Officer of Estacio Participações, the private post-secondary educational institution in Brazil. From November 2008 until April 2010, he was the Chief Financial Officer of Imbra SA, a provider of dental services based in Sao Paolo, Brazil. Commencing in 2005 through October 2008, he was employed by Braskem S.A., a New York Stock Exchange-listed petrochemical company headquartered in Camaçari, Brazil, first from 2005 to 2007 as its strategy director, then from 2007 until his departure as its corporate controller. He earned his Master of Business Administration degree in 2001 from the Wharton School at the University of Pennsylvania and a degree in electrical engineering in 1993 from Escola Politécnica da Universidade de São Paulo.</w:t>
      </w:r>
    </w:p>
    <w:p>
      <w:pPr>
        <w:spacing w:after="0" w:line="107" w:lineRule="exact"/>
        <w:rPr>
          <w:sz w:val="20"/>
          <w:szCs w:val="20"/>
          <w:color w:val="auto"/>
        </w:rPr>
      </w:pPr>
    </w:p>
    <w:p>
      <w:pPr>
        <w:jc w:val="both"/>
        <w:ind w:firstLine="509"/>
        <w:spacing w:after="0" w:line="284" w:lineRule="auto"/>
        <w:rPr>
          <w:sz w:val="20"/>
          <w:szCs w:val="20"/>
          <w:color w:val="auto"/>
        </w:rPr>
      </w:pPr>
      <w:r>
        <w:rPr>
          <w:rFonts w:ascii="Arial" w:cs="Arial" w:eastAsia="Arial" w:hAnsi="Arial"/>
          <w:sz w:val="13"/>
          <w:szCs w:val="13"/>
          <w:color w:val="auto"/>
        </w:rPr>
        <w:t>Matthew Galvanoni was named the Chief Financial Officer in February 2021, effective March 2021. Prior to his appointment to the Company, Mr. Galvanoni served as Vice President, Finance, of Ingredion Incorporated, a leading global ingredients solution company, since 2016. Mr. Galvanoni joined Ingredion in 2012, serving in the role of Global Corporate Controller and Chief Accounting Officer, where he managed the company’s accounting-related and external financial reporting responsibilities. Mr. Galvanoni started his career at PricewaterhouseCoopers LLP in 1994 and subsequently held several financial leadership positions at Exelon Corporation, where he most recently served as Assistant Corporate Controller. Mr. Galvanoni graduated from the University of Illinois with a Bachelor of Accounting degree and later received a Master of Business Administration degree from the Kellogg School of Management at Northwestern University.</w:t>
      </w:r>
    </w:p>
    <w:p>
      <w:pPr>
        <w:spacing w:after="0" w:line="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1A. Risk Factors</w:t>
      </w:r>
    </w:p>
    <w:p>
      <w:pPr>
        <w:spacing w:after="0" w:line="140"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color w:val="auto"/>
        </w:rPr>
        <w:t>The following risk factors should be read carefully in connection with evaluating our business and the forward-looking information contained in this annual report on Form 10-K. Any of the following risks could materially adversely affect our business, operations, industry or financial position or our future financial performance. While we believe we have identified and discussed below all risk factors affecting our business that we believe are material, there may be additional risks and uncertainties that are not presently known or that are not currently believed to be significant that may adversely affect our business, operations, industry, financial position and financial performance in the future.</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8" w:name="page9"/>
    <w:bookmarkEnd w:id="8"/>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-6985</wp:posOffset>
            </wp:positionV>
            <wp:extent cx="727075" cy="69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075" cy="698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Business and Operational Risk Factors</w:t>
      </w:r>
    </w:p>
    <w:p>
      <w:pPr>
        <w:spacing w:after="0" w:line="136" w:lineRule="exact"/>
        <w:rPr>
          <w:sz w:val="20"/>
          <w:szCs w:val="20"/>
          <w:color w:val="auto"/>
        </w:rPr>
      </w:pPr>
    </w:p>
    <w:p>
      <w:pPr>
        <w:jc w:val="both"/>
        <w:spacing w:after="0" w:line="287" w:lineRule="auto"/>
        <w:rPr>
          <w:sz w:val="20"/>
          <w:szCs w:val="20"/>
          <w:color w:val="auto"/>
        </w:rPr>
      </w:pPr>
      <w:r>
        <w:rPr>
          <w:rFonts w:ascii="Arial" w:cs="Arial" w:eastAsia="Arial" w:hAnsi="Arial"/>
          <w:sz w:val="14"/>
          <w:szCs w:val="14"/>
          <w:b w:val="1"/>
          <w:bCs w:val="1"/>
          <w:color w:val="auto"/>
        </w:rPr>
        <w:t>The COVID-19 pandemic and its impact on business and economic conditions have negatively affected, and could continue to negatively affect our business, results of operations, financial condition and the trading value of our securities.</w:t>
      </w:r>
    </w:p>
    <w:p>
      <w:pPr>
        <w:spacing w:after="0" w:line="86" w:lineRule="exact"/>
        <w:rPr>
          <w:sz w:val="20"/>
          <w:szCs w:val="20"/>
          <w:color w:val="auto"/>
        </w:rPr>
      </w:pPr>
    </w:p>
    <w:p>
      <w:pPr>
        <w:jc w:val="both"/>
        <w:ind w:firstLine="509"/>
        <w:spacing w:after="0" w:line="278" w:lineRule="auto"/>
        <w:rPr>
          <w:sz w:val="20"/>
          <w:szCs w:val="20"/>
          <w:color w:val="auto"/>
        </w:rPr>
      </w:pPr>
      <w:r>
        <w:rPr>
          <w:rFonts w:ascii="Arial" w:cs="Arial" w:eastAsia="Arial" w:hAnsi="Arial"/>
          <w:sz w:val="13"/>
          <w:szCs w:val="13"/>
          <w:color w:val="auto"/>
        </w:rPr>
        <w:t>We face risks related to outbreaks of public health crises, including epidemics and infectious diseases such as the ongoing COVID-19 pandemic. The continued spread of COVID-19 and the emergence of new variants of the virus across the globe continues to impact economic activity worldwide by causing disruption and volatility in the global capital markets, as well as a sustained economic slowdown. National and local governments in the United States and around the world continue to implement measures to prevent the spread of COVID-19 and its variants, including travel bans, prohibitions on group events and gatherings, shutdowns of certain businesses, quarantines, curfews, and recommendations to practice physical distancing. These preventative measures which have restricted and continue to restrict individuals’ daily activities and curtail or cease many businesses’ normal operations. We continue to monitor and work to comply with the COVID-19 guidelines from public health and governmental authorities concerning the prevention and spread of COVID-19 and its variants, as well as the protection of the health and safety of our personnel, including the April 28, 2020 executive order that designated meat and poultry processing plants as critical infrastructure. Implementing these measures, as well as the global economic impact of the COVID-19 pandemic generally, has resulted in the adverse effects to our results of operations, financial condition and liquidity, including reduced activity at our businesses and limited availability and productivity among our workforce and suppliers, as noted below.</w:t>
      </w:r>
    </w:p>
    <w:p>
      <w:pPr>
        <w:spacing w:after="0" w:line="86" w:lineRule="exact"/>
        <w:rPr>
          <w:sz w:val="20"/>
          <w:szCs w:val="20"/>
          <w:color w:val="auto"/>
        </w:rPr>
      </w:pPr>
    </w:p>
    <w:p>
      <w:pPr>
        <w:jc w:val="both"/>
        <w:ind w:firstLine="509"/>
        <w:spacing w:after="0" w:line="276" w:lineRule="auto"/>
        <w:rPr>
          <w:sz w:val="20"/>
          <w:szCs w:val="20"/>
          <w:color w:val="auto"/>
        </w:rPr>
      </w:pPr>
      <w:r>
        <w:rPr>
          <w:rFonts w:ascii="Arial" w:cs="Arial" w:eastAsia="Arial" w:hAnsi="Arial"/>
          <w:sz w:val="12"/>
          <w:szCs w:val="12"/>
          <w:i w:val="1"/>
          <w:iCs w:val="1"/>
          <w:color w:val="auto"/>
        </w:rPr>
        <w:t>The COVID-19 outbreak has had, and a continuing outbreak or future outbreaks are likely to have, numerous adverse effects on our business and operations</w:t>
      </w:r>
      <w:r>
        <w:rPr>
          <w:rFonts w:ascii="Arial" w:cs="Arial" w:eastAsia="Arial" w:hAnsi="Arial"/>
          <w:sz w:val="12"/>
          <w:szCs w:val="12"/>
          <w:color w:val="auto"/>
        </w:rPr>
        <w:t>. As of February 18, 2022, all of</w:t>
      </w:r>
      <w:r>
        <w:rPr>
          <w:rFonts w:ascii="Arial" w:cs="Arial" w:eastAsia="Arial" w:hAnsi="Arial"/>
          <w:sz w:val="12"/>
          <w:szCs w:val="12"/>
          <w:i w:val="1"/>
          <w:iCs w:val="1"/>
          <w:color w:val="auto"/>
        </w:rPr>
        <w:t xml:space="preserve"> </w:t>
      </w:r>
      <w:r>
        <w:rPr>
          <w:rFonts w:ascii="Arial" w:cs="Arial" w:eastAsia="Arial" w:hAnsi="Arial"/>
          <w:sz w:val="12"/>
          <w:szCs w:val="12"/>
          <w:color w:val="auto"/>
        </w:rPr>
        <w:t>our production facilities are operating, although some facilities have reduced production levels and outputs due to increased health and safety measures and current labor shortages experienced throughout both the U.S. and the U.K. There can be no assurance that the health and safety measures we have taken (which include adding temperature and symptom screening stations for employees prior to entering our facilities and increasing physical distancing of our employees) will eradicate the risks associated with working in a critical infrastructure industry, including but not limited to, infection of our employees or the temporary closure of a facility, which could, in turn, have a material adverse impact on our reputation, business, results of operations and financial condition.</w:t>
      </w:r>
    </w:p>
    <w:p>
      <w:pPr>
        <w:spacing w:after="0" w:line="77" w:lineRule="exact"/>
        <w:rPr>
          <w:sz w:val="20"/>
          <w:szCs w:val="20"/>
          <w:color w:val="auto"/>
        </w:rPr>
      </w:pPr>
    </w:p>
    <w:p>
      <w:pPr>
        <w:jc w:val="both"/>
        <w:ind w:firstLine="509"/>
        <w:spacing w:after="0" w:line="230" w:lineRule="auto"/>
        <w:rPr>
          <w:sz w:val="20"/>
          <w:szCs w:val="20"/>
          <w:color w:val="auto"/>
        </w:rPr>
      </w:pPr>
      <w:r>
        <w:rPr>
          <w:rFonts w:ascii="Arial" w:cs="Arial" w:eastAsia="Arial" w:hAnsi="Arial"/>
          <w:sz w:val="14"/>
          <w:szCs w:val="14"/>
          <w:i w:val="1"/>
          <w:iCs w:val="1"/>
          <w:color w:val="auto"/>
        </w:rPr>
        <w:t>We have and may continue to experience decreased production and sales due to the changing demand for food product</w:t>
      </w:r>
      <w:r>
        <w:rPr>
          <w:rFonts w:ascii="Arial" w:cs="Arial" w:eastAsia="Arial" w:hAnsi="Arial"/>
          <w:sz w:val="14"/>
          <w:szCs w:val="14"/>
          <w:color w:val="auto"/>
        </w:rPr>
        <w:t>s. COVID-19 and the implementation of restricted living led to a shift</w:t>
      </w:r>
      <w:r>
        <w:rPr>
          <w:rFonts w:ascii="Arial" w:cs="Arial" w:eastAsia="Arial" w:hAnsi="Arial"/>
          <w:sz w:val="14"/>
          <w:szCs w:val="14"/>
          <w:i w:val="1"/>
          <w:iCs w:val="1"/>
          <w:color w:val="auto"/>
        </w:rPr>
        <w:t xml:space="preserve"> </w:t>
      </w:r>
      <w:r>
        <w:rPr>
          <w:rFonts w:ascii="Arial" w:cs="Arial" w:eastAsia="Arial" w:hAnsi="Arial"/>
          <w:sz w:val="14"/>
          <w:szCs w:val="14"/>
          <w:color w:val="auto"/>
        </w:rPr>
        <w:t>in demand from restaurants to retail grocery stores, with consumers eating more at home due to stay-at-home orders during the pandemic. In our U.S. and Mexico businesses, demand for parts and whole-birds (typically bound for restaurants) and prepared foods (distributed, in part, to schools) declined, while our U.K. and European business, which is more retail focused, saw less of an impact. Although we were able to take steps to shift our production and meet the changing demand, we may be unable to effectively implement our plans in the future to adjust our supply of products, which could materially adversely impact our business and results of operations.</w:t>
      </w:r>
    </w:p>
    <w:p>
      <w:pPr>
        <w:spacing w:after="0" w:line="109" w:lineRule="exact"/>
        <w:rPr>
          <w:sz w:val="20"/>
          <w:szCs w:val="20"/>
          <w:color w:val="auto"/>
        </w:rPr>
      </w:pPr>
    </w:p>
    <w:p>
      <w:pPr>
        <w:jc w:val="both"/>
        <w:ind w:firstLine="509"/>
        <w:spacing w:after="0" w:line="265" w:lineRule="auto"/>
        <w:rPr>
          <w:sz w:val="20"/>
          <w:szCs w:val="20"/>
          <w:color w:val="auto"/>
        </w:rPr>
      </w:pPr>
      <w:r>
        <w:rPr>
          <w:rFonts w:ascii="Arial" w:cs="Arial" w:eastAsia="Arial" w:hAnsi="Arial"/>
          <w:sz w:val="14"/>
          <w:szCs w:val="14"/>
          <w:i w:val="1"/>
          <w:iCs w:val="1"/>
          <w:color w:val="auto"/>
        </w:rPr>
        <w:t xml:space="preserve">Our brand or reputation could be negatively impacted. </w:t>
      </w:r>
      <w:r>
        <w:rPr>
          <w:rFonts w:ascii="Arial" w:cs="Arial" w:eastAsia="Arial" w:hAnsi="Arial"/>
          <w:sz w:val="14"/>
          <w:szCs w:val="14"/>
          <w:color w:val="auto"/>
        </w:rPr>
        <w:t>The meat production industry has recently been the focus of negative press reports in light of the spread of COVID-19 at certain</w:t>
      </w:r>
      <w:r>
        <w:rPr>
          <w:rFonts w:ascii="Arial" w:cs="Arial" w:eastAsia="Arial" w:hAnsi="Arial"/>
          <w:sz w:val="14"/>
          <w:szCs w:val="14"/>
          <w:i w:val="1"/>
          <w:iCs w:val="1"/>
          <w:color w:val="auto"/>
        </w:rPr>
        <w:t xml:space="preserve"> </w:t>
      </w:r>
      <w:r>
        <w:rPr>
          <w:rFonts w:ascii="Arial" w:cs="Arial" w:eastAsia="Arial" w:hAnsi="Arial"/>
          <w:sz w:val="14"/>
          <w:szCs w:val="14"/>
          <w:color w:val="auto"/>
        </w:rPr>
        <w:t>companies’ facilities. Although we have not been the focus of such reports, our brand or reputation could be negatively impacted by such reports.</w:t>
      </w:r>
    </w:p>
    <w:p>
      <w:pPr>
        <w:spacing w:after="0" w:line="90" w:lineRule="exact"/>
        <w:rPr>
          <w:sz w:val="20"/>
          <w:szCs w:val="20"/>
          <w:color w:val="auto"/>
        </w:rPr>
      </w:pPr>
    </w:p>
    <w:p>
      <w:pPr>
        <w:ind w:left="520"/>
        <w:spacing w:after="0"/>
        <w:rPr>
          <w:sz w:val="20"/>
          <w:szCs w:val="20"/>
          <w:color w:val="auto"/>
        </w:rPr>
      </w:pPr>
      <w:r>
        <w:rPr>
          <w:rFonts w:ascii="Arial" w:cs="Arial" w:eastAsia="Arial" w:hAnsi="Arial"/>
          <w:sz w:val="13"/>
          <w:szCs w:val="13"/>
          <w:color w:val="auto"/>
        </w:rPr>
        <w:t>In addition to the risks described above, the COVID-19 pandemic could have additional adverse effects on our business and financial condition, including, but not limited to, the following:</w:t>
      </w:r>
    </w:p>
    <w:p>
      <w:pPr>
        <w:spacing w:after="0" w:line="148" w:lineRule="exact"/>
        <w:rPr>
          <w:sz w:val="20"/>
          <w:szCs w:val="20"/>
          <w:color w:val="auto"/>
        </w:rPr>
      </w:pPr>
    </w:p>
    <w:p>
      <w:pPr>
        <w:ind w:left="760" w:hanging="246"/>
        <w:spacing w:after="0" w:line="280" w:lineRule="auto"/>
        <w:tabs>
          <w:tab w:leader="none" w:pos="756" w:val="left"/>
        </w:tabs>
        <w:numPr>
          <w:ilvl w:val="0"/>
          <w:numId w:val="9"/>
        </w:numPr>
        <w:rPr>
          <w:rFonts w:ascii="Arial" w:cs="Arial" w:eastAsia="Arial" w:hAnsi="Arial"/>
          <w:sz w:val="13"/>
          <w:szCs w:val="13"/>
          <w:color w:val="auto"/>
        </w:rPr>
      </w:pPr>
      <w:r>
        <w:rPr>
          <w:rFonts w:ascii="Arial" w:cs="Arial" w:eastAsia="Arial" w:hAnsi="Arial"/>
          <w:sz w:val="13"/>
          <w:szCs w:val="13"/>
          <w:color w:val="auto"/>
        </w:rPr>
        <w:t>a significant increase in the cost or the difficulty to obtain debt or equity financing, or to refinance our debt in the future, or the risk that we may be unable to meet the requirements of the covenants in our existing credit facilities, which could negatively affect our liquidity position and our ability to fund operations or future investment opportunities;</w:t>
      </w:r>
    </w:p>
    <w:p>
      <w:pPr>
        <w:ind w:left="760" w:hanging="246"/>
        <w:spacing w:after="0"/>
        <w:tabs>
          <w:tab w:leader="none" w:pos="760" w:val="left"/>
        </w:tabs>
        <w:numPr>
          <w:ilvl w:val="0"/>
          <w:numId w:val="9"/>
        </w:numPr>
        <w:rPr>
          <w:rFonts w:ascii="Arial" w:cs="Arial" w:eastAsia="Arial" w:hAnsi="Arial"/>
          <w:sz w:val="14"/>
          <w:szCs w:val="14"/>
          <w:color w:val="auto"/>
        </w:rPr>
      </w:pPr>
      <w:r>
        <w:rPr>
          <w:rFonts w:ascii="Arial" w:cs="Arial" w:eastAsia="Arial" w:hAnsi="Arial"/>
          <w:sz w:val="14"/>
          <w:szCs w:val="14"/>
          <w:color w:val="auto"/>
        </w:rPr>
        <w:t>an impairment in the carrying value of goodwill or intangible assets or a change in the useful life of definite-lived intangible assets;</w:t>
      </w:r>
    </w:p>
    <w:p>
      <w:pPr>
        <w:spacing w:after="0" w:line="8" w:lineRule="exact"/>
        <w:rPr>
          <w:rFonts w:ascii="Arial" w:cs="Arial" w:eastAsia="Arial" w:hAnsi="Arial"/>
          <w:sz w:val="14"/>
          <w:szCs w:val="14"/>
          <w:color w:val="auto"/>
        </w:rPr>
      </w:pPr>
    </w:p>
    <w:p>
      <w:pPr>
        <w:ind w:left="760" w:hanging="246"/>
        <w:spacing w:after="0"/>
        <w:tabs>
          <w:tab w:leader="none" w:pos="760" w:val="left"/>
        </w:tabs>
        <w:numPr>
          <w:ilvl w:val="0"/>
          <w:numId w:val="9"/>
        </w:numPr>
        <w:rPr>
          <w:rFonts w:ascii="Arial" w:cs="Arial" w:eastAsia="Arial" w:hAnsi="Arial"/>
          <w:sz w:val="14"/>
          <w:szCs w:val="14"/>
          <w:color w:val="auto"/>
        </w:rPr>
      </w:pPr>
      <w:r>
        <w:rPr>
          <w:rFonts w:ascii="Arial" w:cs="Arial" w:eastAsia="Arial" w:hAnsi="Arial"/>
          <w:sz w:val="14"/>
          <w:szCs w:val="14"/>
          <w:color w:val="auto"/>
        </w:rPr>
        <w:t>significant volatility or decline in the trading price of our securities; and</w:t>
      </w:r>
    </w:p>
    <w:p>
      <w:pPr>
        <w:spacing w:after="0" w:line="8" w:lineRule="exact"/>
        <w:rPr>
          <w:rFonts w:ascii="Arial" w:cs="Arial" w:eastAsia="Arial" w:hAnsi="Arial"/>
          <w:sz w:val="14"/>
          <w:szCs w:val="14"/>
          <w:color w:val="auto"/>
        </w:rPr>
      </w:pPr>
    </w:p>
    <w:p>
      <w:pPr>
        <w:ind w:left="760" w:hanging="246"/>
        <w:spacing w:after="0"/>
        <w:tabs>
          <w:tab w:leader="none" w:pos="760" w:val="left"/>
        </w:tabs>
        <w:numPr>
          <w:ilvl w:val="0"/>
          <w:numId w:val="9"/>
        </w:numPr>
        <w:rPr>
          <w:rFonts w:ascii="Arial" w:cs="Arial" w:eastAsia="Arial" w:hAnsi="Arial"/>
          <w:sz w:val="14"/>
          <w:szCs w:val="14"/>
          <w:color w:val="auto"/>
        </w:rPr>
      </w:pPr>
      <w:r>
        <w:rPr>
          <w:rFonts w:ascii="Arial" w:cs="Arial" w:eastAsia="Arial" w:hAnsi="Arial"/>
          <w:sz w:val="14"/>
          <w:szCs w:val="14"/>
          <w:color w:val="auto"/>
        </w:rPr>
        <w:t>our inability to execute strategic business activities including acquisitions and divestiture.</w:t>
      </w:r>
    </w:p>
    <w:p>
      <w:pPr>
        <w:spacing w:after="0" w:line="126"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4"/>
          <w:szCs w:val="14"/>
          <w:color w:val="auto"/>
        </w:rPr>
        <w:t>The situation surrounding COVID-19 remains fluid and the full extent to which the COVID-19 pandemic will negatively affect our results of operations, financial condition and cash flows will depend on future development in the countries where we operate, including the U.S., the U.K. and Mexico. Therefore, it is difficult to predict with certainty the full potential impact of the virus on the Company’s business, operations and financial condition.</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Industry cyclicality can affect our earnings, especially due to fluctuations in commodity prices of feed ingredients, chicken and pork.</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9" w:name="page10"/>
    <w:bookmarkEnd w:id="9"/>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-6985</wp:posOffset>
            </wp:positionV>
            <wp:extent cx="727075" cy="69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075" cy="6985"/>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jc w:val="both"/>
        <w:ind w:firstLine="509"/>
        <w:spacing w:after="0" w:line="281" w:lineRule="auto"/>
        <w:rPr>
          <w:sz w:val="20"/>
          <w:szCs w:val="20"/>
          <w:color w:val="auto"/>
        </w:rPr>
      </w:pPr>
      <w:r>
        <w:rPr>
          <w:rFonts w:ascii="Arial" w:cs="Arial" w:eastAsia="Arial" w:hAnsi="Arial"/>
          <w:sz w:val="14"/>
          <w:szCs w:val="14"/>
          <w:color w:val="auto"/>
        </w:rPr>
        <w:t>Profitability in the chicken and pork industries is materially affected by the commodity prices of feed ingredients and the market prices of chicken and pork, which are determined by supply and demand factors. As a result, the chicken and pork industries are subject to cyclical earnings fluctuations.</w:t>
      </w:r>
    </w:p>
    <w:p>
      <w:pPr>
        <w:spacing w:after="0" w:line="90"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4"/>
          <w:szCs w:val="14"/>
          <w:color w:val="auto"/>
        </w:rPr>
        <w:t>The price of feed ingredients is positively or negatively affected primarily by the global level of supply inventories and demand for feed ingredients, the agricultural policies of the U.S. and foreign governments and weather patterns throughout the world. In particular, weather patterns often change agricultural conditions in an unpredictable manner. A significant change in weather patterns could affect supplies of feed ingredients, as well as both the industry’s and our ability to obtain feed ingredients, grow chickens and pigs or deliver products. Consequently, there can be no assurance that the price of grains will not rise as a result of, among other things, increasing demand for these products around the world and alternative uses of these products, such as ethanol and biodiesel production.</w:t>
      </w:r>
    </w:p>
    <w:p>
      <w:pPr>
        <w:spacing w:after="0" w:line="104" w:lineRule="exact"/>
        <w:rPr>
          <w:sz w:val="20"/>
          <w:szCs w:val="20"/>
          <w:color w:val="auto"/>
        </w:rPr>
      </w:pPr>
    </w:p>
    <w:p>
      <w:pPr>
        <w:jc w:val="both"/>
        <w:ind w:firstLine="509"/>
        <w:spacing w:after="0" w:line="280" w:lineRule="auto"/>
        <w:rPr>
          <w:sz w:val="20"/>
          <w:szCs w:val="20"/>
          <w:color w:val="auto"/>
        </w:rPr>
      </w:pPr>
      <w:r>
        <w:rPr>
          <w:rFonts w:ascii="Arial" w:cs="Arial" w:eastAsia="Arial" w:hAnsi="Arial"/>
          <w:sz w:val="13"/>
          <w:szCs w:val="13"/>
          <w:color w:val="auto"/>
        </w:rPr>
        <w:t>Volatility in feed ingredient prices has had, and may continue to have, a materially adverse effect on our operating results, which has resulted in, and may continue to result in, additional noncash expenses due to impairment of the carrying amounts of certain of our assets. We periodically seek, to the extent available, to enter into advance purchase commitments or financial derivative contracts for the purchase of feed ingredients in an effort to manage our feed ingredient costs. The use of these instruments may not be successful. In addition, we have not designated the derivative financial instruments that we have purchased to mitigate commodity purchase exposures as cash flow hedges. Therefore, we recognize changes in the fair value of these derivative financial instruments immediately in earnings. Unexpected changes in the fair value of these instruments could adversely affect the results of our operations. Although we attempt to mitigate the impact of feed price volatility on our profitability by decreasing the amount of our products that are sold under longer term fixed-price contracts, these changes will not eliminate the impact of changes in feed ingredient prices on our profitability and would prevent us from profiting on such contracts during times of declining market prices for chicken and/or pork.</w:t>
      </w:r>
    </w:p>
    <w:p>
      <w:pPr>
        <w:spacing w:after="0" w:line="91" w:lineRule="exact"/>
        <w:rPr>
          <w:sz w:val="20"/>
          <w:szCs w:val="20"/>
          <w:color w:val="auto"/>
        </w:rPr>
      </w:pPr>
    </w:p>
    <w:p>
      <w:pPr>
        <w:jc w:val="both"/>
        <w:spacing w:after="0" w:line="287" w:lineRule="auto"/>
        <w:rPr>
          <w:sz w:val="20"/>
          <w:szCs w:val="20"/>
          <w:color w:val="auto"/>
        </w:rPr>
      </w:pPr>
      <w:r>
        <w:rPr>
          <w:rFonts w:ascii="Arial" w:cs="Arial" w:eastAsia="Arial" w:hAnsi="Arial"/>
          <w:sz w:val="14"/>
          <w:szCs w:val="14"/>
          <w:b w:val="1"/>
          <w:bCs w:val="1"/>
          <w:color w:val="auto"/>
        </w:rPr>
        <w:t>Outbreaks of livestock diseases in general and poultry and pig diseases in particular, including avian influenza and African swine fever, can significantly and adversely affect our ability to conduct our operations and the demand for our products.</w:t>
      </w:r>
    </w:p>
    <w:p>
      <w:pPr>
        <w:spacing w:after="0" w:line="86"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4"/>
          <w:szCs w:val="14"/>
          <w:color w:val="auto"/>
        </w:rPr>
        <w:t>We take precautions designed to ensure that our flocks and herds are healthy and that our processing plants and other facilities operate in a sanitary and environmentally-sound manner. However, events beyond our control, such as the outbreaks of disease, either in our own flocks and herds or elsewhere, could significantly affect the demand for our products or our ability to conduct our operations. Furthermore, an outbreak of disease could result in governmental restrictions on the import and export of our fresh chicken, fresh pork or other products to or from our suppliers, facilities or customers, or require us to destroy one or more of our flocks or herds. This could also result in the cancellation of orders by our customers and create adverse publicity that may have a material adverse effect on our ability to market our products successfully and on our business, reputation and prospects.</w:t>
      </w:r>
    </w:p>
    <w:p>
      <w:pPr>
        <w:spacing w:after="0" w:line="104"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4"/>
          <w:szCs w:val="14"/>
          <w:color w:val="auto"/>
        </w:rPr>
        <w:t>There have been recent outbreaks of both high- and low-pathogenic strains of avian influenza in the U.S. and the U.K., and in Mexico outbreaks of both high and low-pathogenic strains of avian influenza are a fairly common occurrence. Historically, the outbreaks of low pathogenic strains of avian influenza have not generated the same level of concern, or received the same level of publicity or been accompanied by the same reduction in demand for poultry products in certain countries as that associated with highly pathogenic strains such as HPAI H5 and H7N3 or highly infectious strains such as H7N9. Even if no further highly pathogenic or highly contagious strains of avian influenza are confirmed in the U.S., the U.K. or Mexico, there can be no assurance that outbreaks of these strains in other countries will not materially adversely affect international demand for poultry produced in our operating countries, and, if any of these strains were to spread to the U.S., the U.K. or Mexico, there can be no assurance that it would not significantly affect our ability to conduct our operations and/or demand for our products, in each case in a manner having a material adverse effect on our business, reputation and/or prospects.</w:t>
      </w:r>
    </w:p>
    <w:p>
      <w:pPr>
        <w:spacing w:after="0" w:line="109" w:lineRule="exact"/>
        <w:rPr>
          <w:sz w:val="20"/>
          <w:szCs w:val="20"/>
          <w:color w:val="auto"/>
        </w:rPr>
      </w:pPr>
    </w:p>
    <w:p>
      <w:pPr>
        <w:jc w:val="both"/>
        <w:ind w:firstLine="509"/>
        <w:spacing w:after="0" w:line="284" w:lineRule="auto"/>
        <w:rPr>
          <w:sz w:val="20"/>
          <w:szCs w:val="20"/>
          <w:color w:val="auto"/>
        </w:rPr>
      </w:pPr>
      <w:r>
        <w:rPr>
          <w:rFonts w:ascii="Arial" w:cs="Arial" w:eastAsia="Arial" w:hAnsi="Arial"/>
          <w:sz w:val="13"/>
          <w:szCs w:val="13"/>
          <w:color w:val="auto"/>
        </w:rPr>
        <w:t>The outbreak of African swine fever in China during 2018 and 2019 and its subsequent spread across the world has had a significant effect on both the global supply of pork and on pork prices. Given its island status, the U.K. has an element of built-in biosecurity, but there are risks, mainly as a result of human movement of infected meat from the European Union. The National Pig Association and the British Meat Processors Association are pressing the U.K. government to increase the level of communication to travelers of the risks. The Company’s own pig production is geographically dispersed. In the event of an outbreak of African Swine Fever in the U.K., we believe the Company’s risks are limited to infection. However, there can be no assurance that it would not significantly affect our ability to conduct our operations and/or demand for our products, in each case in a manner having a material adverse effect on our business, reputation and/or prospects.</w:t>
      </w:r>
    </w:p>
    <w:p>
      <w:pPr>
        <w:spacing w:after="0" w:line="88" w:lineRule="exact"/>
        <w:rPr>
          <w:sz w:val="20"/>
          <w:szCs w:val="20"/>
          <w:color w:val="auto"/>
        </w:rPr>
      </w:pPr>
    </w:p>
    <w:p>
      <w:pPr>
        <w:jc w:val="both"/>
        <w:spacing w:after="0" w:line="287" w:lineRule="auto"/>
        <w:rPr>
          <w:sz w:val="20"/>
          <w:szCs w:val="20"/>
          <w:color w:val="auto"/>
        </w:rPr>
      </w:pPr>
      <w:r>
        <w:rPr>
          <w:rFonts w:ascii="Arial" w:cs="Arial" w:eastAsia="Arial" w:hAnsi="Arial"/>
          <w:sz w:val="14"/>
          <w:szCs w:val="14"/>
          <w:b w:val="1"/>
          <w:bCs w:val="1"/>
          <w:color w:val="auto"/>
        </w:rPr>
        <w:t>If our products become contaminated, we may be subject to product liability claims and product recalls. Such product liability claims or product recalls can adversely affect our business reputation, expose us to increased scrutiny by federal and state regulators and may not be fully covered by insurance.</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0" w:name="page11"/>
    <w:bookmarkEnd w:id="10"/>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-6985</wp:posOffset>
            </wp:positionV>
            <wp:extent cx="727075" cy="69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075" cy="6985"/>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3"/>
          <w:szCs w:val="13"/>
          <w:color w:val="auto"/>
        </w:rPr>
        <w:t xml:space="preserve">Poultry and pork products may be subject to contamination by disease-producing organisms, or pathogens, such as </w:t>
      </w:r>
      <w:r>
        <w:rPr>
          <w:rFonts w:ascii="Arial" w:cs="Arial" w:eastAsia="Arial" w:hAnsi="Arial"/>
          <w:sz w:val="13"/>
          <w:szCs w:val="13"/>
          <w:i w:val="1"/>
          <w:iCs w:val="1"/>
          <w:color w:val="auto"/>
        </w:rPr>
        <w:t>Listeria monocytogenes</w:t>
      </w:r>
      <w:r>
        <w:rPr>
          <w:rFonts w:ascii="Arial" w:cs="Arial" w:eastAsia="Arial" w:hAnsi="Arial"/>
          <w:sz w:val="13"/>
          <w:szCs w:val="13"/>
          <w:color w:val="auto"/>
        </w:rPr>
        <w:t xml:space="preserve">, </w:t>
      </w:r>
      <w:r>
        <w:rPr>
          <w:rFonts w:ascii="Arial" w:cs="Arial" w:eastAsia="Arial" w:hAnsi="Arial"/>
          <w:sz w:val="13"/>
          <w:szCs w:val="13"/>
          <w:i w:val="1"/>
          <w:iCs w:val="1"/>
          <w:color w:val="auto"/>
        </w:rPr>
        <w:t>Salmonella</w:t>
      </w:r>
      <w:r>
        <w:rPr>
          <w:rFonts w:ascii="Arial" w:cs="Arial" w:eastAsia="Arial" w:hAnsi="Arial"/>
          <w:sz w:val="13"/>
          <w:szCs w:val="13"/>
          <w:color w:val="auto"/>
        </w:rPr>
        <w:t xml:space="preserve">, generic </w:t>
      </w:r>
      <w:r>
        <w:rPr>
          <w:rFonts w:ascii="Arial" w:cs="Arial" w:eastAsia="Arial" w:hAnsi="Arial"/>
          <w:sz w:val="13"/>
          <w:szCs w:val="13"/>
          <w:i w:val="1"/>
          <w:iCs w:val="1"/>
          <w:color w:val="auto"/>
        </w:rPr>
        <w:t>E.coli, Yersinia</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enterocolitica </w:t>
      </w:r>
      <w:r>
        <w:rPr>
          <w:rFonts w:ascii="Arial" w:cs="Arial" w:eastAsia="Arial" w:hAnsi="Arial"/>
          <w:sz w:val="13"/>
          <w:szCs w:val="13"/>
          <w:color w:val="auto"/>
        </w:rPr>
        <w:t>and</w:t>
      </w:r>
      <w:r>
        <w:rPr>
          <w:rFonts w:ascii="Arial" w:cs="Arial" w:eastAsia="Arial" w:hAnsi="Arial"/>
          <w:sz w:val="13"/>
          <w:szCs w:val="13"/>
          <w:i w:val="1"/>
          <w:iCs w:val="1"/>
          <w:color w:val="auto"/>
        </w:rPr>
        <w:t xml:space="preserve"> Staphylococcus aureus</w:t>
      </w:r>
      <w:r>
        <w:rPr>
          <w:rFonts w:ascii="Arial" w:cs="Arial" w:eastAsia="Arial" w:hAnsi="Arial"/>
          <w:sz w:val="13"/>
          <w:szCs w:val="13"/>
          <w:color w:val="auto"/>
        </w:rPr>
        <w:t>. These pathogens are generally found in the environment and there is a risk that, as a result of food processing, they could be present in our processed</w:t>
      </w:r>
      <w:r>
        <w:rPr>
          <w:rFonts w:ascii="Arial" w:cs="Arial" w:eastAsia="Arial" w:hAnsi="Arial"/>
          <w:sz w:val="13"/>
          <w:szCs w:val="13"/>
          <w:i w:val="1"/>
          <w:iCs w:val="1"/>
          <w:color w:val="auto"/>
        </w:rPr>
        <w:t xml:space="preserve"> </w:t>
      </w:r>
      <w:r>
        <w:rPr>
          <w:rFonts w:ascii="Arial" w:cs="Arial" w:eastAsia="Arial" w:hAnsi="Arial"/>
          <w:sz w:val="13"/>
          <w:szCs w:val="13"/>
          <w:color w:val="auto"/>
        </w:rPr>
        <w:t>poultry products. These pathogens can also be introduced as a result of improper handling at the further processing, foodservice or consumer level. These risks may be controlled, although not eliminated, by adherence to good manufacturing practices and finished product testing. We have little, if any, control over proper handling once the product has been shipped. Illness and death may result if the pathogens are not eliminated at the further processing, foodservice or consumer level. Even an inadvertent shipment of contaminated products is a violation of law and may lead to increased risk of exposure to product liability claims, product recalls and increased scrutiny by federal and state regulatory agencies and may have a material adverse effect on our business, reputation and prospects. The packaging, marketing and distribution of food products entail an inherent risk of product liability and product recall and the resultant adverse publicity. We may be subject to significant liability if the consumption of any of our products causes injury, illness or death.</w:t>
      </w:r>
    </w:p>
    <w:p>
      <w:pPr>
        <w:spacing w:after="0" w:line="95" w:lineRule="exact"/>
        <w:rPr>
          <w:sz w:val="20"/>
          <w:szCs w:val="20"/>
          <w:color w:val="auto"/>
        </w:rPr>
      </w:pPr>
    </w:p>
    <w:p>
      <w:pPr>
        <w:jc w:val="both"/>
        <w:ind w:firstLine="509"/>
        <w:spacing w:after="0" w:line="280" w:lineRule="auto"/>
        <w:rPr>
          <w:sz w:val="20"/>
          <w:szCs w:val="20"/>
          <w:color w:val="auto"/>
        </w:rPr>
      </w:pPr>
      <w:r>
        <w:rPr>
          <w:rFonts w:ascii="Arial" w:cs="Arial" w:eastAsia="Arial" w:hAnsi="Arial"/>
          <w:sz w:val="13"/>
          <w:szCs w:val="13"/>
          <w:color w:val="auto"/>
        </w:rPr>
        <w:t>We could be required to recall certain products in the event of contamination or damage to the products. In addition to the risks of product liability or product recall due to deficiencies caused by our production or processing operations, we may encounter the same risks if any third party tampers with our products. We cannot assure you that we will not be required to perform product recalls, or that product liability claims will not be asserted against us, in the future. Any claims that may be made may create adverse publicity that would have a material adverse effect on our ability to market our products successfully or on our business, reputation, prospects, financial condition and results of operations. If our products become contaminated, spoiled, are tampered with or are mislabeled, we may be subject to product liability claims and product recalls. A widespread product recall could result in significant losses due to the cost of a recall, the destruction of product inventory and lost sales due to the unavailability of product for a period of time. Such a product recall also could result in adverse publicity, damage to our reputation and a loss of consumer confidence in our products, which could have a material adverse effect on our business results.</w:t>
      </w:r>
    </w:p>
    <w:p>
      <w:pPr>
        <w:spacing w:after="0" w:line="95"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color w:val="auto"/>
        </w:rPr>
        <w:t>We currently maintain insurance with respect to certain of these risks, including product liability insurance, business interruption insurance and general liability insurance, but in many cases such insurance is expensive, difficult to obtain and no assurance can be given that such insurance can be maintained in the future on acceptable terms, or in sufficient amounts to protect us against losses due to any such events, or at all. Moreover, even though our insurance coverage may be designed to protect us from losses attributable to certain events, it may not adequately protect us from liability and expenses we incur in connection with such events.</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foreign operations and commerce in international markets pose special risks to our business and operations.</w:t>
      </w:r>
    </w:p>
    <w:p>
      <w:pPr>
        <w:spacing w:after="0" w:line="140"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3"/>
          <w:szCs w:val="13"/>
          <w:color w:val="auto"/>
        </w:rPr>
        <w:t>We have significant operations and assets located in Mexico, the U.K. and continental Europe and may participate in or acquire operations and assets in other foreign countries in the future. Foreign operations are subject to a number of special risks such as currency exchange rate fluctuations, trade barriers, exchange controls, expropriation and changes in laws and policies, including tax laws and laws governing foreign-owned operations. Currency exchange rate fluctuations have adversely affected us in the past. Exchange rate fluctuations or one or more other risks may have a material adverse effect on our business or operations in the future. Our operations in Mexico, the U.K. and continental Europe are conducted through subsidiaries organized under non-U.S. laws. Claims of creditors of our subsidiaries, including trade creditors, will generally have priority as to the assets of our subsidiaries over our claims. Additionally, the ability of these subsidiaries to make payments and distributions to us can be limited by terms of subsidiary financing arrangements and will be subject to, among other things, the laws applicable to these subsidiaries. In the past, these laws have not had a material adverse effect on the ability of these subsidiaries to make these payments and distributions. However, laws such as these may have a material adverse effect on the ability of these subsidiaries to make these payments and distributions in the future.</w:t>
      </w:r>
    </w:p>
    <w:p>
      <w:pPr>
        <w:spacing w:after="0" w:line="95" w:lineRule="exact"/>
        <w:rPr>
          <w:sz w:val="20"/>
          <w:szCs w:val="20"/>
          <w:color w:val="auto"/>
        </w:rPr>
      </w:pPr>
    </w:p>
    <w:p>
      <w:pPr>
        <w:jc w:val="both"/>
        <w:ind w:firstLine="509"/>
        <w:spacing w:after="0" w:line="278" w:lineRule="auto"/>
        <w:rPr>
          <w:sz w:val="20"/>
          <w:szCs w:val="20"/>
          <w:color w:val="auto"/>
        </w:rPr>
      </w:pPr>
      <w:r>
        <w:rPr>
          <w:rFonts w:ascii="Arial" w:cs="Arial" w:eastAsia="Arial" w:hAnsi="Arial"/>
          <w:sz w:val="13"/>
          <w:szCs w:val="13"/>
          <w:color w:val="auto"/>
        </w:rPr>
        <w:t>To conduct our operations, we regularly move data across national borders (including data related to business, financial, marketing and regulatory matters) and must comply with increasingly complex and rigorous regulatory standards enacted to protect business and personal data in the U.S. and elsewhere. For example, in 2018, the European Union (the “E.U.”) recently commenced enforcement of the General Data Protection Regulation (the “GDPR”). The GDPR imposes significant additional compliance obligations on companies regarding the handling of personal data and provides certain individual privacy rights to persons whose data is stored. The GDPR grants enforcement powers to certain E.U. regulators including extra-territorial powers in some cases. These enforcement powers enable regulators to conduct investigations and dawn raids, to issue penalties up to the greater of €20 million or 4% of worldwide turnover for the most serious violations, and to require changes to the way that organizations (including the Company) use personal data. Due to the geographic scope of our operations, the GDPR may increase our responsibility and liability in relation to personal data that we process, and we may be required to put in place additional mechanisms to minimize the risk of non-compliance with applicable privacy laws and regulations. Privacy laws such as the GDPR and similar laws and regulations are increasing in complexity and number, change frequently and sometimes conflict. In particular, as the E.U. states reframe their national legislation to harmonize with the GDPR, we will need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1" w:name="page12"/>
    <w:bookmarkEnd w:id="11"/>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-6985</wp:posOffset>
            </wp:positionV>
            <wp:extent cx="727075" cy="69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075" cy="6985"/>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to monitor compliance with all relevant E.U. member states’ laws and regulations, including where permitted derivations from the GDPR are introduced. Additional laws may be enacted in U.S. states or at the U.S. federal level. Compliance with such existing, proposed and recently enacted laws and regulations can be costly and may necessitate the review and implementation of policies and processes relating to our collection, security, and use of data; any failure to comply with these regulatory standards could subject us to legal and reputational risks including proceedings against the Company by governmental entities or others, fines and penalties, damage to our reputation and credibility and could have a negative impact on our business and results of operations.</w:t>
      </w:r>
    </w:p>
    <w:p>
      <w:pPr>
        <w:spacing w:after="0" w:line="89"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3"/>
          <w:szCs w:val="13"/>
          <w:color w:val="auto"/>
        </w:rPr>
        <w:t>Historically, we have targeted international markets to generate additional demand for our products. In particular, given the general preference for white chicken meat by U.S. and U.K. consumers, we have targeted international markets for the sale of dark chicken meat and parts, such as chicken paws, which are generally not consumed in the U.S. or U.K. We have also targeted international markets for excess primary pork cuts and parts, such as hog heads and trotters, which are generally not consumed in the U.K. As part of this initiative, we have created a significant international distribution network into several markets in Mexico, the Middle East and Asia. Our success in these markets may be, and our success in recent periods has been, adversely affected by disruptions in export markets. A significant risk is disruption due to import restrictions and tariffs, other trade protection measures, and import or export licensing requirements regarding food products imposed by foreign countries. Significant political or regulatory developments in the jurisdictions in which we sell our products, such as those stemming from the presidential administration in the United States, are difficult to predict and may have a material adverse effect on us. For example, the implementation of new tariff schemes by various governments, such as those implemented by the United States and China in recent years, could increase the costs of our operations and ultimately increase the cost of products sold from one country into another country. In addition, disruptions may be caused by outbreaks of diseases, either in our flocks and herds or elsewhere in the world, and resulting changes in consumer preferences. One or more of these or other disruptions in the international markets and distribution channels could adversely affect our business.</w:t>
      </w:r>
    </w:p>
    <w:p>
      <w:pPr>
        <w:spacing w:after="0" w:line="95" w:lineRule="exact"/>
        <w:rPr>
          <w:sz w:val="20"/>
          <w:szCs w:val="20"/>
          <w:color w:val="auto"/>
        </w:rPr>
      </w:pPr>
    </w:p>
    <w:p>
      <w:pPr>
        <w:jc w:val="both"/>
        <w:spacing w:after="0" w:line="287" w:lineRule="auto"/>
        <w:rPr>
          <w:sz w:val="20"/>
          <w:szCs w:val="20"/>
          <w:color w:val="auto"/>
        </w:rPr>
      </w:pPr>
      <w:r>
        <w:rPr>
          <w:rFonts w:ascii="Arial" w:cs="Arial" w:eastAsia="Arial" w:hAnsi="Arial"/>
          <w:sz w:val="14"/>
          <w:szCs w:val="14"/>
          <w:b w:val="1"/>
          <w:bCs w:val="1"/>
          <w:color w:val="auto"/>
        </w:rPr>
        <w:t>Competition in the chicken and pork industries with other vertically integrated chicken or pork companies may make us unable to compete successfully in this industry, which could adversely affect our business.</w:t>
      </w:r>
    </w:p>
    <w:p>
      <w:pPr>
        <w:spacing w:after="0" w:line="86"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3"/>
          <w:szCs w:val="13"/>
          <w:color w:val="auto"/>
        </w:rPr>
        <w:t>Both the chicken and pork industries are highly competitive. In the U.S., Mexico, the U.K. and continental Europe, we primarily compete with other vertically integrated chicken and pork companies. In general, the competitive factors in these industries include price, product quality, product development, brand identification, breadth of product line and customer service. Competitive factors vary by major market. In the foodservice market, competition is based on consistent quality, product development, service and price. In the U.S. retail market, competition is based on product quality, brand awareness, customer service and price. Further, there is some competition with non-vertically integrated further processors in the prepared chicken business. In the Mexico retail and foodservice markets, where product differentiation has traditionally been limited, product quality and price have been the most critical competitive factors. In the U.K. and continental Europe retail and food service markets, key competitive factors include price, delivering consistent levels of the highest quality, service level and delivering strong innovation. The fresh U.K. and continental Europe market is almost exclusively retailer private label. The U.K. fresh market is almost exclusively sourced from within the U.K., making vertical integration a prerequisite for operating in that market. The U.K. prepared foods market is less exclusively sourced from within the U.K. so vertical integration is less of a consideration and competition is opened up to other processors, some of whom produce or source from abroad. Our success depends in part on our ability to manage costs and be efficient in the highly competitive poultry and pork industries, and our failure to manage costs and be efficient could materially and adversely affect our business, financial condition and results of operations.</w:t>
      </w:r>
    </w:p>
    <w:p>
      <w:pPr>
        <w:spacing w:after="0" w:line="85" w:lineRule="exact"/>
        <w:rPr>
          <w:sz w:val="20"/>
          <w:szCs w:val="20"/>
          <w:color w:val="auto"/>
        </w:rPr>
      </w:pPr>
    </w:p>
    <w:p>
      <w:pPr>
        <w:jc w:val="both"/>
        <w:spacing w:after="0" w:line="255" w:lineRule="auto"/>
        <w:rPr>
          <w:sz w:val="20"/>
          <w:szCs w:val="20"/>
          <w:color w:val="auto"/>
        </w:rPr>
      </w:pPr>
      <w:r>
        <w:rPr>
          <w:rFonts w:ascii="Arial" w:cs="Arial" w:eastAsia="Arial" w:hAnsi="Arial"/>
          <w:sz w:val="14"/>
          <w:szCs w:val="14"/>
          <w:b w:val="1"/>
          <w:bCs w:val="1"/>
          <w:color w:val="auto"/>
        </w:rPr>
        <w:t>Changes in consumer preference and failure to maintain favorable consumer perception of our branded products could negatively impact our U.S. Prepared Foods and Pilgrim’s Food Masters businesses.</w:t>
      </w:r>
    </w:p>
    <w:p>
      <w:pPr>
        <w:spacing w:after="0" w:line="86"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4"/>
          <w:szCs w:val="14"/>
          <w:color w:val="auto"/>
        </w:rPr>
        <w:t>Trends within the food industry change often, and failure to identify and react to changes in these trends could lead to, among other things, reduced demand and price reductions for our branded products. We strive to respond to consumer preferences and expectations, but we may not be successful in our efforts.</w:t>
      </w:r>
    </w:p>
    <w:p>
      <w:pPr>
        <w:spacing w:after="0" w:line="90"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3"/>
          <w:szCs w:val="13"/>
          <w:color w:val="auto"/>
        </w:rPr>
        <w:t>We could be adversely affected if consumers lose confidence in quality of certain food products or ingredients. Prolonged negative perceptions certain food products or ingredients could influence consumer preferences and acceptance of some of our products and marketing programs. Continued negative perceptions and failure to satisfy consumer preferences could materially and adversely affect our product sales, financial condition and results of operations. Our Pilgrim’s Food Masters business has a number of iconic brands with significant value; while we have recently increased the market share of our Just Bare® and Pilgrim’s® brands in the U.S. market. Maintaining and continually enhancing the value of these brands is critical to the success of our business. Brand value is based in large part on consumer perceptions. Success in promoting and enhancing brand value depends in large part on our ability to provide high-quality products. Brand value could diminish significantly due to a number of factors, including consumer perception that we have acted in an irresponsible manner, adverse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2" w:name="page13"/>
    <w:bookmarkEnd w:id="12"/>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-6985</wp:posOffset>
            </wp:positionV>
            <wp:extent cx="727075" cy="69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075" cy="6985"/>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publicity about our products (whether or not valid), our failure to maintain the quality of our products, the failure of our products to deliver consistently positive consumer experiences or the products becoming unavailable to consumers.</w:t>
      </w:r>
    </w:p>
    <w:p>
      <w:pPr>
        <w:spacing w:after="0" w:line="9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Media campaigns related to food production; regulatory and customer focus on environmental, social and governance responsibility; and recent increased focus and attention by the U.S.</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government on market dynamics in the meat processing industry could expose us to additional costs or risks.</w:t>
      </w:r>
    </w:p>
    <w:p>
      <w:pPr>
        <w:spacing w:after="0" w:line="103"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3"/>
          <w:szCs w:val="13"/>
          <w:color w:val="auto"/>
        </w:rPr>
        <w:t>Individuals or organizations can use social media platforms to publicize inappropriate or inaccurate stories or perceptions about the food production industry or our company. Such practices could cause damage to the reputations of our company and/or the food production industry in general. This damage could adversely affect our financial results. In addition, regulators, stockholders, customers and other interested parties have focused increasingly on the environmental, social and governance practices of companies. This has led to an increase in regulations and may continue to cause us to be subject to additional regulations in the future. Our customers or other interested parties may also require us to implement certain environmental, social or governance procedures or standards before doing or continuing to do business with us. Also, the U.S. government has increased its focus on market dynamics within the meat industry. The U.S. government has inquired with the meat processing industry on matters such as market pricing to end consumers and market dynamics associated with the relationship between meat processors and the farming community. This increased attention on environmental, social and governance practices could cause us to incur additional compliance costs, divert management attention from operating our business, impair our access to capital among certain investors and subject us to litigation risk for disclosures we make and practices we adopt regarding these issues. This in turn could have a material adverse effect on our business, financial condition and results of operations.</w:t>
      </w:r>
    </w:p>
    <w:p>
      <w:pPr>
        <w:spacing w:after="0" w:line="103" w:lineRule="exact"/>
        <w:rPr>
          <w:sz w:val="20"/>
          <w:szCs w:val="20"/>
          <w:color w:val="auto"/>
        </w:rPr>
      </w:pPr>
    </w:p>
    <w:p>
      <w:pPr>
        <w:jc w:val="both"/>
        <w:spacing w:after="0" w:line="287" w:lineRule="auto"/>
        <w:rPr>
          <w:sz w:val="20"/>
          <w:szCs w:val="20"/>
          <w:color w:val="auto"/>
        </w:rPr>
      </w:pPr>
      <w:r>
        <w:rPr>
          <w:rFonts w:ascii="Arial" w:cs="Arial" w:eastAsia="Arial" w:hAnsi="Arial"/>
          <w:sz w:val="14"/>
          <w:szCs w:val="14"/>
          <w:b w:val="1"/>
          <w:bCs w:val="1"/>
          <w:color w:val="auto"/>
        </w:rPr>
        <w:t>We are increasingly dependent on information technology, and our business and reputation could suffer if we are unable to protect our information technology systems against, or effectively respond to, cyber-attacks, other cyber incidents or security breaches or if our information technology systems are otherwise disrupted.</w:t>
      </w:r>
    </w:p>
    <w:p>
      <w:pPr>
        <w:spacing w:after="0" w:line="86"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3"/>
          <w:szCs w:val="13"/>
          <w:color w:val="auto"/>
        </w:rPr>
        <w:t xml:space="preserve">The proper functioning of our information systems is critical to the successful operation of our business. </w:t>
      </w:r>
      <w:r>
        <w:rPr>
          <w:rFonts w:ascii="Arial" w:cs="Arial" w:eastAsia="Arial" w:hAnsi="Arial"/>
          <w:sz w:val="13"/>
          <w:szCs w:val="13"/>
          <w:color w:val="212529"/>
        </w:rPr>
        <w:t>We rely on information technology networks and systems, including the Internet, to</w:t>
      </w:r>
      <w:r>
        <w:rPr>
          <w:rFonts w:ascii="Arial" w:cs="Arial" w:eastAsia="Arial" w:hAnsi="Arial"/>
          <w:sz w:val="13"/>
          <w:szCs w:val="13"/>
          <w:color w:val="auto"/>
        </w:rPr>
        <w:t xml:space="preserve"> </w:t>
      </w:r>
      <w:r>
        <w:rPr>
          <w:rFonts w:ascii="Arial" w:cs="Arial" w:eastAsia="Arial" w:hAnsi="Arial"/>
          <w:sz w:val="13"/>
          <w:szCs w:val="13"/>
          <w:color w:val="212529"/>
        </w:rPr>
        <w:t xml:space="preserve">process, transmit, and store electronic and financial information, to manage a variety of business processes and activities, and to comply with regulatory, legal, and tax requirements. We also depend on our information technology infrastructure for digital marketing activities and for electronic communications among our locations, personnel, customers, and suppliers. </w:t>
      </w:r>
      <w:r>
        <w:rPr>
          <w:rFonts w:ascii="Arial" w:cs="Arial" w:eastAsia="Arial" w:hAnsi="Arial"/>
          <w:sz w:val="13"/>
          <w:szCs w:val="13"/>
          <w:color w:val="000000"/>
        </w:rPr>
        <w:t>Although our information</w:t>
      </w:r>
      <w:r>
        <w:rPr>
          <w:rFonts w:ascii="Arial" w:cs="Arial" w:eastAsia="Arial" w:hAnsi="Arial"/>
          <w:sz w:val="13"/>
          <w:szCs w:val="13"/>
          <w:color w:val="212529"/>
        </w:rPr>
        <w:t xml:space="preserve"> </w:t>
      </w:r>
      <w:r>
        <w:rPr>
          <w:rFonts w:ascii="Arial" w:cs="Arial" w:eastAsia="Arial" w:hAnsi="Arial"/>
          <w:sz w:val="13"/>
          <w:szCs w:val="13"/>
          <w:color w:val="000000"/>
        </w:rPr>
        <w:t>systems are protected with robust backup systems, including physical and software safeguards and remote processing capabilities, information systems are still vulnerable to cyber-attacks, natural disasters, power losses, unauthorized access, telecommunication failures, and other problems. In addition, certain software used by us is licensed from, and certain services related to our information systems are provided by, third parties who could choose to discontinue their relationship with us. If critical information systems fail or these systems or related software or services are otherwise unavailable, our ability to process orders, maintain proper levels of inventories, collect accounts receivable, pay expenses, and maintain the security of Company and customer data could be adversely affected. Cyber-attacks and other cyber incidents are occurring more frequently and are constantly evolving in nature and sophistication. We have experienced and expect to continue to experience actual or attempted cyber-attacks of our information technology systems or networks. To date, none of these actual or attempted cyber-attacks has had a material effect on our operations or financial condition. For example, we determined on May 30, 2021 that we were the target of an organized cybersecurity attack (the “Cyberattack”) affecting some of the servers supporting our global IT systems. Upon learning of the intrusion, we contacted federal officials and activated our cybersecurity protocols, including voluntarily shutting down all affected systems to isolate the intrusion, limit the potential infection and preserve core systems. Restoring systems critical to production was prioritized. In addition, the encrypted backup servers, which were not affected by the Cyberattack, allowed for a return to full operations within two days. We incurred a loss of approximately $10.0 million related to the Cyberattack during the second quarter of 2021, which included an allocation of $2.4 million of the total $11.0 million ransom paid by our parent company. Our response, IT systems and encrypted backup servers allowed for a rapid recovery from the Cyberattack. As a result, the loss of food produced was limited to less than one day of production. We continue to cooperate with government officials regarding this incident. We are not aware of any evidence that any customer, supplier, employee or financial data has been compromised or misused as a result of the Cyberattack.</w:t>
      </w:r>
    </w:p>
    <w:p>
      <w:pPr>
        <w:spacing w:after="0" w:line="103" w:lineRule="exact"/>
        <w:rPr>
          <w:sz w:val="20"/>
          <w:szCs w:val="20"/>
          <w:color w:val="auto"/>
        </w:rPr>
      </w:pPr>
    </w:p>
    <w:p>
      <w:pPr>
        <w:jc w:val="both"/>
        <w:ind w:firstLine="509"/>
        <w:spacing w:after="0" w:line="258" w:lineRule="auto"/>
        <w:rPr>
          <w:sz w:val="20"/>
          <w:szCs w:val="20"/>
          <w:color w:val="auto"/>
        </w:rPr>
      </w:pPr>
      <w:r>
        <w:rPr>
          <w:rFonts w:ascii="Arial" w:cs="Arial" w:eastAsia="Arial" w:hAnsi="Arial"/>
          <w:sz w:val="14"/>
          <w:szCs w:val="14"/>
          <w:color w:val="auto"/>
        </w:rPr>
        <w:t>Our failure to maintain our cyber-security measures and keep abreast of new and evolving threats may make our systems vulnerable. The potential consequences of a material cyber-security incident include reputational damage, litigation with third parties, regulatory actions, disruption of plant operations, and increased cyber-security protection and remediation costs. There can be no assurance that we will be able to prevent all of the rapidly evolving forms of increasingly sophisticated and frequent cyber-attacks. Moreover, our efforts to address network security vulnerabilities may not be successful, resulting potentially in the theft, loss, destruction or corruption of information we store electronically, as well as unexpected interruptions, delays or cessation of service, any of which would cause harm to our business operations. The vulnerability of our systems and our failure to identify or respond timely to cyber incidents could have an adverse effect on our operations and reputation and expose us to liability or regulatory enforcement actions.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3" w:name="page14"/>
    <w:bookmarkEnd w:id="13"/>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-6985</wp:posOffset>
            </wp:positionV>
            <wp:extent cx="727075" cy="69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075" cy="698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operations are subject to general risks of litigation.</w:t>
      </w:r>
    </w:p>
    <w:p>
      <w:pPr>
        <w:spacing w:after="0" w:line="140"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color w:val="auto"/>
        </w:rPr>
        <w:t>We are involved on an ongoing basis in litigation relating to alleged antitrust violations or arising in the ordinary course of business or otherwise. Trends in litigation may include class actions involving consumers, shareholders, employees or injured persons, and claims relating to commercial, labor, employment, antitrust, securities or environmental matters. Litigation trends and the outcome of litigation cannot be predicted with certainty, and adverse litigation trends and outcomes could result in material damages, which could adversely affect our financial condition and results of operations.</w:t>
      </w:r>
    </w:p>
    <w:p>
      <w:pPr>
        <w:spacing w:after="0" w:line="103" w:lineRule="exact"/>
        <w:rPr>
          <w:sz w:val="20"/>
          <w:szCs w:val="20"/>
          <w:color w:val="auto"/>
        </w:rPr>
      </w:pPr>
    </w:p>
    <w:p>
      <w:pPr>
        <w:jc w:val="both"/>
        <w:ind w:firstLine="509"/>
        <w:spacing w:after="0" w:line="305" w:lineRule="auto"/>
        <w:rPr>
          <w:sz w:val="20"/>
          <w:szCs w:val="20"/>
          <w:color w:val="auto"/>
        </w:rPr>
      </w:pPr>
      <w:r>
        <w:rPr>
          <w:rFonts w:ascii="Arial" w:cs="Arial" w:eastAsia="Arial" w:hAnsi="Arial"/>
          <w:sz w:val="12"/>
          <w:szCs w:val="12"/>
          <w:color w:val="auto"/>
        </w:rPr>
        <w:t>For example, between September 2, 2016 and October 13, 2016, a series of purported class action lawsuits were brought against PPC and other defendants by and on behalf of direct and indirect purchasers of broiler chickens alleging violations of antitrust and unfair competition laws. The complaints seek, among other relief, treble damages for an alleged conspiracy among defendants to reduce output and increase prices of broiler chickens from the period of January 2008 to the present. In addition, on October 13, 2020, the Company announced that it had entered into a plea agreement with the U.S. Department of Justice (the “DOJ”) pursuant to which it (1) pled guilty to one count of conspiracy in restraint of competition involving sales of broiler chicken products in the U.S. in violation of the Section 1 of the Sherman Antitrust Act, and (2) paid an amended fine of $107.9 million. For additional information on these and other litigation matters, see Part II, Item 8, Notes to Consolidated Financial Statements, “Note 20. Commitments and Contingencies” in this annual report. The consequences of the litigation matters PPC faces are inherently uncertain, and adverse actions, judgments or settlements in some or all of these matters has resulted and may in the future result in materially adverse monetary damages, fines, penalties, or injunctive relief against PPC. Any claims or litigation, even if fully indemnified or insured, could damage PPC’s reputation and make it more difficult to compete effectively or to obtain adequate insurance in the future.</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We may not be able to successfully integrate the operations of companies we acquire or benefit from growth opportunities.</w:t>
      </w:r>
    </w:p>
    <w:p>
      <w:pPr>
        <w:spacing w:after="0" w:line="140"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4"/>
          <w:szCs w:val="14"/>
          <w:color w:val="auto"/>
        </w:rPr>
        <w:t>We continue to pursue selective acquisitions of complementary businesses, such as PPL, which we acquired in 2019, and Pilgrim’s Food Masters, which we acquired in 2021. Inherent in any future acquisitions are certain risks such as increasing leverage and debt service requirements and combining company cultures and facilities, which could have a material adverse effect on our operating results, particularly during the period immediately following such acquisitions. Additional debt or equity capital may be required to complete future acquisitions, and there can be no assurance that we will be able to raise the required capital. These opportunities may expose us to successor liability relating to actions involving any acquired entities, their respective management or contingent liabilities incurred prior to our involvement and will expose us to liabilities associated with ongoing operations, in particular to the extent we are unable to adequately and safely manage such acquired operations. A material liability associated with these types of opportunities, or our failure to successfully integrate any acquired entities into our business, could adversely affect our reputation and have a material adverse effect on us.</w:t>
      </w:r>
    </w:p>
    <w:p>
      <w:pPr>
        <w:spacing w:after="0" w:line="109" w:lineRule="exact"/>
        <w:rPr>
          <w:sz w:val="20"/>
          <w:szCs w:val="20"/>
          <w:color w:val="auto"/>
        </w:rPr>
      </w:pPr>
    </w:p>
    <w:p>
      <w:pPr>
        <w:jc w:val="both"/>
        <w:ind w:firstLine="509"/>
        <w:spacing w:after="0" w:line="284" w:lineRule="auto"/>
        <w:rPr>
          <w:sz w:val="20"/>
          <w:szCs w:val="20"/>
          <w:color w:val="auto"/>
        </w:rPr>
      </w:pPr>
      <w:r>
        <w:rPr>
          <w:rFonts w:ascii="Arial" w:cs="Arial" w:eastAsia="Arial" w:hAnsi="Arial"/>
          <w:sz w:val="13"/>
          <w:szCs w:val="13"/>
          <w:color w:val="auto"/>
        </w:rPr>
        <w:t>We may not be able to successfully integrate any growth opportunities we may undertake in the future or successfully implement appropriate operational, financial and administrative systems and controls to achieve the benefits that we expect to result therefrom. These risks include: (1) failure of the acquired entities to achieve expected results; (2) possible inability to retain or hire key personnel of the acquired entities; and (3) possible inability to achieve expected synergies and/or economies of scale. In addition, the process of integrating businesses could cause interruption of, or loss of momentum in, the activities of our existing business. The diversion of our management’s attention, the lack of experience in operating in the geographical market of the acquired business and any delays or difficulties encountered in connection with the integration of these businesses could adversely affect our business, results of operations and prospects.</w:t>
      </w:r>
    </w:p>
    <w:p>
      <w:pPr>
        <w:spacing w:after="0" w:line="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 consolidation of customers and/or the loss of one or more of our largest customers could adversely affect our business.</w:t>
      </w:r>
    </w:p>
    <w:p>
      <w:pPr>
        <w:spacing w:after="0" w:line="140"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4"/>
          <w:szCs w:val="14"/>
          <w:color w:val="auto"/>
        </w:rPr>
        <w:t>Our customers, such as supermarkets, warehouse clubs and food distributors, have consolidated in recent years, and consolidation is expected to continue throughout the U.S. and in other major markets. These consolidations have produced large, sophisticated customers with increased buying power who are more capable of operating with reduced inventories, opposing price increases, and demanding lower pricing, increased promotional programs and specifically tailored products. These customers also may use shelf space currently used for our products for their own private label products. Because of these trends, our volume growth could slow or we may need to lower prices or increase promotional spending for our products, any of which could adversely affect our financial results.</w:t>
      </w:r>
    </w:p>
    <w:p>
      <w:pPr>
        <w:spacing w:after="0" w:line="104" w:lineRule="exact"/>
        <w:rPr>
          <w:sz w:val="20"/>
          <w:szCs w:val="20"/>
          <w:color w:val="auto"/>
        </w:rPr>
      </w:pPr>
    </w:p>
    <w:p>
      <w:pPr>
        <w:jc w:val="both"/>
        <w:ind w:firstLine="509"/>
        <w:spacing w:after="0" w:line="281" w:lineRule="auto"/>
        <w:rPr>
          <w:sz w:val="20"/>
          <w:szCs w:val="20"/>
          <w:color w:val="auto"/>
        </w:rPr>
      </w:pPr>
      <w:r>
        <w:rPr>
          <w:rFonts w:ascii="Arial" w:cs="Arial" w:eastAsia="Arial" w:hAnsi="Arial"/>
          <w:sz w:val="14"/>
          <w:szCs w:val="14"/>
          <w:color w:val="auto"/>
        </w:rPr>
        <w:t>Our two largest customers accounted for approximately 12.0% of our net sales in 2021. Our business could suffer significant setbacks in revenues and operating income if we lost one or more of our largest customers, or if our customers’ plans and/or markets should change significantly.</w:t>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We depend on contract growers and independent producers to supply us with livestock.</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4" w:name="page15"/>
    <w:bookmarkEnd w:id="14"/>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-6985</wp:posOffset>
            </wp:positionV>
            <wp:extent cx="727075" cy="69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075" cy="6985"/>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jc w:val="both"/>
        <w:ind w:firstLine="509"/>
        <w:spacing w:after="0" w:line="281" w:lineRule="auto"/>
        <w:rPr>
          <w:sz w:val="20"/>
          <w:szCs w:val="20"/>
          <w:color w:val="auto"/>
        </w:rPr>
      </w:pPr>
      <w:r>
        <w:rPr>
          <w:rFonts w:ascii="Arial" w:cs="Arial" w:eastAsia="Arial" w:hAnsi="Arial"/>
          <w:sz w:val="14"/>
          <w:szCs w:val="14"/>
          <w:color w:val="auto"/>
        </w:rPr>
        <w:t>We contract primarily with independent contract growers to raise the live chickens and pigs processed in our operations. If we do not attract and maintain contracts with growers or maintain marketing and purchasing relationships with independent producers, our production operations could be negatively affected.</w:t>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Changes in consumer preference could negatively impact our business.</w:t>
      </w:r>
    </w:p>
    <w:p>
      <w:pPr>
        <w:spacing w:after="0" w:line="140"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4"/>
          <w:szCs w:val="14"/>
          <w:color w:val="auto"/>
        </w:rPr>
        <w:t>The food industry in general is subject to changing consumer trends, demands and preferences. Trends within the food industry change often, and failure to identify and react to changes in these trends could lead to, among other things, reduced demand and price reductions for our products, and could have an adverse effect on our financial results. For example, consumer concerns related to human health, climate change, resource conservation and animal welfare of animal-based protein sources have driven consumer interest in plant-based protein sources. Because we primarily produce chicken and pork products, we may be limited in our ability to respond to changes in consumer preferences towards other animal-based proteins or away from animal-based proteins entirely.</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Climate change may have a long-term adverse impact on our business and results of operations.</w:t>
      </w:r>
    </w:p>
    <w:p>
      <w:pPr>
        <w:spacing w:after="0" w:line="183"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3"/>
          <w:szCs w:val="13"/>
          <w:color w:val="auto"/>
        </w:rPr>
        <w:t>Global average temperatures are gradually increasing due to increased concentration of carbon dioxide and other greenhouse gases in the atmosphere, which may contribute to significant changes in weather patterns around the globe and an increase in the frequency and severity of natural disasters. Decreased agricultural productivity in certain regions of the world as a result of changing weather patterns may limit the availability or increase the cost of key agricultural commodities and natural resources, as well as raw materials such as corn, soybean meal and other feed ingredients, which are important sources of ingredients for our products, and could impact the food security of communities around the world. Increased frequency or duration of extreme weather conditions could also impair production capabilities, disrupt our supply chain or impact demand for our products. Increasing concern over climate change also may adversely impact demand for our products due to changes in consumer preferences and result in additional legal or regulatory requirements designed to reduce or mitigate the effects of carbon dioxide and other greenhouse gas emissions on the environment. In addition, climate change could affect our ability to procure needed commodities at costs and in quantities we currently experience and may require us to make additional unplanned capital expenditures. Increased energy or compliance costs and expenses due to increased legal or regulatory requirements could be prohibitively costly and may cause disruptions in, or an increase in the costs associated with, the running of our production facilities. Furthermore, compliance with any such legal or regulatory requirements may require us to make significant changes to our business operations and strategy, which will likely incur substantial time, attention and costs. Even if we make changes to align ourselves with such legal or regulatory requirements, we may still be subject to significant fines if such laws and regulations are interpreted and applied in a manner inconsistent with our practices. The effects of climate change and legal or regulatory initiatives to address climate change could have a long-term adverse impact on our business and results of operations. We currently have outstanding Senior Notes that are linked to our achievement of targeted reductions in greenhouse gas emissions intensity by 2026. If we fail to meet these targeted reductions in 2026, the interest rate applied to these Senior Notes will increase. Finally, from time to time we establish and publicly announce goals and commitments to reduce our carbon footprint. If we fail to achieve or improperly report on our progress toward achieving our carbon emissions reduction goals and commitments, the resulting negative publicity could adversely affect consumer preference for our products.</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Legal and Regulatory Risk Factors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Regulation, present and future, is a constant factor affecting our business.</w:t>
      </w:r>
    </w:p>
    <w:p>
      <w:pPr>
        <w:spacing w:after="0" w:line="140"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color w:val="auto"/>
        </w:rPr>
        <w:t>Our operations will continue to be subject to or otherwise affected by federal, state and local governmental legislation and regulation, including in the health, safety and environmental areas. Changes in laws or regulations or the application thereof regarding areas such as wage and hour and environmental compliance may lead to government enforcement actions and resulting litigation by private litigants. In addition, unknown matters, new laws and regulations, or stricter interpretations of existing laws or regulations may also materially affect our business or operations in the future, including potential COVID-19 vaccine mandates.</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Immigration</w:t>
      </w:r>
    </w:p>
    <w:p>
      <w:pPr>
        <w:spacing w:after="0" w:line="136" w:lineRule="exact"/>
        <w:rPr>
          <w:sz w:val="20"/>
          <w:szCs w:val="20"/>
          <w:color w:val="auto"/>
        </w:rPr>
      </w:pPr>
    </w:p>
    <w:p>
      <w:pPr>
        <w:jc w:val="both"/>
        <w:ind w:firstLine="509"/>
        <w:spacing w:after="0" w:line="288" w:lineRule="auto"/>
        <w:rPr>
          <w:sz w:val="20"/>
          <w:szCs w:val="20"/>
          <w:color w:val="auto"/>
        </w:rPr>
      </w:pPr>
      <w:r>
        <w:rPr>
          <w:rFonts w:ascii="Arial" w:cs="Arial" w:eastAsia="Arial" w:hAnsi="Arial"/>
          <w:sz w:val="13"/>
          <w:szCs w:val="13"/>
          <w:color w:val="auto"/>
        </w:rPr>
        <w:t>Immigration reform continues to attract significant attention in the public arena and the U.S. Congress. Despite our past and continuing efforts to hire only U.S. citizens and/or persons legally authorized to work in the U.S., we may be unable to ensure that all of our employees are U.S. citizens and/or persons legally authorized to work in the U.S. No assurances can be given that enforcement efforts by governmental authorities will not disrupt a portion of our workforce or operations at one or more facilities, thereby negatively impacting our business. Also, no assurance can be given that further enforcement efforts by governmental authorities will not result in the assessment of fines that could adversely affect our financial position, operating results or cash flows.</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Environmental, Health and Safety</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5" w:name="page16"/>
    <w:bookmarkEnd w:id="15"/>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-6985</wp:posOffset>
            </wp:positionV>
            <wp:extent cx="727075" cy="69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075" cy="6985"/>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jc w:val="both"/>
        <w:ind w:firstLine="509"/>
        <w:spacing w:after="0" w:line="284" w:lineRule="auto"/>
        <w:rPr>
          <w:sz w:val="20"/>
          <w:szCs w:val="20"/>
          <w:color w:val="auto"/>
        </w:rPr>
      </w:pPr>
      <w:r>
        <w:rPr>
          <w:rFonts w:ascii="Arial" w:cs="Arial" w:eastAsia="Arial" w:hAnsi="Arial"/>
          <w:sz w:val="13"/>
          <w:szCs w:val="13"/>
          <w:color w:val="auto"/>
        </w:rPr>
        <w:t>Our operations are subject to extensive and increasingly stringent federal, state, local and foreign laws and regulations pertaining to the protection of the environment, including those relating to the discharge of materials into the environment, the handling, treatment and disposal of wastes and remediation of soil and groundwater contamination. Failure to comply with these requirements could have serious consequences for us, including criminal as well as civil and administrative penalties, claims for property damage, personal injury and damage to natural resources and negative publicity. Compliance with existing or changing environmental requirements, including more stringent limitations imposed or expected to be imposed in recently-renewed or soon-to be renewed environmental permits, will require capital expenditures for installation of new or upgraded pollution control equipment at some of our facilities.</w:t>
      </w:r>
    </w:p>
    <w:p>
      <w:pPr>
        <w:spacing w:after="0" w:line="92" w:lineRule="exact"/>
        <w:rPr>
          <w:sz w:val="20"/>
          <w:szCs w:val="20"/>
          <w:color w:val="auto"/>
        </w:rPr>
      </w:pPr>
    </w:p>
    <w:p>
      <w:pPr>
        <w:jc w:val="both"/>
        <w:ind w:firstLine="509"/>
        <w:spacing w:after="0" w:line="258" w:lineRule="auto"/>
        <w:rPr>
          <w:sz w:val="20"/>
          <w:szCs w:val="20"/>
          <w:color w:val="auto"/>
        </w:rPr>
      </w:pPr>
      <w:r>
        <w:rPr>
          <w:rFonts w:ascii="Arial" w:cs="Arial" w:eastAsia="Arial" w:hAnsi="Arial"/>
          <w:sz w:val="14"/>
          <w:szCs w:val="14"/>
          <w:color w:val="auto"/>
        </w:rPr>
        <w:t>Operations at many of our facilities require the treatment and disposal of wastewater, stormwater and agricultural and food processing wastes, the use and maintenance of refrigeration systems, including ammonia-based chillers, noise, odor and dust management, the operation of mechanized processing equipment, and other operations that potentially could affect the environment, health and safety. Some of our facilities have been operating for many years, and were built before current environmental standards were imposed, and/or in areas that recently have become subject to residential and commercial development pressures. Failure to comply with current and future environmental, health and safety standards could result in the imposition of fines and penalties, and we have been subject to such sanctions from time to time. We are upgrading wastewater treatment facilities at a number of these locations, either pursuant to consent agreements with regulatory authorities or on a voluntary basis in anticipation of future permit requirements.</w:t>
      </w:r>
    </w:p>
    <w:p>
      <w:pPr>
        <w:spacing w:after="0" w:line="107" w:lineRule="exact"/>
        <w:rPr>
          <w:sz w:val="20"/>
          <w:szCs w:val="20"/>
          <w:color w:val="auto"/>
        </w:rPr>
      </w:pPr>
    </w:p>
    <w:p>
      <w:pPr>
        <w:jc w:val="both"/>
        <w:ind w:firstLine="509"/>
        <w:spacing w:after="0" w:line="288" w:lineRule="auto"/>
        <w:rPr>
          <w:sz w:val="20"/>
          <w:szCs w:val="20"/>
          <w:color w:val="auto"/>
        </w:rPr>
      </w:pPr>
      <w:r>
        <w:rPr>
          <w:rFonts w:ascii="Arial" w:cs="Arial" w:eastAsia="Arial" w:hAnsi="Arial"/>
          <w:sz w:val="13"/>
          <w:szCs w:val="13"/>
          <w:color w:val="auto"/>
        </w:rPr>
        <w:t>In the past, we have acquired businesses with operations such as pesticide and fertilizer production that involved greater use of hazardous materials and generation of more hazardous wastes than our current operations. While many of those operations have been sold or closed, some environmental laws impose strict and, in certain circumstances, joint and several liability for costs of investigation and remediation of contaminated sites on current and former owners and operators of the sites, and on persons who arranged for disposal of wastes at such sites. In addition, current owners or operators of such contaminated sites may seek to recover cleanup costs from us based on past operations or contractual indemnifications.</w:t>
      </w:r>
    </w:p>
    <w:p>
      <w:pPr>
        <w:spacing w:after="0" w:line="89"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color w:val="auto"/>
        </w:rPr>
        <w:t>Additionally, we have from time to time had incidents at our plants involving worker health and safety. These have included ammonia releases due to mechanical failures in chiller systems and worker injuries and fatalities involving processing equipment and vehicle accidents. We have taken preventive measures in response; however, we can make no assurance that similar incidents will not arise in the future. New environmental, health and safety requirements, stricter interpretations of existing requirements, or obligations related to the investigation or clean-up of contaminated sites, may materially affect our business or operations in the future.</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Anti-Corruption</w:t>
      </w:r>
    </w:p>
    <w:p>
      <w:pPr>
        <w:spacing w:after="0" w:line="136"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4"/>
          <w:szCs w:val="14"/>
          <w:color w:val="auto"/>
        </w:rPr>
        <w:t>We are subject to a number of anti-corruption laws, including the U.S. Foreign Corrupt Practices Act (“FCPA”) and the U.K. Bribery Act (“UKBA”). The FCPA and similar anti-bribery laws generally prohibit companies and their intermediaries from making improper payments or improperly providing anything of value to foreign officials, directly or indirectly, for the purpose of obtaining or keeping business and/or other benefits. Some of these laws have legal effect outside the jurisdictions in which they are adopted under certain circumstances. The FCPA also requires maintenance of adequate record-keeping and internal accounting practices to accurately reflect transactions. Under the FCPA, companies operating in the U.S. may be held liable for actions taken by their strategic or local partners or representatives.</w:t>
      </w:r>
    </w:p>
    <w:p>
      <w:pPr>
        <w:spacing w:after="0" w:line="104" w:lineRule="exact"/>
        <w:rPr>
          <w:sz w:val="20"/>
          <w:szCs w:val="20"/>
          <w:color w:val="auto"/>
        </w:rPr>
      </w:pPr>
    </w:p>
    <w:p>
      <w:pPr>
        <w:jc w:val="both"/>
        <w:ind w:firstLine="509"/>
        <w:spacing w:after="0" w:line="258" w:lineRule="auto"/>
        <w:rPr>
          <w:sz w:val="20"/>
          <w:szCs w:val="20"/>
          <w:color w:val="auto"/>
        </w:rPr>
      </w:pPr>
      <w:r>
        <w:rPr>
          <w:rFonts w:ascii="Arial" w:cs="Arial" w:eastAsia="Arial" w:hAnsi="Arial"/>
          <w:sz w:val="14"/>
          <w:szCs w:val="14"/>
          <w:color w:val="auto"/>
        </w:rPr>
        <w:t>The UKBA is broader in scope than the FCPA in that it directly prohibits commercial bribery (i.e. bribing others than government officials) in addition to bribery of government officials and it does not recognize certain exceptions, notably for facilitation payments, that are permitted by the FCPA. The UKBA also has wide jurisdiction. It covers any offense committed in the U.K., but proceedings can also be brought if a person who has a close connection with the U.K. commits the relevant acts or omissions outside the U.K. It defines a person with a close connection to include British citizens, individuals ordinarily resident in the U.K. and bodies incorporated in the U.K. The UKBA also provides that any organization that conducts part of its business in the U.K., even if it is not incorporated in the U.K., can be prosecuted for the corporate offense of failing to prevent bribery by an associated person, even if the bribery took place entirely outside the U.K. and the associated person had no connection with the U.K.</w:t>
      </w:r>
    </w:p>
    <w:p>
      <w:pPr>
        <w:spacing w:after="0" w:line="107" w:lineRule="exact"/>
        <w:rPr>
          <w:sz w:val="20"/>
          <w:szCs w:val="20"/>
          <w:color w:val="auto"/>
        </w:rPr>
      </w:pPr>
    </w:p>
    <w:p>
      <w:pPr>
        <w:jc w:val="both"/>
        <w:ind w:firstLine="509"/>
        <w:spacing w:after="0" w:line="281" w:lineRule="auto"/>
        <w:rPr>
          <w:sz w:val="20"/>
          <w:szCs w:val="20"/>
          <w:color w:val="auto"/>
        </w:rPr>
      </w:pPr>
      <w:r>
        <w:rPr>
          <w:rFonts w:ascii="Arial" w:cs="Arial" w:eastAsia="Arial" w:hAnsi="Arial"/>
          <w:sz w:val="14"/>
          <w:szCs w:val="14"/>
          <w:color w:val="auto"/>
        </w:rPr>
        <w:t>Other jurisdictions in which we operate have adopted similar anti-corruption, anti-bribery and anti-kickback laws to which we are subject. Civil and criminal penalties may be imposed for violations of these laws.</w:t>
      </w:r>
    </w:p>
    <w:p>
      <w:pPr>
        <w:spacing w:after="0" w:line="90"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color w:val="auto"/>
        </w:rPr>
        <w:t>Despite our ongoing efforts to ensure compliance with the FCPA, the UKBA and similar laws, there can be no assurance that our directors, officers, employees, agents, third-party intermediaries and the companies to which we outsource certain of our business operations, have previously complied or will comply with those laws and our anti-corruption policies or that our compliance program will be sufficient to prevent or detect bribery, and we may be ultimately held responsible for any such non-compliance. If we or our directors or officers violate anti-corruption laws or other laws governing the conduct of</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6" w:name="page17"/>
    <w:bookmarkEnd w:id="16"/>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-6985</wp:posOffset>
            </wp:positionV>
            <wp:extent cx="727075" cy="69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075" cy="6985"/>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business with government entities (including local laws), we or our directors or officers may be subject to criminal and civil penalties or other remedial measures, which could harm our reputation and have a material adverse impact on our business, financial condition, results of operations and prospects. Any actual or alleged violations of such laws could also harm our reputation or have an adverse impact on our business, financial condition, results of operations and prospects.</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operations may be adversely impacted by Brexit.</w:t>
      </w:r>
    </w:p>
    <w:p>
      <w:pPr>
        <w:spacing w:after="0" w:line="140"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3"/>
          <w:szCs w:val="13"/>
          <w:color w:val="auto"/>
        </w:rPr>
        <w:t>On January 31, 2020, the U.K. withdrew from the E.U., which is commonly referred to as Brexit. A transition period ended on December 31, 2020, during which the U.K. and the E.U. negotiated the terms of the relationship between the U.K. and the E.U. going forward. Despite the implementation of the E.U.-U.K. Trade and Cooperation Agreement beginning on January 1, 2021, it is still unclear how Brexit will ultimately impact relationships within the U.K. and between the U.K. and other countries on many aspects of fiscal policy, cross-border trade and international relations. The effects of and the perceptions as to the impact from the withdrawal of the U.K. from the E.U. has and may continue to adversely affect business activity and economic and market conditions in the U.K., Europe and globally, and could contribute to instability in global financial and foreign exchange markets, including volatility in the value of the pound sterling and the euro. In addition, Brexit could lead to additional political, legal and economic instability in the E.U. Any of these effects of Brexit, and others we cannot anticipate, could adversely affect our business in the U.K., as well as our financial condition, results of operations and cash flows</w:t>
      </w:r>
      <w:r>
        <w:rPr>
          <w:rFonts w:ascii="Arial" w:cs="Arial" w:eastAsia="Arial" w:hAnsi="Arial"/>
          <w:sz w:val="13"/>
          <w:szCs w:val="13"/>
          <w:color w:val="008100"/>
        </w:rPr>
        <w:t>.</w:t>
      </w:r>
      <w:r>
        <w:rPr>
          <w:rFonts w:ascii="Arial" w:cs="Arial" w:eastAsia="Arial" w:hAnsi="Arial"/>
          <w:sz w:val="13"/>
          <w:szCs w:val="13"/>
          <w:color w:val="auto"/>
        </w:rPr>
        <w:t xml:space="preserve"> It is also unclear what long-term economic, financial, trade and legal implications the withdrawal of the U.K. from the E.U. will have and how such withdrawal will affect our customers and our operations in the U.K. and Europe. If the U.K. were to significantly alter its regulations affecting the food industry, we could face significant new costs. Any of the effects of Brexit could adversely affect our business, business opportunities, results of operations, financial condition and cash flows. In addition, Brexit. will result in changes to the interactions that the Company has with regulators, as domestic regulators in the U.K. will no longer participate in the regulatory enforcement structure of the E.U. This may affect relationships that the Company has developed with its regulators to date.</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Labor and Employment Risk Factors</w:t>
      </w:r>
    </w:p>
    <w:p>
      <w:pPr>
        <w:spacing w:after="0" w:line="136" w:lineRule="exact"/>
        <w:rPr>
          <w:sz w:val="20"/>
          <w:szCs w:val="20"/>
          <w:color w:val="auto"/>
        </w:rPr>
      </w:pPr>
    </w:p>
    <w:p>
      <w:pPr>
        <w:jc w:val="both"/>
        <w:spacing w:after="0" w:line="287" w:lineRule="auto"/>
        <w:rPr>
          <w:sz w:val="20"/>
          <w:szCs w:val="20"/>
          <w:color w:val="auto"/>
        </w:rPr>
      </w:pPr>
      <w:r>
        <w:rPr>
          <w:rFonts w:ascii="Arial" w:cs="Arial" w:eastAsia="Arial" w:hAnsi="Arial"/>
          <w:sz w:val="14"/>
          <w:szCs w:val="14"/>
          <w:b w:val="1"/>
          <w:bCs w:val="1"/>
          <w:color w:val="auto"/>
        </w:rPr>
        <w:t>Our performance depends on favorable labor relations with our employees and our compliance with labor laws. Any deterioration of those relations or increase in labor costs due to our compliance with labor laws could adversely affect our business.</w:t>
      </w:r>
    </w:p>
    <w:p>
      <w:pPr>
        <w:spacing w:after="0" w:line="86" w:lineRule="exact"/>
        <w:rPr>
          <w:sz w:val="20"/>
          <w:szCs w:val="20"/>
          <w:color w:val="auto"/>
        </w:rPr>
      </w:pPr>
    </w:p>
    <w:p>
      <w:pPr>
        <w:jc w:val="both"/>
        <w:ind w:firstLine="509"/>
        <w:spacing w:after="0" w:line="288" w:lineRule="auto"/>
        <w:rPr>
          <w:sz w:val="20"/>
          <w:szCs w:val="20"/>
          <w:color w:val="auto"/>
        </w:rPr>
      </w:pPr>
      <w:r>
        <w:rPr>
          <w:rFonts w:ascii="Arial" w:cs="Arial" w:eastAsia="Arial" w:hAnsi="Arial"/>
          <w:sz w:val="13"/>
          <w:szCs w:val="13"/>
          <w:color w:val="auto"/>
        </w:rPr>
        <w:t>As of December 26, 2021, we employed approximately 59,400 persons. Approximately 45.4% of our workforce are covered by a collective bargaining agreement. Substantially all employees covered under collective bargaining agreements are covered under agreements that expire in 2021 or later. We have not experienced any labor-related work stoppage at any location in over ten years. We believe our relationship with our employees and union leadership is satisfactory. At any given time, we will likely be in some stage of contract negotiations with various collective bargaining units. In the absence of an agreement, we may become subject to labor disruption at one or more of these locations, which could have an adverse effect on our financial results.</w:t>
      </w:r>
    </w:p>
    <w:p>
      <w:pPr>
        <w:spacing w:after="0" w:line="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Loss of essential employees or material increase in employee turnover could have a significant negative impact on our business.</w:t>
      </w:r>
    </w:p>
    <w:p>
      <w:pPr>
        <w:spacing w:after="0" w:line="140"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4"/>
          <w:szCs w:val="14"/>
          <w:color w:val="auto"/>
        </w:rPr>
        <w:t>Our success is largely dependent on the skills, experience, and efforts of our management and other employees. The loss of the services of one or more members of our senior management or of numerous employees with essential skills could have a negative effect on our business, financial condition and results of operations. If we are not able to retain or attract talented, committed individuals to fill vacant positions when needs arise, it may adversely affect our ability to achieve our business objectives.</w:t>
      </w:r>
    </w:p>
    <w:p>
      <w:pPr>
        <w:spacing w:after="0" w:line="99" w:lineRule="exact"/>
        <w:rPr>
          <w:sz w:val="20"/>
          <w:szCs w:val="20"/>
          <w:color w:val="auto"/>
        </w:rPr>
      </w:pPr>
    </w:p>
    <w:p>
      <w:pPr>
        <w:jc w:val="both"/>
        <w:ind w:firstLine="509"/>
        <w:spacing w:after="0" w:line="284" w:lineRule="auto"/>
        <w:rPr>
          <w:sz w:val="20"/>
          <w:szCs w:val="20"/>
          <w:color w:val="auto"/>
        </w:rPr>
      </w:pPr>
      <w:r>
        <w:rPr>
          <w:rFonts w:ascii="Arial" w:cs="Arial" w:eastAsia="Arial" w:hAnsi="Arial"/>
          <w:sz w:val="13"/>
          <w:szCs w:val="13"/>
          <w:color w:val="auto"/>
        </w:rPr>
        <w:t>We also rely on an adequate supply of skilled employees at our processing and food facilities. Trained and experienced personnel in our industry are in high demand, and we have experienced high turnover and difficulty retaining employees with appropriate training and skills. We cannot predict whether we will be able to attract, motivate and maintain an adequate skilled workforce necessary to operate our existing and future facilities efficiently, or that labor expenses will not increase as a result of a shortage in the supply of skilled personnel, thereby adversely impacting our financial performance. While our industry generally operates with high employee turnover, any material increases in employee turnover rates (including turnover due to any potential government-mandated COVID-19 vaccinations) or any widespread employee dissatisfaction could also have a material adverse effect on our business, financial condition and results of operations.</w:t>
      </w:r>
    </w:p>
    <w:p>
      <w:pPr>
        <w:spacing w:after="0" w:line="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Stock Ownership and Financial Risk Factors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JBS USA beneficially owns a majority of our common stock and has the ability to control the vote on most matters brought before the holders of our common stock.</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7" w:name="page18"/>
    <w:bookmarkEnd w:id="17"/>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-6985</wp:posOffset>
            </wp:positionV>
            <wp:extent cx="727075" cy="69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075" cy="6985"/>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4"/>
          <w:szCs w:val="14"/>
          <w:color w:val="auto"/>
        </w:rPr>
        <w:t>JBS USA beneficially owns a majority of the shares and voting power of our common stock and is entitled to appoint a majority of the members of our Board of Directors. As a result, subject to restrictions on its voting power and actions in a stockholders agreement between JBS USA and us and our organization documents, JBS USA has and will have the ability to control our management, policies and financing decisions, elect a majority of the members of our Board of Directors at the annual meeting and control the vote on most matters coming before the holders of our common stock. Under the stockholders agreement between JBS USA and us, JBS USA has the ability to elect up to seven members of our Board of Directors and the other holders of our common stock have the ability to elect up to two members of our Board of Directors.</w:t>
      </w:r>
    </w:p>
    <w:p>
      <w:pPr>
        <w:spacing w:after="0" w:line="104"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4"/>
          <w:szCs w:val="14"/>
          <w:color w:val="auto"/>
        </w:rPr>
        <w:t>JBS USA may have interests that are different from other shareholders and may vote in a way that may be adverse to our other shareholders’ interests. JBS USA’s concentration of ownership could also have the effect of delaying or preventing a change in control or otherwise discouraging a potential acquirer from attempting to obtain control of us, which could cause the market price of our common stock to decline or prevent our shareholders from realizing a premium over the market price for their common stock.</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future financial and operating flexibility may be adversely affected by significant leverage.</w:t>
      </w:r>
    </w:p>
    <w:p>
      <w:pPr>
        <w:spacing w:after="0" w:line="140"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4"/>
          <w:szCs w:val="14"/>
          <w:color w:val="auto"/>
        </w:rPr>
        <w:t>On a consolidated basis, as of December 26, 2021, we had approximately $510.8 million in secured indebtedness, $2.7 billion of unsecured indebtedness and had the ability to borrow approximately $1.2 billion under our credit agreements. Significant amounts of cash flow will be necessary to make payments of interest and repay the principal amount of such indebtedness. The degree to which we are leveraged could have important consequences because (1) it could affect our ability to satisfy our obligations under our credit agreements, (2) a substantial portion of our cash flow from operations is required to be dedicated to interest and principal payments and may not be available for operations, working capital, capital expenditures, expansion, acquisitions or general corporate or other purposes, (3) our ability to obtain additional financing and to fund working capital, capital expenditures and other general corporate requirements in the future may be impaired; (4) we may be more highly leveraged than some of our competitors, which may place us at a competitive disadvantage, (5) our flexibility in planning for, or reacting to, changes in our business may be limited, (6) it may limit our ability to pursue acquisitions and sell assets and (7) it may make us more vulnerable in the event of a continued or new downturn in our business or the economy in general.</w:t>
      </w:r>
    </w:p>
    <w:p>
      <w:pPr>
        <w:spacing w:after="0" w:line="106"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4"/>
          <w:szCs w:val="14"/>
          <w:color w:val="auto"/>
        </w:rPr>
        <w:t>Our ability to make payments on and to refinance our debt, including our credit facilities, will depend on our ability to generate cash in the future. This, to a certain extent, is subject to various business factors (including, among others, the commodity prices of feed ingredients, chicken and pork) and general economic, financial, competitive, legislative, regulatory, and other factors that are beyond our control.</w:t>
      </w:r>
    </w:p>
    <w:p>
      <w:pPr>
        <w:spacing w:after="0" w:line="99"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4"/>
          <w:szCs w:val="14"/>
          <w:color w:val="auto"/>
        </w:rPr>
        <w:t>There can be no assurance that we will be able to generate sufficient cash flow from operations or that future borrowings will be available under our credit facilities in an amount sufficient to enable us to pay our debt obligations, including obligations under our credit facilities, or to fund our other liquidity needs. We may need to refinance all or a portion of their debt on or before maturity. There can be no assurance that we will be able to refinance any of their debt on commercially reasonable terms or at all.</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 interest rates of our credit facilities are priced using a spread over LIBOR.</w:t>
      </w:r>
    </w:p>
    <w:p>
      <w:pPr>
        <w:spacing w:after="0" w:line="140"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color w:val="auto"/>
        </w:rPr>
        <w:t>The London Interbank Offered Rate (“LIBOR”), is the basic rate of interest used in lending between banks on the London interbank market and is widely used as a reference for setting the interest rate on loans globally. We typically use LIBOR as a reference rate in our term loans such that the interest due to our creditors pursuant to a term loan extended to us is calculated using LIBOR. Some of our term loan agreements and revolving credit facilities contain a stated minimum value for LIBOR, and as of December 27, 2020, the Company had $450.0 million in outstanding indebtedness tied to LIBOR.</w:t>
      </w:r>
    </w:p>
    <w:p>
      <w:pPr>
        <w:spacing w:after="0" w:line="103"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4"/>
          <w:szCs w:val="14"/>
          <w:color w:val="auto"/>
        </w:rPr>
        <w:t>In 2017, the U.K.’s Financial Conduct Authority (the “FCA”), which regulates LIBOR, announced that it intends to phase out LIBOR by the end of 2021. Subsequently, on March 5, 2021, the FCA and LIBOR’s administrator, ICE Benchmark Administration, Limited, announced that the publication of the most common tenors (overnight, one-month, three-month, six-month and 12-month U.S. dollar LIBOR) would cease immediately following publication of such interest rates on June 30, 2023, and moreover, that publication of all other currency and tenor variants would cease immediately after December 31, 2021. The FCA and other regulators and have stated that they welcome the LIBOR administrator’s action, and issued supervisory guidance emphasizing that, despite any continued publication of U.S. dollar LIBOR through June 30, 2023, on new contracts using U.S. dollar LIBOR should be entered into after December 31, 2021. An extended cessation date for most U.S. dollar LIBOR tenors would mean that many legacy U.S. dollar LIBOR contracts would terminate before related LIBOR rates cease to be published and will allow for more time for existing contracts to mature and provide additional time to continue to prepare for the transition from LIBOR. Although this extension provides some sense of timing, it is unclear whether or not LIBOR will cease to exist at that time, or if new methods of calculating LIBOR will be established such that it continues to exist after 2021 or if replacement conventions will be developed. The U.S. Federal Reserve, in conjunction with the Alternative</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8" w:name="page19"/>
    <w:bookmarkEnd w:id="18"/>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-6985</wp:posOffset>
            </wp:positionV>
            <wp:extent cx="727075" cy="69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075" cy="6985"/>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Reference Rates Committee, a steering committee comprised of large U.S. financial institutions, is considering replacing U.S. dollar LIBOR with a new index calculated by short-term repurchase agreements, backed by Treasury securities (“SOFR”). SOFR is observed and backward-looking, which stands in contrast with LIBOR under the current methodology, which is an estimated forward-looking rate and relies, to some degree, on the expert judgment of submitting panel members. Given that SOFR is a secured rate backed by government securities, it will be a rate that does not take into account bank credit risk (as is the case with LIBOR). Whether or not SOFR attains market traction as a LIBOR replacement tool remains in question. As such, the future of LIBOR at this time is uncertain. At this time, due to a lack of consensus existing as to what rate or rates may become accepted alternatives to LIBOR, it is impossible to predict the effect of any such alternatives on our liquidity. However, if LIBOR ceases to exist, we may need to renegotiate our credit agreements that utilize LIBOR as a factor in determining the interest rate to replace LIBOR with the new standard that is established. Additionally, these changes may have an adverse impact on the value of or interest earned on any LIBOR-based marketable securities, loans and derivatives that are included in our financial assets and liabilities.</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Impairment in the carrying value of goodwill or other identifiable intangible assets could negatively affect our operating results.</w:t>
      </w:r>
    </w:p>
    <w:p>
      <w:pPr>
        <w:spacing w:after="0" w:line="140"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4"/>
          <w:szCs w:val="14"/>
          <w:color w:val="auto"/>
        </w:rPr>
        <w:t>We have a significant amount of goodwill and identifiable intangible assets on our Consolidated Balance Sheets. Under the accounting principles generally accepted in the U.S. (“U.S. GAAP”), goodwill and other identifiable intangible assets with indefinite lives must be evaluated for impairment annually or more frequently if events indicate it is warranted. If the carrying value of our reporting units exceeds their current fair value as determined based on the discounted future cash flows of the related business, the goodwill is considered impaired and is reduced to fair value by a non-cash charge to earnings. Events and conditions that could result in impairment in the value of our goodwill include changes in the industry in which we operate, particularly the impact of a downturn in the global economy or the economies of geographic regions or countries in which we operate, as well as competition, adverse changes in the regulatory environment, or other factors leading to reduction in expected long-term sales or profitability. For indefinite-lived intangible assets, an impairment loss is recognized if the carrying amount of an indefinite-lived intangible asset exceeds the estimated fair value of that intangible asset. Identified intangible assets with definite lives are tested for recoverability whenever events or changes in circumstances indicate that their carrying amount may not be recoverable.</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General Risk Factors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Extreme weather, natural disasters or other events beyond our control could negatively impact our business.</w:t>
      </w:r>
    </w:p>
    <w:p>
      <w:pPr>
        <w:spacing w:after="0" w:line="140"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4"/>
          <w:szCs w:val="14"/>
          <w:color w:val="auto"/>
        </w:rPr>
        <w:t>Bioterrorism, fire, pandemic, extreme weather or natural disasters, including droughts, floods, excessive cold or heat, hurricanes or other storms, could impair the health or growth of our flocks, production or availability of feed ingredients, or interfere with our operations due to power outages, fuel shortages, damage to our production and processing facilities or disruption of transportation channels, among other things. Any of these factors could have an adverse effect on our financial results. Moreover, climate change, including the impact of global warming, has resulted in risks that include changes in weather conditions, extreme weather events and adverse impacts on agricultural production, as well as potential regulatory compliance risks, all of which could have a material adverse effect on our results of operations, financial condition and liquidity.</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1B. Unresolved Staff Comments</w:t>
      </w:r>
    </w:p>
    <w:p>
      <w:pPr>
        <w:spacing w:after="0" w:line="172" w:lineRule="exact"/>
        <w:rPr>
          <w:sz w:val="20"/>
          <w:szCs w:val="20"/>
          <w:color w:val="auto"/>
        </w:rPr>
      </w:pPr>
    </w:p>
    <w:p>
      <w:pPr>
        <w:ind w:left="180"/>
        <w:spacing w:after="0"/>
        <w:rPr>
          <w:sz w:val="20"/>
          <w:szCs w:val="20"/>
          <w:color w:val="auto"/>
        </w:rPr>
      </w:pPr>
      <w:r>
        <w:rPr>
          <w:rFonts w:ascii="Arial" w:cs="Arial" w:eastAsia="Arial" w:hAnsi="Arial"/>
          <w:sz w:val="14"/>
          <w:szCs w:val="14"/>
          <w:color w:val="auto"/>
        </w:rPr>
        <w:t>None.</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9" w:name="page20"/>
    <w:bookmarkEnd w:id="19"/>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-6985</wp:posOffset>
            </wp:positionV>
            <wp:extent cx="727075" cy="69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075" cy="698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2. Properties</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Operating Facilities</w:t>
      </w:r>
    </w:p>
    <w:p>
      <w:pPr>
        <w:spacing w:after="0" w:line="168" w:lineRule="exact"/>
        <w:rPr>
          <w:sz w:val="20"/>
          <w:szCs w:val="20"/>
          <w:color w:val="auto"/>
        </w:rPr>
      </w:pPr>
    </w:p>
    <w:p>
      <w:pPr>
        <w:ind w:left="180"/>
        <w:spacing w:after="0"/>
        <w:rPr>
          <w:sz w:val="20"/>
          <w:szCs w:val="20"/>
          <w:color w:val="auto"/>
        </w:rPr>
      </w:pPr>
      <w:r>
        <w:rPr>
          <w:rFonts w:ascii="Arial" w:cs="Arial" w:eastAsia="Arial" w:hAnsi="Arial"/>
          <w:sz w:val="14"/>
          <w:szCs w:val="14"/>
          <w:color w:val="auto"/>
        </w:rPr>
        <w:t>Our main operating facilities are as follows:</w:t>
      </w:r>
    </w:p>
    <w:p>
      <w:pPr>
        <w:spacing w:after="0" w:line="14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5"/>
          </w:tcPr>
          <w:p>
            <w:pPr>
              <w:ind w:left="20"/>
              <w:spacing w:after="0"/>
              <w:rPr>
                <w:sz w:val="20"/>
                <w:szCs w:val="20"/>
                <w:color w:val="auto"/>
              </w:rPr>
            </w:pPr>
            <w:r>
              <w:rPr>
                <w:rFonts w:ascii="Arial" w:cs="Arial" w:eastAsia="Arial" w:hAnsi="Arial"/>
                <w:sz w:val="11"/>
                <w:szCs w:val="11"/>
                <w:b w:val="1"/>
                <w:bCs w:val="1"/>
                <w:color w:val="auto"/>
              </w:rPr>
              <w:t>Number of Facilities</w:t>
            </w:r>
            <w:r>
              <w:rPr>
                <w:rFonts w:ascii="Arial" w:cs="Arial" w:eastAsia="Arial" w:hAnsi="Arial"/>
                <w:sz w:val="14"/>
                <w:szCs w:val="14"/>
                <w:b w:val="1"/>
                <w:bCs w:val="1"/>
                <w:color w:val="auto"/>
                <w:vertAlign w:val="superscript"/>
              </w:rPr>
              <w:t>(a)</w:t>
            </w:r>
          </w:p>
        </w:tc>
        <w:tc>
          <w:tcPr>
            <w:tcW w:w="3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6"/>
        </w:trPr>
        <w:tc>
          <w:tcPr>
            <w:tcW w:w="4160" w:type="dxa"/>
            <w:vAlign w:val="bottom"/>
          </w:tcPr>
          <w:p>
            <w:pPr>
              <w:spacing w:after="0"/>
              <w:rPr>
                <w:sz w:val="7"/>
                <w:szCs w:val="7"/>
                <w:color w:val="auto"/>
              </w:rPr>
            </w:pPr>
          </w:p>
        </w:tc>
        <w:tc>
          <w:tcPr>
            <w:tcW w:w="660" w:type="dxa"/>
            <w:vAlign w:val="bottom"/>
            <w:vMerge w:val="restart"/>
          </w:tcPr>
          <w:p>
            <w:pPr>
              <w:ind w:left="260"/>
              <w:spacing w:after="0"/>
              <w:rPr>
                <w:sz w:val="20"/>
                <w:szCs w:val="20"/>
                <w:color w:val="auto"/>
              </w:rPr>
            </w:pPr>
            <w:r>
              <w:rPr>
                <w:rFonts w:ascii="Arial" w:cs="Arial" w:eastAsia="Arial" w:hAnsi="Arial"/>
                <w:sz w:val="11"/>
                <w:szCs w:val="11"/>
                <w:b w:val="1"/>
                <w:bCs w:val="1"/>
                <w:color w:val="auto"/>
              </w:rPr>
              <w:t>Owned</w:t>
            </w: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vMerge w:val="restart"/>
          </w:tcPr>
          <w:p>
            <w:pPr>
              <w:ind w:left="220"/>
              <w:spacing w:after="0"/>
              <w:rPr>
                <w:sz w:val="20"/>
                <w:szCs w:val="20"/>
                <w:color w:val="auto"/>
              </w:rPr>
            </w:pPr>
            <w:r>
              <w:rPr>
                <w:rFonts w:ascii="Arial" w:cs="Arial" w:eastAsia="Arial" w:hAnsi="Arial"/>
                <w:sz w:val="11"/>
                <w:szCs w:val="11"/>
                <w:b w:val="1"/>
                <w:bCs w:val="1"/>
                <w:color w:val="auto"/>
                <w:w w:val="89"/>
              </w:rPr>
              <w:t>Leased</w:t>
            </w: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vMerge w:val="restart"/>
          </w:tcPr>
          <w:p>
            <w:pPr>
              <w:ind w:left="400"/>
              <w:spacing w:after="0"/>
              <w:rPr>
                <w:sz w:val="20"/>
                <w:szCs w:val="20"/>
                <w:color w:val="auto"/>
              </w:rPr>
            </w:pPr>
            <w:r>
              <w:rPr>
                <w:rFonts w:ascii="Arial" w:cs="Arial" w:eastAsia="Arial" w:hAnsi="Arial"/>
                <w:sz w:val="11"/>
                <w:szCs w:val="11"/>
                <w:b w:val="1"/>
                <w:bCs w:val="1"/>
                <w:color w:val="auto"/>
              </w:rPr>
              <w:t>Total</w:t>
            </w: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0" w:type="dxa"/>
            <w:vAlign w:val="bottom"/>
            <w:gridSpan w:val="2"/>
            <w:vMerge w:val="restart"/>
          </w:tcPr>
          <w:p>
            <w:pPr>
              <w:ind w:left="400"/>
              <w:spacing w:after="0"/>
              <w:rPr>
                <w:sz w:val="20"/>
                <w:szCs w:val="20"/>
                <w:color w:val="auto"/>
              </w:rPr>
            </w:pPr>
            <w:r>
              <w:rPr>
                <w:rFonts w:ascii="Arial" w:cs="Arial" w:eastAsia="Arial" w:hAnsi="Arial"/>
                <w:sz w:val="11"/>
                <w:szCs w:val="11"/>
                <w:b w:val="1"/>
                <w:bCs w:val="1"/>
                <w:color w:val="auto"/>
              </w:rPr>
              <w:t>Capacity</w:t>
            </w:r>
            <w:r>
              <w:rPr>
                <w:rFonts w:ascii="Arial" w:cs="Arial" w:eastAsia="Arial" w:hAnsi="Arial"/>
                <w:sz w:val="14"/>
                <w:szCs w:val="14"/>
                <w:b w:val="1"/>
                <w:bCs w:val="1"/>
                <w:color w:val="auto"/>
                <w:vertAlign w:val="superscript"/>
              </w:rPr>
              <w:t>(b)</w:t>
            </w:r>
          </w:p>
        </w:tc>
        <w:tc>
          <w:tcPr>
            <w:tcW w:w="1620" w:type="dxa"/>
            <w:vAlign w:val="bottom"/>
            <w:vMerge w:val="restart"/>
          </w:tcPr>
          <w:p>
            <w:pPr>
              <w:jc w:val="right"/>
              <w:ind w:right="397"/>
              <w:spacing w:after="0"/>
              <w:rPr>
                <w:sz w:val="20"/>
                <w:szCs w:val="20"/>
                <w:color w:val="auto"/>
              </w:rPr>
            </w:pPr>
            <w:r>
              <w:rPr>
                <w:rFonts w:ascii="Arial" w:cs="Arial" w:eastAsia="Arial" w:hAnsi="Arial"/>
                <w:sz w:val="11"/>
                <w:szCs w:val="11"/>
                <w:b w:val="1"/>
                <w:bCs w:val="1"/>
                <w:color w:val="auto"/>
              </w:rPr>
              <w:t>Unit of Measure</w:t>
            </w:r>
          </w:p>
        </w:tc>
        <w:tc>
          <w:tcPr>
            <w:tcW w:w="1080" w:type="dxa"/>
            <w:vAlign w:val="bottom"/>
          </w:tcPr>
          <w:p>
            <w:pPr>
              <w:jc w:val="right"/>
              <w:ind w:right="78"/>
              <w:spacing w:after="0" w:line="86" w:lineRule="exact"/>
              <w:rPr>
                <w:sz w:val="20"/>
                <w:szCs w:val="20"/>
                <w:color w:val="auto"/>
              </w:rPr>
            </w:pPr>
            <w:r>
              <w:rPr>
                <w:rFonts w:ascii="Arial" w:cs="Arial" w:eastAsia="Arial" w:hAnsi="Arial"/>
                <w:sz w:val="9"/>
                <w:szCs w:val="9"/>
                <w:b w:val="1"/>
                <w:bCs w:val="1"/>
                <w:color w:val="auto"/>
              </w:rPr>
              <w:t>Average Capacity</w:t>
            </w:r>
          </w:p>
        </w:tc>
        <w:tc>
          <w:tcPr>
            <w:tcW w:w="0" w:type="dxa"/>
            <w:vAlign w:val="bottom"/>
          </w:tcPr>
          <w:p>
            <w:pPr>
              <w:spacing w:after="0"/>
              <w:rPr>
                <w:sz w:val="1"/>
                <w:szCs w:val="1"/>
                <w:color w:val="auto"/>
              </w:rPr>
            </w:pPr>
          </w:p>
        </w:tc>
      </w:tr>
      <w:tr>
        <w:trPr>
          <w:trHeight w:val="149"/>
        </w:trPr>
        <w:tc>
          <w:tcPr>
            <w:tcW w:w="416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620" w:type="dxa"/>
            <w:vAlign w:val="bottom"/>
            <w:vMerge w:val="continue"/>
          </w:tcPr>
          <w:p>
            <w:pPr>
              <w:spacing w:after="0"/>
              <w:rPr>
                <w:sz w:val="12"/>
                <w:szCs w:val="12"/>
                <w:color w:val="auto"/>
              </w:rPr>
            </w:pPr>
          </w:p>
        </w:tc>
        <w:tc>
          <w:tcPr>
            <w:tcW w:w="1080" w:type="dxa"/>
            <w:vAlign w:val="bottom"/>
          </w:tcPr>
          <w:p>
            <w:pPr>
              <w:jc w:val="right"/>
              <w:ind w:right="258"/>
              <w:spacing w:after="0"/>
              <w:rPr>
                <w:sz w:val="20"/>
                <w:szCs w:val="20"/>
                <w:color w:val="auto"/>
              </w:rPr>
            </w:pPr>
            <w:r>
              <w:rPr>
                <w:rFonts w:ascii="Arial" w:cs="Arial" w:eastAsia="Arial" w:hAnsi="Arial"/>
                <w:sz w:val="11"/>
                <w:szCs w:val="11"/>
                <w:b w:val="1"/>
                <w:bCs w:val="1"/>
                <w:color w:val="auto"/>
              </w:rPr>
              <w:t>Utilization</w:t>
            </w:r>
          </w:p>
        </w:tc>
        <w:tc>
          <w:tcPr>
            <w:tcW w:w="0" w:type="dxa"/>
            <w:vAlign w:val="bottom"/>
          </w:tcPr>
          <w:p>
            <w:pPr>
              <w:spacing w:after="0"/>
              <w:rPr>
                <w:sz w:val="1"/>
                <w:szCs w:val="1"/>
                <w:color w:val="auto"/>
              </w:rPr>
            </w:pPr>
          </w:p>
        </w:tc>
      </w:tr>
      <w:tr>
        <w:trPr>
          <w:trHeight w:val="160"/>
        </w:trPr>
        <w:tc>
          <w:tcPr>
            <w:tcW w:w="4160" w:type="dxa"/>
            <w:vAlign w:val="bottom"/>
          </w:tcPr>
          <w:p>
            <w:pPr>
              <w:ind w:left="20"/>
              <w:spacing w:after="0"/>
              <w:rPr>
                <w:sz w:val="20"/>
                <w:szCs w:val="20"/>
                <w:color w:val="auto"/>
              </w:rPr>
            </w:pPr>
            <w:r>
              <w:rPr>
                <w:rFonts w:ascii="Arial" w:cs="Arial" w:eastAsia="Arial" w:hAnsi="Arial"/>
                <w:sz w:val="14"/>
                <w:szCs w:val="14"/>
                <w:b w:val="1"/>
                <w:bCs w:val="1"/>
                <w:color w:val="auto"/>
              </w:rPr>
              <w:t>Chicken Operations:</w:t>
            </w:r>
          </w:p>
        </w:tc>
        <w:tc>
          <w:tcPr>
            <w:tcW w:w="6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2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8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Fresh processing facilities</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w:t>
            </w:r>
          </w:p>
        </w:tc>
        <w:tc>
          <w:tcPr>
            <w:tcW w:w="8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8.8 million</w:t>
            </w:r>
          </w:p>
        </w:tc>
        <w:tc>
          <w:tcPr>
            <w:tcW w:w="1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Birds per day</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86.6 %</w:t>
            </w:r>
          </w:p>
        </w:tc>
        <w:tc>
          <w:tcPr>
            <w:tcW w:w="0" w:type="dxa"/>
            <w:vAlign w:val="bottom"/>
          </w:tcPr>
          <w:p>
            <w:pPr>
              <w:spacing w:after="0"/>
              <w:rPr>
                <w:sz w:val="1"/>
                <w:szCs w:val="1"/>
                <w:color w:val="auto"/>
              </w:rPr>
            </w:pPr>
          </w:p>
        </w:tc>
      </w:tr>
      <w:tr>
        <w:trPr>
          <w:trHeight w:val="180"/>
        </w:trPr>
        <w:tc>
          <w:tcPr>
            <w:tcW w:w="4820" w:type="dxa"/>
            <w:vAlign w:val="bottom"/>
            <w:gridSpan w:val="2"/>
          </w:tcPr>
          <w:p>
            <w:pPr>
              <w:ind w:left="140"/>
              <w:spacing w:after="0"/>
              <w:rPr>
                <w:sz w:val="20"/>
                <w:szCs w:val="20"/>
                <w:color w:val="auto"/>
              </w:rPr>
            </w:pPr>
            <w:r>
              <w:rPr>
                <w:rFonts w:ascii="Arial" w:cs="Arial" w:eastAsia="Arial" w:hAnsi="Arial"/>
                <w:sz w:val="14"/>
                <w:szCs w:val="14"/>
                <w:color w:val="auto"/>
              </w:rPr>
              <w:t>Prepared foods facilities</w:t>
            </w:r>
          </w:p>
        </w:tc>
        <w:tc>
          <w:tcPr>
            <w:tcW w:w="220" w:type="dxa"/>
            <w:vAlign w:val="bottom"/>
          </w:tcPr>
          <w:p>
            <w:pPr>
              <w:jc w:val="right"/>
              <w:spacing w:after="0"/>
              <w:rPr>
                <w:sz w:val="20"/>
                <w:szCs w:val="20"/>
                <w:color w:val="auto"/>
              </w:rPr>
            </w:pPr>
            <w:r>
              <w:rPr>
                <w:rFonts w:ascii="Arial" w:cs="Arial" w:eastAsia="Arial" w:hAnsi="Arial"/>
                <w:sz w:val="13"/>
                <w:szCs w:val="13"/>
                <w:color w:val="auto"/>
              </w:rPr>
              <w:t>13</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15</w:t>
            </w:r>
          </w:p>
        </w:tc>
        <w:tc>
          <w:tcPr>
            <w:tcW w:w="80" w:type="dxa"/>
            <w:vAlign w:val="bottom"/>
          </w:tcPr>
          <w:p>
            <w:pPr>
              <w:spacing w:after="0"/>
              <w:rPr>
                <w:sz w:val="15"/>
                <w:szCs w:val="15"/>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3"/>
                <w:szCs w:val="13"/>
                <w:color w:val="auto"/>
              </w:rPr>
              <w:t>31.9 million</w:t>
            </w:r>
          </w:p>
        </w:tc>
        <w:tc>
          <w:tcPr>
            <w:tcW w:w="1620" w:type="dxa"/>
            <w:vAlign w:val="bottom"/>
          </w:tcPr>
          <w:p>
            <w:pPr>
              <w:jc w:val="right"/>
              <w:ind w:right="17"/>
              <w:spacing w:after="0"/>
              <w:rPr>
                <w:sz w:val="20"/>
                <w:szCs w:val="20"/>
                <w:color w:val="auto"/>
              </w:rPr>
            </w:pPr>
            <w:r>
              <w:rPr>
                <w:rFonts w:ascii="Arial" w:cs="Arial" w:eastAsia="Arial" w:hAnsi="Arial"/>
                <w:sz w:val="13"/>
                <w:szCs w:val="13"/>
                <w:color w:val="auto"/>
              </w:rPr>
              <w:t>Tons per year</w:t>
            </w:r>
          </w:p>
        </w:tc>
        <w:tc>
          <w:tcPr>
            <w:tcW w:w="1080" w:type="dxa"/>
            <w:vAlign w:val="bottom"/>
          </w:tcPr>
          <w:p>
            <w:pPr>
              <w:jc w:val="right"/>
              <w:spacing w:after="0"/>
              <w:rPr>
                <w:sz w:val="20"/>
                <w:szCs w:val="20"/>
                <w:color w:val="auto"/>
              </w:rPr>
            </w:pPr>
            <w:r>
              <w:rPr>
                <w:rFonts w:ascii="Arial" w:cs="Arial" w:eastAsia="Arial" w:hAnsi="Arial"/>
                <w:sz w:val="13"/>
                <w:szCs w:val="13"/>
                <w:color w:val="auto"/>
              </w:rPr>
              <w:t>80.0 %</w:t>
            </w:r>
          </w:p>
        </w:tc>
        <w:tc>
          <w:tcPr>
            <w:tcW w:w="0" w:type="dxa"/>
            <w:vAlign w:val="bottom"/>
          </w:tcPr>
          <w:p>
            <w:pPr>
              <w:spacing w:after="0"/>
              <w:rPr>
                <w:sz w:val="1"/>
                <w:szCs w:val="1"/>
                <w:color w:val="auto"/>
              </w:rPr>
            </w:pPr>
          </w:p>
        </w:tc>
      </w:tr>
      <w:tr>
        <w:trPr>
          <w:trHeight w:val="181"/>
        </w:trPr>
        <w:tc>
          <w:tcPr>
            <w:tcW w:w="48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Hatcheries</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w:t>
            </w:r>
          </w:p>
        </w:tc>
        <w:tc>
          <w:tcPr>
            <w:tcW w:w="8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3.3 billion</w:t>
            </w:r>
          </w:p>
        </w:tc>
        <w:tc>
          <w:tcPr>
            <w:tcW w:w="1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Eggs per year</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82.6 %</w:t>
            </w:r>
          </w:p>
        </w:tc>
        <w:tc>
          <w:tcPr>
            <w:tcW w:w="0" w:type="dxa"/>
            <w:vAlign w:val="bottom"/>
          </w:tcPr>
          <w:p>
            <w:pPr>
              <w:spacing w:after="0"/>
              <w:rPr>
                <w:sz w:val="1"/>
                <w:szCs w:val="1"/>
                <w:color w:val="auto"/>
              </w:rPr>
            </w:pPr>
          </w:p>
        </w:tc>
      </w:tr>
      <w:tr>
        <w:trPr>
          <w:trHeight w:val="180"/>
        </w:trPr>
        <w:tc>
          <w:tcPr>
            <w:tcW w:w="4820" w:type="dxa"/>
            <w:vAlign w:val="bottom"/>
            <w:gridSpan w:val="2"/>
          </w:tcPr>
          <w:p>
            <w:pPr>
              <w:ind w:left="140"/>
              <w:spacing w:after="0" w:line="181" w:lineRule="exact"/>
              <w:rPr>
                <w:sz w:val="20"/>
                <w:szCs w:val="20"/>
                <w:color w:val="auto"/>
              </w:rPr>
            </w:pPr>
            <w:r>
              <w:rPr>
                <w:rFonts w:ascii="Arial" w:cs="Arial" w:eastAsia="Arial" w:hAnsi="Arial"/>
                <w:sz w:val="14"/>
                <w:szCs w:val="14"/>
                <w:color w:val="auto"/>
              </w:rPr>
              <w:t>Other operation facilities</w:t>
            </w:r>
            <w:r>
              <w:rPr>
                <w:rFonts w:ascii="Arial" w:cs="Arial" w:eastAsia="Arial" w:hAnsi="Arial"/>
                <w:sz w:val="18"/>
                <w:szCs w:val="18"/>
                <w:color w:val="auto"/>
                <w:vertAlign w:val="superscript"/>
              </w:rPr>
              <w:t>(c)</w:t>
            </w:r>
          </w:p>
        </w:tc>
        <w:tc>
          <w:tcPr>
            <w:tcW w:w="220" w:type="dxa"/>
            <w:vAlign w:val="bottom"/>
          </w:tcPr>
          <w:p>
            <w:pPr>
              <w:jc w:val="right"/>
              <w:spacing w:after="0"/>
              <w:rPr>
                <w:sz w:val="20"/>
                <w:szCs w:val="20"/>
                <w:color w:val="auto"/>
              </w:rPr>
            </w:pPr>
            <w:r>
              <w:rPr>
                <w:rFonts w:ascii="Arial" w:cs="Arial" w:eastAsia="Arial" w:hAnsi="Arial"/>
                <w:sz w:val="13"/>
                <w:szCs w:val="13"/>
                <w:color w:val="auto"/>
              </w:rPr>
              <w:t>48</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50</w:t>
            </w:r>
          </w:p>
        </w:tc>
        <w:tc>
          <w:tcPr>
            <w:tcW w:w="80" w:type="dxa"/>
            <w:vAlign w:val="bottom"/>
          </w:tcPr>
          <w:p>
            <w:pPr>
              <w:spacing w:after="0"/>
              <w:rPr>
                <w:sz w:val="15"/>
                <w:szCs w:val="15"/>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3"/>
                <w:szCs w:val="13"/>
                <w:color w:val="auto"/>
              </w:rPr>
              <w:t>16.9 million</w:t>
            </w:r>
          </w:p>
        </w:tc>
        <w:tc>
          <w:tcPr>
            <w:tcW w:w="1620" w:type="dxa"/>
            <w:vAlign w:val="bottom"/>
          </w:tcPr>
          <w:p>
            <w:pPr>
              <w:jc w:val="right"/>
              <w:ind w:right="17"/>
              <w:spacing w:after="0"/>
              <w:rPr>
                <w:sz w:val="20"/>
                <w:szCs w:val="20"/>
                <w:color w:val="auto"/>
              </w:rPr>
            </w:pPr>
            <w:r>
              <w:rPr>
                <w:rFonts w:ascii="Arial" w:cs="Arial" w:eastAsia="Arial" w:hAnsi="Arial"/>
                <w:sz w:val="13"/>
                <w:szCs w:val="13"/>
                <w:color w:val="auto"/>
              </w:rPr>
              <w:t>Tons per year</w:t>
            </w:r>
          </w:p>
        </w:tc>
        <w:tc>
          <w:tcPr>
            <w:tcW w:w="1080" w:type="dxa"/>
            <w:vAlign w:val="bottom"/>
          </w:tcPr>
          <w:p>
            <w:pPr>
              <w:jc w:val="right"/>
              <w:spacing w:after="0"/>
              <w:rPr>
                <w:sz w:val="20"/>
                <w:szCs w:val="20"/>
                <w:color w:val="auto"/>
              </w:rPr>
            </w:pPr>
            <w:r>
              <w:rPr>
                <w:rFonts w:ascii="Arial" w:cs="Arial" w:eastAsia="Arial" w:hAnsi="Arial"/>
                <w:sz w:val="13"/>
                <w:szCs w:val="13"/>
                <w:color w:val="auto"/>
              </w:rPr>
              <w:t>70.2 %</w:t>
            </w:r>
          </w:p>
        </w:tc>
        <w:tc>
          <w:tcPr>
            <w:tcW w:w="0" w:type="dxa"/>
            <w:vAlign w:val="bottom"/>
          </w:tcPr>
          <w:p>
            <w:pPr>
              <w:spacing w:after="0"/>
              <w:rPr>
                <w:sz w:val="1"/>
                <w:szCs w:val="1"/>
                <w:color w:val="auto"/>
              </w:rPr>
            </w:pPr>
          </w:p>
        </w:tc>
      </w:tr>
      <w:tr>
        <w:trPr>
          <w:trHeight w:val="180"/>
        </w:trPr>
        <w:tc>
          <w:tcPr>
            <w:tcW w:w="48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Grain elevator</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40" w:type="dxa"/>
            <w:vAlign w:val="bottom"/>
            <w:gridSpan w:val="3"/>
            <w:shd w:val="clear" w:color="auto" w:fill="CCEEFF"/>
          </w:tcPr>
          <w:p>
            <w:pPr>
              <w:jc w:val="right"/>
              <w:ind w:right="823"/>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8.6 million</w:t>
            </w:r>
          </w:p>
        </w:tc>
        <w:tc>
          <w:tcPr>
            <w:tcW w:w="1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Bushels per year</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38.8 %</w:t>
            </w:r>
          </w:p>
        </w:tc>
        <w:tc>
          <w:tcPr>
            <w:tcW w:w="0" w:type="dxa"/>
            <w:vAlign w:val="bottom"/>
          </w:tcPr>
          <w:p>
            <w:pPr>
              <w:spacing w:after="0"/>
              <w:rPr>
                <w:sz w:val="1"/>
                <w:szCs w:val="1"/>
                <w:color w:val="auto"/>
              </w:rPr>
            </w:pPr>
          </w:p>
        </w:tc>
      </w:tr>
      <w:tr>
        <w:trPr>
          <w:trHeight w:val="180"/>
        </w:trPr>
        <w:tc>
          <w:tcPr>
            <w:tcW w:w="4820" w:type="dxa"/>
            <w:vAlign w:val="bottom"/>
            <w:gridSpan w:val="2"/>
          </w:tcPr>
          <w:p>
            <w:pPr>
              <w:ind w:left="20"/>
              <w:spacing w:after="0"/>
              <w:rPr>
                <w:sz w:val="20"/>
                <w:szCs w:val="20"/>
                <w:color w:val="auto"/>
              </w:rPr>
            </w:pPr>
            <w:r>
              <w:rPr>
                <w:rFonts w:ascii="Arial" w:cs="Arial" w:eastAsia="Arial" w:hAnsi="Arial"/>
                <w:sz w:val="14"/>
                <w:szCs w:val="14"/>
                <w:b w:val="1"/>
                <w:bCs w:val="1"/>
                <w:color w:val="auto"/>
              </w:rPr>
              <w:t>Pork Operations:</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8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Fresh processing facilities</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40" w:type="dxa"/>
            <w:vAlign w:val="bottom"/>
            <w:gridSpan w:val="3"/>
            <w:shd w:val="clear" w:color="auto" w:fill="CCEEFF"/>
          </w:tcPr>
          <w:p>
            <w:pPr>
              <w:jc w:val="right"/>
              <w:ind w:right="823"/>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8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11,133</w:t>
            </w:r>
          </w:p>
        </w:tc>
        <w:tc>
          <w:tcPr>
            <w:tcW w:w="100" w:type="dxa"/>
            <w:vAlign w:val="bottom"/>
            <w:shd w:val="clear" w:color="auto" w:fill="CCEEFF"/>
          </w:tcPr>
          <w:p>
            <w:pPr>
              <w:spacing w:after="0"/>
              <w:rPr>
                <w:sz w:val="15"/>
                <w:szCs w:val="15"/>
                <w:color w:val="auto"/>
              </w:rPr>
            </w:pPr>
          </w:p>
        </w:tc>
        <w:tc>
          <w:tcPr>
            <w:tcW w:w="1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Pigs per day</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82.6 %</w:t>
            </w:r>
          </w:p>
        </w:tc>
        <w:tc>
          <w:tcPr>
            <w:tcW w:w="0" w:type="dxa"/>
            <w:vAlign w:val="bottom"/>
          </w:tcPr>
          <w:p>
            <w:pPr>
              <w:spacing w:after="0"/>
              <w:rPr>
                <w:sz w:val="1"/>
                <w:szCs w:val="1"/>
                <w:color w:val="auto"/>
              </w:rPr>
            </w:pPr>
          </w:p>
        </w:tc>
      </w:tr>
      <w:tr>
        <w:trPr>
          <w:trHeight w:val="180"/>
        </w:trPr>
        <w:tc>
          <w:tcPr>
            <w:tcW w:w="4820" w:type="dxa"/>
            <w:vAlign w:val="bottom"/>
            <w:gridSpan w:val="2"/>
          </w:tcPr>
          <w:p>
            <w:pPr>
              <w:ind w:left="140"/>
              <w:spacing w:after="0"/>
              <w:rPr>
                <w:sz w:val="20"/>
                <w:szCs w:val="20"/>
                <w:color w:val="auto"/>
              </w:rPr>
            </w:pPr>
            <w:r>
              <w:rPr>
                <w:rFonts w:ascii="Arial" w:cs="Arial" w:eastAsia="Arial" w:hAnsi="Arial"/>
                <w:sz w:val="14"/>
                <w:szCs w:val="14"/>
                <w:color w:val="auto"/>
              </w:rPr>
              <w:t>Prepared foods facilities</w:t>
            </w:r>
          </w:p>
        </w:tc>
        <w:tc>
          <w:tcPr>
            <w:tcW w:w="220" w:type="dxa"/>
            <w:vAlign w:val="bottom"/>
          </w:tcPr>
          <w:p>
            <w:pPr>
              <w:jc w:val="right"/>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40" w:type="dxa"/>
            <w:vAlign w:val="bottom"/>
            <w:gridSpan w:val="3"/>
          </w:tcPr>
          <w:p>
            <w:pPr>
              <w:jc w:val="right"/>
              <w:ind w:right="823"/>
              <w:spacing w:after="0"/>
              <w:rPr>
                <w:sz w:val="20"/>
                <w:szCs w:val="20"/>
                <w:color w:val="auto"/>
              </w:rPr>
            </w:pPr>
            <w:r>
              <w:rPr>
                <w:rFonts w:ascii="Arial" w:cs="Arial" w:eastAsia="Arial" w:hAnsi="Arial"/>
                <w:sz w:val="13"/>
                <w:szCs w:val="13"/>
                <w:color w:val="auto"/>
              </w:rPr>
              <w:t>—</w:t>
            </w:r>
          </w:p>
        </w:tc>
        <w:tc>
          <w:tcPr>
            <w:tcW w:w="300" w:type="dxa"/>
            <w:vAlign w:val="bottom"/>
          </w:tcPr>
          <w:p>
            <w:pPr>
              <w:jc w:val="right"/>
              <w:spacing w:after="0"/>
              <w:rPr>
                <w:sz w:val="20"/>
                <w:szCs w:val="20"/>
                <w:color w:val="auto"/>
              </w:rPr>
            </w:pPr>
            <w:r>
              <w:rPr>
                <w:rFonts w:ascii="Arial" w:cs="Arial" w:eastAsia="Arial" w:hAnsi="Arial"/>
                <w:sz w:val="13"/>
                <w:szCs w:val="13"/>
                <w:color w:val="auto"/>
              </w:rPr>
              <w:t>10</w:t>
            </w:r>
          </w:p>
        </w:tc>
        <w:tc>
          <w:tcPr>
            <w:tcW w:w="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250,632</w:t>
            </w:r>
          </w:p>
        </w:tc>
        <w:tc>
          <w:tcPr>
            <w:tcW w:w="100" w:type="dxa"/>
            <w:vAlign w:val="bottom"/>
          </w:tcPr>
          <w:p>
            <w:pPr>
              <w:spacing w:after="0"/>
              <w:rPr>
                <w:sz w:val="15"/>
                <w:szCs w:val="15"/>
                <w:color w:val="auto"/>
              </w:rPr>
            </w:pPr>
          </w:p>
        </w:tc>
        <w:tc>
          <w:tcPr>
            <w:tcW w:w="1620" w:type="dxa"/>
            <w:vAlign w:val="bottom"/>
          </w:tcPr>
          <w:p>
            <w:pPr>
              <w:jc w:val="right"/>
              <w:ind w:right="17"/>
              <w:spacing w:after="0"/>
              <w:rPr>
                <w:sz w:val="20"/>
                <w:szCs w:val="20"/>
                <w:color w:val="auto"/>
              </w:rPr>
            </w:pPr>
            <w:r>
              <w:rPr>
                <w:rFonts w:ascii="Arial" w:cs="Arial" w:eastAsia="Arial" w:hAnsi="Arial"/>
                <w:sz w:val="13"/>
                <w:szCs w:val="13"/>
                <w:color w:val="auto"/>
              </w:rPr>
              <w:t>Tons per year</w:t>
            </w:r>
          </w:p>
        </w:tc>
        <w:tc>
          <w:tcPr>
            <w:tcW w:w="1080" w:type="dxa"/>
            <w:vAlign w:val="bottom"/>
          </w:tcPr>
          <w:p>
            <w:pPr>
              <w:jc w:val="right"/>
              <w:spacing w:after="0"/>
              <w:rPr>
                <w:sz w:val="20"/>
                <w:szCs w:val="20"/>
                <w:color w:val="auto"/>
              </w:rPr>
            </w:pPr>
            <w:r>
              <w:rPr>
                <w:rFonts w:ascii="Arial" w:cs="Arial" w:eastAsia="Arial" w:hAnsi="Arial"/>
                <w:sz w:val="13"/>
                <w:szCs w:val="13"/>
                <w:color w:val="auto"/>
              </w:rPr>
              <w:t>72.3 %</w:t>
            </w:r>
          </w:p>
        </w:tc>
        <w:tc>
          <w:tcPr>
            <w:tcW w:w="0" w:type="dxa"/>
            <w:vAlign w:val="bottom"/>
          </w:tcPr>
          <w:p>
            <w:pPr>
              <w:spacing w:after="0"/>
              <w:rPr>
                <w:sz w:val="1"/>
                <w:szCs w:val="1"/>
                <w:color w:val="auto"/>
              </w:rPr>
            </w:pPr>
          </w:p>
        </w:tc>
      </w:tr>
      <w:tr>
        <w:trPr>
          <w:trHeight w:val="181"/>
        </w:trPr>
        <w:tc>
          <w:tcPr>
            <w:tcW w:w="4820" w:type="dxa"/>
            <w:vAlign w:val="bottom"/>
            <w:gridSpan w:val="2"/>
            <w:shd w:val="clear" w:color="auto" w:fill="CCEEFF"/>
          </w:tcPr>
          <w:p>
            <w:pPr>
              <w:ind w:left="140"/>
              <w:spacing w:after="0" w:line="181" w:lineRule="exact"/>
              <w:rPr>
                <w:sz w:val="20"/>
                <w:szCs w:val="20"/>
                <w:color w:val="auto"/>
              </w:rPr>
            </w:pPr>
            <w:r>
              <w:rPr>
                <w:rFonts w:ascii="Arial" w:cs="Arial" w:eastAsia="Arial" w:hAnsi="Arial"/>
                <w:sz w:val="14"/>
                <w:szCs w:val="14"/>
                <w:color w:val="auto"/>
              </w:rPr>
              <w:t>Other operation facilities</w:t>
            </w:r>
            <w:r>
              <w:rPr>
                <w:rFonts w:ascii="Arial" w:cs="Arial" w:eastAsia="Arial" w:hAnsi="Arial"/>
                <w:sz w:val="18"/>
                <w:szCs w:val="18"/>
                <w:color w:val="auto"/>
                <w:vertAlign w:val="superscript"/>
              </w:rPr>
              <w:t>(d)</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11,023</w:t>
            </w:r>
          </w:p>
        </w:tc>
        <w:tc>
          <w:tcPr>
            <w:tcW w:w="100" w:type="dxa"/>
            <w:vAlign w:val="bottom"/>
            <w:shd w:val="clear" w:color="auto" w:fill="CCEEFF"/>
          </w:tcPr>
          <w:p>
            <w:pPr>
              <w:spacing w:after="0"/>
              <w:rPr>
                <w:sz w:val="15"/>
                <w:szCs w:val="15"/>
                <w:color w:val="auto"/>
              </w:rPr>
            </w:pPr>
          </w:p>
        </w:tc>
        <w:tc>
          <w:tcPr>
            <w:tcW w:w="1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Pigs per day</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100.0 %</w:t>
            </w:r>
          </w:p>
        </w:tc>
        <w:tc>
          <w:tcPr>
            <w:tcW w:w="0" w:type="dxa"/>
            <w:vAlign w:val="bottom"/>
          </w:tcPr>
          <w:p>
            <w:pPr>
              <w:spacing w:after="0"/>
              <w:rPr>
                <w:sz w:val="1"/>
                <w:szCs w:val="1"/>
                <w:color w:val="auto"/>
              </w:rPr>
            </w:pPr>
          </w:p>
        </w:tc>
      </w:tr>
      <w:tr>
        <w:trPr>
          <w:trHeight w:val="180"/>
        </w:trPr>
        <w:tc>
          <w:tcPr>
            <w:tcW w:w="4820" w:type="dxa"/>
            <w:vAlign w:val="bottom"/>
            <w:gridSpan w:val="2"/>
          </w:tcPr>
          <w:p>
            <w:pPr>
              <w:ind w:left="20"/>
              <w:spacing w:after="0" w:line="181" w:lineRule="exact"/>
              <w:rPr>
                <w:sz w:val="20"/>
                <w:szCs w:val="20"/>
                <w:color w:val="auto"/>
              </w:rPr>
            </w:pPr>
            <w:r>
              <w:rPr>
                <w:rFonts w:ascii="Arial" w:cs="Arial" w:eastAsia="Arial" w:hAnsi="Arial"/>
                <w:sz w:val="14"/>
                <w:szCs w:val="14"/>
                <w:b w:val="1"/>
                <w:bCs w:val="1"/>
                <w:color w:val="auto"/>
              </w:rPr>
              <w:t>Lamb Operations</w:t>
            </w:r>
            <w:r>
              <w:rPr>
                <w:rFonts w:ascii="Arial" w:cs="Arial" w:eastAsia="Arial" w:hAnsi="Arial"/>
                <w:sz w:val="18"/>
                <w:szCs w:val="18"/>
                <w:b w:val="1"/>
                <w:bCs w:val="1"/>
                <w:color w:val="auto"/>
                <w:vertAlign w:val="superscript"/>
              </w:rPr>
              <w:t>(e)</w:t>
            </w:r>
            <w:r>
              <w:rPr>
                <w:rFonts w:ascii="Arial" w:cs="Arial" w:eastAsia="Arial" w:hAnsi="Arial"/>
                <w:sz w:val="14"/>
                <w:szCs w:val="14"/>
                <w:b w:val="1"/>
                <w:bCs w:val="1"/>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8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Fresh processing facilities</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40" w:type="dxa"/>
            <w:vAlign w:val="bottom"/>
            <w:gridSpan w:val="3"/>
            <w:shd w:val="clear" w:color="auto" w:fill="CCEEFF"/>
          </w:tcPr>
          <w:p>
            <w:pPr>
              <w:jc w:val="right"/>
              <w:ind w:right="823"/>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w:t>
            </w:r>
          </w:p>
        </w:tc>
        <w:tc>
          <w:tcPr>
            <w:tcW w:w="100" w:type="dxa"/>
            <w:vAlign w:val="bottom"/>
            <w:shd w:val="clear" w:color="auto" w:fill="CCEEFF"/>
          </w:tcPr>
          <w:p>
            <w:pPr>
              <w:spacing w:after="0"/>
              <w:rPr>
                <w:sz w:val="15"/>
                <w:szCs w:val="15"/>
                <w:color w:val="auto"/>
              </w:rPr>
            </w:pPr>
          </w:p>
        </w:tc>
        <w:tc>
          <w:tcPr>
            <w:tcW w:w="1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Lambs per day</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100.0 %</w:t>
            </w:r>
          </w:p>
        </w:tc>
        <w:tc>
          <w:tcPr>
            <w:tcW w:w="0" w:type="dxa"/>
            <w:vAlign w:val="bottom"/>
          </w:tcPr>
          <w:p>
            <w:pPr>
              <w:spacing w:after="0"/>
              <w:rPr>
                <w:sz w:val="1"/>
                <w:szCs w:val="1"/>
                <w:color w:val="auto"/>
              </w:rPr>
            </w:pPr>
          </w:p>
        </w:tc>
      </w:tr>
      <w:tr>
        <w:trPr>
          <w:trHeight w:val="180"/>
        </w:trPr>
        <w:tc>
          <w:tcPr>
            <w:tcW w:w="4820" w:type="dxa"/>
            <w:vAlign w:val="bottom"/>
            <w:gridSpan w:val="2"/>
          </w:tcPr>
          <w:p>
            <w:pPr>
              <w:ind w:left="140"/>
              <w:spacing w:after="0"/>
              <w:rPr>
                <w:sz w:val="20"/>
                <w:szCs w:val="20"/>
                <w:color w:val="auto"/>
              </w:rPr>
            </w:pPr>
            <w:r>
              <w:rPr>
                <w:rFonts w:ascii="Arial" w:cs="Arial" w:eastAsia="Arial" w:hAnsi="Arial"/>
                <w:sz w:val="14"/>
                <w:szCs w:val="14"/>
                <w:color w:val="auto"/>
              </w:rPr>
              <w:t>Prepared foods facilities</w:t>
            </w:r>
          </w:p>
        </w:tc>
        <w:tc>
          <w:tcPr>
            <w:tcW w:w="22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40" w:type="dxa"/>
            <w:vAlign w:val="bottom"/>
            <w:gridSpan w:val="3"/>
          </w:tcPr>
          <w:p>
            <w:pPr>
              <w:jc w:val="right"/>
              <w:ind w:right="823"/>
              <w:spacing w:after="0"/>
              <w:rPr>
                <w:sz w:val="20"/>
                <w:szCs w:val="20"/>
                <w:color w:val="auto"/>
              </w:rPr>
            </w:pPr>
            <w:r>
              <w:rPr>
                <w:rFonts w:ascii="Arial" w:cs="Arial" w:eastAsia="Arial" w:hAnsi="Arial"/>
                <w:sz w:val="13"/>
                <w:szCs w:val="13"/>
                <w:color w:val="auto"/>
              </w:rPr>
              <w:t>—</w:t>
            </w:r>
          </w:p>
        </w:tc>
        <w:tc>
          <w:tcPr>
            <w:tcW w:w="300" w:type="dxa"/>
            <w:vAlign w:val="bottom"/>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9,171</w:t>
            </w:r>
          </w:p>
        </w:tc>
        <w:tc>
          <w:tcPr>
            <w:tcW w:w="100" w:type="dxa"/>
            <w:vAlign w:val="bottom"/>
          </w:tcPr>
          <w:p>
            <w:pPr>
              <w:spacing w:after="0"/>
              <w:rPr>
                <w:sz w:val="15"/>
                <w:szCs w:val="15"/>
                <w:color w:val="auto"/>
              </w:rPr>
            </w:pPr>
          </w:p>
        </w:tc>
        <w:tc>
          <w:tcPr>
            <w:tcW w:w="1620" w:type="dxa"/>
            <w:vAlign w:val="bottom"/>
          </w:tcPr>
          <w:p>
            <w:pPr>
              <w:jc w:val="right"/>
              <w:ind w:right="17"/>
              <w:spacing w:after="0"/>
              <w:rPr>
                <w:sz w:val="20"/>
                <w:szCs w:val="20"/>
                <w:color w:val="auto"/>
              </w:rPr>
            </w:pPr>
            <w:r>
              <w:rPr>
                <w:rFonts w:ascii="Arial" w:cs="Arial" w:eastAsia="Arial" w:hAnsi="Arial"/>
                <w:sz w:val="13"/>
                <w:szCs w:val="13"/>
                <w:color w:val="auto"/>
              </w:rPr>
              <w:t>Tons per year</w:t>
            </w:r>
          </w:p>
        </w:tc>
        <w:tc>
          <w:tcPr>
            <w:tcW w:w="1080" w:type="dxa"/>
            <w:vAlign w:val="bottom"/>
          </w:tcPr>
          <w:p>
            <w:pPr>
              <w:jc w:val="right"/>
              <w:spacing w:after="0"/>
              <w:rPr>
                <w:sz w:val="20"/>
                <w:szCs w:val="20"/>
                <w:color w:val="auto"/>
              </w:rPr>
            </w:pPr>
            <w:r>
              <w:rPr>
                <w:rFonts w:ascii="Arial" w:cs="Arial" w:eastAsia="Arial" w:hAnsi="Arial"/>
                <w:sz w:val="13"/>
                <w:szCs w:val="13"/>
                <w:color w:val="auto"/>
              </w:rPr>
              <w:t>50.1 %</w:t>
            </w:r>
          </w:p>
        </w:tc>
        <w:tc>
          <w:tcPr>
            <w:tcW w:w="0" w:type="dxa"/>
            <w:vAlign w:val="bottom"/>
          </w:tcPr>
          <w:p>
            <w:pPr>
              <w:spacing w:after="0"/>
              <w:rPr>
                <w:sz w:val="1"/>
                <w:szCs w:val="1"/>
                <w:color w:val="auto"/>
              </w:rPr>
            </w:pPr>
          </w:p>
        </w:tc>
      </w:tr>
      <w:tr>
        <w:trPr>
          <w:trHeight w:val="181"/>
        </w:trPr>
        <w:tc>
          <w:tcPr>
            <w:tcW w:w="482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Prepared Meals Operations:</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820" w:type="dxa"/>
            <w:vAlign w:val="bottom"/>
            <w:gridSpan w:val="2"/>
          </w:tcPr>
          <w:p>
            <w:pPr>
              <w:ind w:left="120"/>
              <w:spacing w:after="0"/>
              <w:rPr>
                <w:sz w:val="20"/>
                <w:szCs w:val="20"/>
                <w:color w:val="auto"/>
              </w:rPr>
            </w:pPr>
            <w:r>
              <w:rPr>
                <w:rFonts w:ascii="Arial" w:cs="Arial" w:eastAsia="Arial" w:hAnsi="Arial"/>
                <w:sz w:val="14"/>
                <w:szCs w:val="14"/>
                <w:color w:val="auto"/>
              </w:rPr>
              <w:t>Prepared foods facilities</w:t>
            </w:r>
          </w:p>
        </w:tc>
        <w:tc>
          <w:tcPr>
            <w:tcW w:w="220" w:type="dxa"/>
            <w:vAlign w:val="bottom"/>
          </w:tcPr>
          <w:p>
            <w:pPr>
              <w:jc w:val="right"/>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9</w:t>
            </w:r>
          </w:p>
        </w:tc>
        <w:tc>
          <w:tcPr>
            <w:tcW w:w="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296,990</w:t>
            </w:r>
          </w:p>
        </w:tc>
        <w:tc>
          <w:tcPr>
            <w:tcW w:w="100" w:type="dxa"/>
            <w:vAlign w:val="bottom"/>
          </w:tcPr>
          <w:p>
            <w:pPr>
              <w:spacing w:after="0"/>
              <w:rPr>
                <w:sz w:val="15"/>
                <w:szCs w:val="15"/>
                <w:color w:val="auto"/>
              </w:rPr>
            </w:pPr>
          </w:p>
        </w:tc>
        <w:tc>
          <w:tcPr>
            <w:tcW w:w="1620" w:type="dxa"/>
            <w:vAlign w:val="bottom"/>
          </w:tcPr>
          <w:p>
            <w:pPr>
              <w:jc w:val="right"/>
              <w:ind w:right="17"/>
              <w:spacing w:after="0"/>
              <w:rPr>
                <w:sz w:val="20"/>
                <w:szCs w:val="20"/>
                <w:color w:val="auto"/>
              </w:rPr>
            </w:pPr>
            <w:r>
              <w:rPr>
                <w:rFonts w:ascii="Arial" w:cs="Arial" w:eastAsia="Arial" w:hAnsi="Arial"/>
                <w:sz w:val="13"/>
                <w:szCs w:val="13"/>
                <w:color w:val="auto"/>
              </w:rPr>
              <w:t>Tons per year</w:t>
            </w:r>
          </w:p>
        </w:tc>
        <w:tc>
          <w:tcPr>
            <w:tcW w:w="1080" w:type="dxa"/>
            <w:vAlign w:val="bottom"/>
          </w:tcPr>
          <w:p>
            <w:pPr>
              <w:jc w:val="right"/>
              <w:spacing w:after="0"/>
              <w:rPr>
                <w:sz w:val="20"/>
                <w:szCs w:val="20"/>
                <w:color w:val="auto"/>
              </w:rPr>
            </w:pPr>
            <w:r>
              <w:rPr>
                <w:rFonts w:ascii="Arial" w:cs="Arial" w:eastAsia="Arial" w:hAnsi="Arial"/>
                <w:sz w:val="13"/>
                <w:szCs w:val="13"/>
                <w:color w:val="auto"/>
              </w:rPr>
              <w:t>64.8 %</w:t>
            </w:r>
          </w:p>
        </w:tc>
        <w:tc>
          <w:tcPr>
            <w:tcW w:w="0" w:type="dxa"/>
            <w:vAlign w:val="bottom"/>
          </w:tcPr>
          <w:p>
            <w:pPr>
              <w:spacing w:after="0"/>
              <w:rPr>
                <w:sz w:val="1"/>
                <w:szCs w:val="1"/>
                <w:color w:val="auto"/>
              </w:rPr>
            </w:pPr>
          </w:p>
        </w:tc>
      </w:tr>
      <w:tr>
        <w:trPr>
          <w:trHeight w:val="181"/>
        </w:trPr>
        <w:tc>
          <w:tcPr>
            <w:tcW w:w="482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Distribution Centers and Other</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20</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w:t>
            </w:r>
          </w:p>
        </w:tc>
        <w:tc>
          <w:tcPr>
            <w:tcW w:w="8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N/A</w:t>
            </w:r>
          </w:p>
        </w:tc>
        <w:tc>
          <w:tcPr>
            <w:tcW w:w="16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bl>
    <w:p>
      <w:pPr>
        <w:spacing w:after="0" w:line="48" w:lineRule="exact"/>
        <w:rPr>
          <w:sz w:val="20"/>
          <w:szCs w:val="20"/>
          <w:color w:val="auto"/>
        </w:rPr>
      </w:pPr>
    </w:p>
    <w:p>
      <w:pPr>
        <w:ind w:left="520" w:hanging="515"/>
        <w:spacing w:after="0"/>
        <w:tabs>
          <w:tab w:leader="none" w:pos="520" w:val="left"/>
        </w:tabs>
        <w:numPr>
          <w:ilvl w:val="0"/>
          <w:numId w:val="10"/>
        </w:numPr>
        <w:rPr>
          <w:rFonts w:ascii="Arial" w:cs="Arial" w:eastAsia="Arial" w:hAnsi="Arial"/>
          <w:sz w:val="11"/>
          <w:szCs w:val="11"/>
          <w:color w:val="auto"/>
        </w:rPr>
      </w:pPr>
      <w:r>
        <w:rPr>
          <w:rFonts w:ascii="Arial" w:cs="Arial" w:eastAsia="Arial" w:hAnsi="Arial"/>
          <w:sz w:val="11"/>
          <w:szCs w:val="11"/>
          <w:color w:val="auto"/>
        </w:rPr>
        <w:t>Substantially all of our U.S. property, plant and equipment is used as collateral for our secured U.S. credit facility. See Part II, Item 8, Notes to Consolidated Financial Statements, “Note 13. Debt.”</w:t>
      </w:r>
    </w:p>
    <w:p>
      <w:pPr>
        <w:spacing w:after="0" w:line="22" w:lineRule="exact"/>
        <w:rPr>
          <w:rFonts w:ascii="Arial" w:cs="Arial" w:eastAsia="Arial" w:hAnsi="Arial"/>
          <w:sz w:val="11"/>
          <w:szCs w:val="11"/>
          <w:color w:val="auto"/>
        </w:rPr>
      </w:pPr>
    </w:p>
    <w:p>
      <w:pPr>
        <w:ind w:left="500" w:hanging="495"/>
        <w:spacing w:after="0"/>
        <w:tabs>
          <w:tab w:leader="none" w:pos="500" w:val="left"/>
        </w:tabs>
        <w:numPr>
          <w:ilvl w:val="0"/>
          <w:numId w:val="10"/>
        </w:numPr>
        <w:rPr>
          <w:rFonts w:ascii="Arial" w:cs="Arial" w:eastAsia="Arial" w:hAnsi="Arial"/>
          <w:sz w:val="11"/>
          <w:szCs w:val="11"/>
          <w:color w:val="auto"/>
        </w:rPr>
      </w:pPr>
      <w:r>
        <w:rPr>
          <w:rFonts w:ascii="Arial" w:cs="Arial" w:eastAsia="Arial" w:hAnsi="Arial"/>
          <w:sz w:val="11"/>
          <w:szCs w:val="11"/>
          <w:color w:val="auto"/>
        </w:rPr>
        <w:t>Capacity and utilization numbers do not include idled facilities.</w:t>
      </w:r>
    </w:p>
    <w:p>
      <w:pPr>
        <w:spacing w:after="0" w:line="18" w:lineRule="exact"/>
        <w:rPr>
          <w:rFonts w:ascii="Arial" w:cs="Arial" w:eastAsia="Arial" w:hAnsi="Arial"/>
          <w:sz w:val="11"/>
          <w:szCs w:val="11"/>
          <w:color w:val="auto"/>
        </w:rPr>
      </w:pPr>
    </w:p>
    <w:p>
      <w:pPr>
        <w:ind w:left="520" w:hanging="515"/>
        <w:spacing w:after="0"/>
        <w:tabs>
          <w:tab w:leader="none" w:pos="520" w:val="left"/>
        </w:tabs>
        <w:numPr>
          <w:ilvl w:val="0"/>
          <w:numId w:val="10"/>
        </w:numPr>
        <w:rPr>
          <w:rFonts w:ascii="Arial" w:cs="Arial" w:eastAsia="Arial" w:hAnsi="Arial"/>
          <w:sz w:val="11"/>
          <w:szCs w:val="11"/>
          <w:color w:val="auto"/>
        </w:rPr>
      </w:pPr>
      <w:r>
        <w:rPr>
          <w:rFonts w:ascii="Arial" w:cs="Arial" w:eastAsia="Arial" w:hAnsi="Arial"/>
          <w:sz w:val="11"/>
          <w:szCs w:val="11"/>
          <w:color w:val="auto"/>
        </w:rPr>
        <w:t>Other facilities in the chicken operations includes feed mills, protein conversion and rendering facilities, and pet food facilities in the U.S.</w:t>
      </w:r>
    </w:p>
    <w:p>
      <w:pPr>
        <w:spacing w:after="0" w:line="11" w:lineRule="exact"/>
        <w:rPr>
          <w:rFonts w:ascii="Arial" w:cs="Arial" w:eastAsia="Arial" w:hAnsi="Arial"/>
          <w:sz w:val="11"/>
          <w:szCs w:val="11"/>
          <w:color w:val="auto"/>
        </w:rPr>
      </w:pPr>
    </w:p>
    <w:p>
      <w:pPr>
        <w:ind w:left="280" w:hanging="275"/>
        <w:spacing w:after="0"/>
        <w:tabs>
          <w:tab w:leader="none" w:pos="280" w:val="left"/>
        </w:tabs>
        <w:numPr>
          <w:ilvl w:val="0"/>
          <w:numId w:val="10"/>
        </w:numPr>
        <w:rPr>
          <w:rFonts w:ascii="Arial" w:cs="Arial" w:eastAsia="Arial" w:hAnsi="Arial"/>
          <w:sz w:val="11"/>
          <w:szCs w:val="11"/>
          <w:color w:val="auto"/>
        </w:rPr>
      </w:pPr>
      <w:r>
        <w:rPr>
          <w:rFonts w:ascii="Arial" w:cs="Arial" w:eastAsia="Arial" w:hAnsi="Arial"/>
          <w:sz w:val="11"/>
          <w:szCs w:val="11"/>
          <w:color w:val="auto"/>
        </w:rPr>
        <w:t>Other facilities in the pork operations includes company-owned pig farms in the U.K.</w:t>
      </w:r>
    </w:p>
    <w:p>
      <w:pPr>
        <w:spacing w:after="0" w:line="15" w:lineRule="exact"/>
        <w:rPr>
          <w:rFonts w:ascii="Arial" w:cs="Arial" w:eastAsia="Arial" w:hAnsi="Arial"/>
          <w:sz w:val="11"/>
          <w:szCs w:val="11"/>
          <w:color w:val="auto"/>
        </w:rPr>
      </w:pPr>
    </w:p>
    <w:p>
      <w:pPr>
        <w:ind w:left="240" w:hanging="235"/>
        <w:spacing w:after="0"/>
        <w:tabs>
          <w:tab w:leader="none" w:pos="240" w:val="left"/>
        </w:tabs>
        <w:numPr>
          <w:ilvl w:val="0"/>
          <w:numId w:val="10"/>
        </w:numPr>
        <w:rPr>
          <w:rFonts w:ascii="Arial" w:cs="Arial" w:eastAsia="Arial" w:hAnsi="Arial"/>
          <w:sz w:val="11"/>
          <w:szCs w:val="11"/>
          <w:color w:val="auto"/>
        </w:rPr>
      </w:pPr>
      <w:r>
        <w:rPr>
          <w:rFonts w:ascii="Arial" w:cs="Arial" w:eastAsia="Arial" w:hAnsi="Arial"/>
          <w:sz w:val="11"/>
          <w:szCs w:val="11"/>
          <w:color w:val="auto"/>
        </w:rPr>
        <w:t>Facilities in Lamb Operations are from the acquisition of Randall Parker Foods and are in the U.K.</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20" w:name="page21"/>
    <w:bookmarkEnd w:id="20"/>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-6985</wp:posOffset>
            </wp:positionV>
            <wp:extent cx="727075" cy="69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075" cy="698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3. Legal Proceedings</w:t>
      </w:r>
    </w:p>
    <w:p>
      <w:pPr>
        <w:spacing w:after="0" w:line="140" w:lineRule="exact"/>
        <w:rPr>
          <w:sz w:val="20"/>
          <w:szCs w:val="20"/>
          <w:color w:val="auto"/>
        </w:rPr>
      </w:pPr>
    </w:p>
    <w:p>
      <w:pPr>
        <w:ind w:firstLine="509"/>
        <w:spacing w:after="0" w:line="281" w:lineRule="auto"/>
        <w:rPr>
          <w:sz w:val="20"/>
          <w:szCs w:val="20"/>
          <w:color w:val="auto"/>
        </w:rPr>
      </w:pPr>
      <w:r>
        <w:rPr>
          <w:rFonts w:ascii="Arial" w:cs="Arial" w:eastAsia="Arial" w:hAnsi="Arial"/>
          <w:sz w:val="14"/>
          <w:szCs w:val="14"/>
          <w:color w:val="auto"/>
        </w:rPr>
        <w:t>The information required with respect to this item can be found in Part II, Item 8, Notes to Consolidated Financial Statements, “Note 20. Commitments and Contingencies” in this annual report and is incorporated by reference into this Item 3.</w:t>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4. Mine Safety Disclosures</w:t>
      </w:r>
    </w:p>
    <w:p>
      <w:pPr>
        <w:spacing w:after="0" w:line="14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None.</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1" w:name="page22"/>
    <w:bookmarkEnd w:id="21"/>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-6985</wp:posOffset>
            </wp:positionV>
            <wp:extent cx="727075" cy="69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075" cy="698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PART II</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5. Market for the Registrant’s Common Equity, Related Stockholder Matters and Issuer Purchases of Equity Securities</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Market Information</w:t>
      </w:r>
    </w:p>
    <w:p>
      <w:pPr>
        <w:spacing w:after="0" w:line="13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Our common stock is listed on the Nasdaq Global Select Market (“Nasdaq”) under the symbol “PPC.”</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Holders</w:t>
      </w:r>
    </w:p>
    <w:p>
      <w:pPr>
        <w:spacing w:after="0" w:line="136" w:lineRule="exact"/>
        <w:rPr>
          <w:sz w:val="20"/>
          <w:szCs w:val="20"/>
          <w:color w:val="auto"/>
        </w:rPr>
      </w:pPr>
    </w:p>
    <w:p>
      <w:pPr>
        <w:ind w:left="520"/>
        <w:spacing w:after="0"/>
        <w:rPr>
          <w:sz w:val="20"/>
          <w:szCs w:val="20"/>
          <w:color w:val="auto"/>
        </w:rPr>
      </w:pPr>
      <w:r>
        <w:rPr>
          <w:rFonts w:ascii="Arial" w:cs="Arial" w:eastAsia="Arial" w:hAnsi="Arial"/>
          <w:sz w:val="13"/>
          <w:szCs w:val="13"/>
          <w:color w:val="auto"/>
        </w:rPr>
        <w:t>The Company estimates that there were approximately 59,300 holders (including individual participants in security position listings) of the Company’s common stock as of February 18,</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2022.</w:t>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Dividends</w:t>
      </w:r>
    </w:p>
    <w:p>
      <w:pPr>
        <w:spacing w:after="0" w:line="136" w:lineRule="exact"/>
        <w:rPr>
          <w:sz w:val="20"/>
          <w:szCs w:val="20"/>
          <w:color w:val="auto"/>
        </w:rPr>
      </w:pPr>
    </w:p>
    <w:p>
      <w:pPr>
        <w:jc w:val="both"/>
        <w:ind w:firstLine="509"/>
        <w:spacing w:after="0" w:line="281" w:lineRule="auto"/>
        <w:rPr>
          <w:sz w:val="20"/>
          <w:szCs w:val="20"/>
          <w:color w:val="auto"/>
        </w:rPr>
      </w:pPr>
      <w:r>
        <w:rPr>
          <w:rFonts w:ascii="Arial" w:cs="Arial" w:eastAsia="Arial" w:hAnsi="Arial"/>
          <w:sz w:val="14"/>
          <w:szCs w:val="14"/>
          <w:color w:val="auto"/>
        </w:rPr>
        <w:t>The Company has no current intention to pay any dividends to its stockholders. Any change in dividend policy will depend upon future conditions, including earnings and financial condition, general business conditions, any applicable contractual limitations and other factors deemed relevant by our Board of Directors in its discretion.</w:t>
      </w:r>
    </w:p>
    <w:p>
      <w:pPr>
        <w:spacing w:after="0" w:line="90" w:lineRule="exact"/>
        <w:rPr>
          <w:sz w:val="20"/>
          <w:szCs w:val="20"/>
          <w:color w:val="auto"/>
        </w:rPr>
      </w:pPr>
    </w:p>
    <w:p>
      <w:pPr>
        <w:jc w:val="both"/>
        <w:ind w:firstLine="509"/>
        <w:spacing w:after="0" w:line="297" w:lineRule="auto"/>
        <w:rPr>
          <w:sz w:val="20"/>
          <w:szCs w:val="20"/>
          <w:color w:val="auto"/>
        </w:rPr>
      </w:pPr>
      <w:r>
        <w:rPr>
          <w:rFonts w:ascii="Arial" w:cs="Arial" w:eastAsia="Arial" w:hAnsi="Arial"/>
          <w:sz w:val="13"/>
          <w:szCs w:val="13"/>
          <w:color w:val="auto"/>
        </w:rPr>
        <w:t>Both the U.S. Credit Facility and the indentures governing the Company’s senior notes restrict, but do not prohibit, the Company from declaring dividends. In addition, the terms of the Moy Park Multicurrency Revolving Facility Agreement restrict Moy Park’s ability and the ability of certain of Moy Park’s subsidiaries to, among other things, make payments and distributions to us, which could in turn impair our ability to pay dividends to our stockholders. See "Note 13. Debt” of our Consolidated Financial Statements included in this annual report for additional information.</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Performance Graph</w:t>
      </w:r>
    </w:p>
    <w:p>
      <w:pPr>
        <w:spacing w:after="0" w:line="136"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color w:val="auto"/>
        </w:rPr>
        <w:t>The graph below shows a comparison from December 25, 2016 through December 26, 2021 of the cumulative 5-year total stockholder return of holders of the Company’s common stock with the cumulative total returns of the Russell 2000 index and a customized peer group of three companies: Hormel Foods Corp, Sanderson Farms Inc. and Tyson Foods Inc. The graph assumes that the value of the investment in our common stock, in each index, and in the peer group (including reinvestment of dividends) was $100 on December 25, 2016 and tracks it through December 26, 2021.</w:t>
      </w:r>
    </w:p>
    <w:p>
      <w:pPr>
        <w:spacing w:after="0" w:line="103" w:lineRule="exact"/>
        <w:rPr>
          <w:sz w:val="20"/>
          <w:szCs w:val="20"/>
          <w:color w:val="auto"/>
        </w:rPr>
      </w:pPr>
    </w:p>
    <w:p>
      <w:pPr>
        <w:jc w:val="both"/>
        <w:ind w:firstLine="509"/>
        <w:spacing w:after="0" w:line="281" w:lineRule="auto"/>
        <w:rPr>
          <w:sz w:val="20"/>
          <w:szCs w:val="20"/>
          <w:color w:val="auto"/>
        </w:rPr>
      </w:pPr>
      <w:r>
        <w:rPr>
          <w:rFonts w:ascii="Arial" w:cs="Arial" w:eastAsia="Arial" w:hAnsi="Arial"/>
          <w:sz w:val="14"/>
          <w:szCs w:val="14"/>
          <w:color w:val="auto"/>
        </w:rPr>
        <w:t>The graph covers the period from December 25, 2016 to December 26, 2021, and reflects the performance of the Company’s single class of common stock. The stock price performance represented by this graph is not necessarily indicative of future stock performance.</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2" w:name="page23"/>
    <w:bookmarkEnd w:id="22"/>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-6985</wp:posOffset>
            </wp:positionV>
            <wp:extent cx="4608195" cy="41300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608195" cy="4130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20" w:type="dxa"/>
        <w:tblCellMar>
          <w:top w:w="0" w:type="dxa"/>
          <w:left w:w="0" w:type="dxa"/>
          <w:bottom w:w="0" w:type="dxa"/>
          <w:right w:w="0" w:type="dxa"/>
        </w:tblCellMar>
      </w:tblPr>
      <w:tr>
        <w:trPr>
          <w:trHeight w:val="133"/>
        </w:trPr>
        <w:tc>
          <w:tcPr>
            <w:tcW w:w="25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111"/>
              <w:spacing w:after="0"/>
              <w:rPr>
                <w:sz w:val="20"/>
                <w:szCs w:val="20"/>
                <w:color w:val="auto"/>
              </w:rPr>
            </w:pPr>
            <w:r>
              <w:rPr>
                <w:rFonts w:ascii="Arial" w:cs="Arial" w:eastAsia="Arial" w:hAnsi="Arial"/>
                <w:sz w:val="10"/>
                <w:szCs w:val="10"/>
                <w:b w:val="1"/>
                <w:bCs w:val="1"/>
                <w:color w:val="auto"/>
                <w:w w:val="97"/>
              </w:rPr>
              <w:t>12/25/16</w:t>
            </w:r>
          </w:p>
        </w:tc>
        <w:tc>
          <w:tcPr>
            <w:tcW w:w="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11"/>
              <w:spacing w:after="0"/>
              <w:rPr>
                <w:sz w:val="20"/>
                <w:szCs w:val="20"/>
                <w:color w:val="auto"/>
              </w:rPr>
            </w:pPr>
            <w:r>
              <w:rPr>
                <w:rFonts w:ascii="Arial" w:cs="Arial" w:eastAsia="Arial" w:hAnsi="Arial"/>
                <w:sz w:val="10"/>
                <w:szCs w:val="10"/>
                <w:b w:val="1"/>
                <w:bCs w:val="1"/>
                <w:color w:val="auto"/>
              </w:rPr>
              <w:t>06/30/17</w:t>
            </w: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11"/>
              <w:spacing w:after="0"/>
              <w:rPr>
                <w:sz w:val="20"/>
                <w:szCs w:val="20"/>
                <w:color w:val="auto"/>
              </w:rPr>
            </w:pPr>
            <w:r>
              <w:rPr>
                <w:rFonts w:ascii="Arial" w:cs="Arial" w:eastAsia="Arial" w:hAnsi="Arial"/>
                <w:sz w:val="10"/>
                <w:szCs w:val="10"/>
                <w:b w:val="1"/>
                <w:bCs w:val="1"/>
                <w:color w:val="auto"/>
              </w:rPr>
              <w:t>12/31/17</w:t>
            </w: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31"/>
              <w:spacing w:after="0"/>
              <w:rPr>
                <w:sz w:val="20"/>
                <w:szCs w:val="20"/>
                <w:color w:val="auto"/>
              </w:rPr>
            </w:pPr>
            <w:r>
              <w:rPr>
                <w:rFonts w:ascii="Arial" w:cs="Arial" w:eastAsia="Arial" w:hAnsi="Arial"/>
                <w:sz w:val="10"/>
                <w:szCs w:val="10"/>
                <w:b w:val="1"/>
                <w:bCs w:val="1"/>
                <w:color w:val="auto"/>
                <w:w w:val="97"/>
              </w:rPr>
              <w:t>06/30/18</w:t>
            </w: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31"/>
              <w:spacing w:after="0"/>
              <w:rPr>
                <w:sz w:val="20"/>
                <w:szCs w:val="20"/>
                <w:color w:val="auto"/>
              </w:rPr>
            </w:pPr>
            <w:r>
              <w:rPr>
                <w:rFonts w:ascii="Arial" w:cs="Arial" w:eastAsia="Arial" w:hAnsi="Arial"/>
                <w:sz w:val="10"/>
                <w:szCs w:val="10"/>
                <w:b w:val="1"/>
                <w:bCs w:val="1"/>
                <w:color w:val="auto"/>
                <w:w w:val="97"/>
              </w:rPr>
              <w:t>12/30/18</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31"/>
              <w:spacing w:after="0"/>
              <w:rPr>
                <w:sz w:val="20"/>
                <w:szCs w:val="20"/>
                <w:color w:val="auto"/>
              </w:rPr>
            </w:pPr>
            <w:r>
              <w:rPr>
                <w:rFonts w:ascii="Arial" w:cs="Arial" w:eastAsia="Arial" w:hAnsi="Arial"/>
                <w:sz w:val="10"/>
                <w:szCs w:val="10"/>
                <w:b w:val="1"/>
                <w:bCs w:val="1"/>
                <w:color w:val="auto"/>
                <w:w w:val="97"/>
              </w:rPr>
              <w:t>06/30/19</w:t>
            </w:r>
          </w:p>
        </w:tc>
        <w:tc>
          <w:tcPr>
            <w:tcW w:w="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131"/>
              <w:spacing w:after="0"/>
              <w:rPr>
                <w:sz w:val="20"/>
                <w:szCs w:val="20"/>
                <w:color w:val="auto"/>
              </w:rPr>
            </w:pPr>
            <w:r>
              <w:rPr>
                <w:rFonts w:ascii="Arial" w:cs="Arial" w:eastAsia="Arial" w:hAnsi="Arial"/>
                <w:sz w:val="10"/>
                <w:szCs w:val="10"/>
                <w:b w:val="1"/>
                <w:bCs w:val="1"/>
                <w:color w:val="auto"/>
              </w:rPr>
              <w:t>12/29/19</w:t>
            </w: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31"/>
              <w:spacing w:after="0"/>
              <w:rPr>
                <w:sz w:val="20"/>
                <w:szCs w:val="20"/>
                <w:color w:val="auto"/>
              </w:rPr>
            </w:pPr>
            <w:r>
              <w:rPr>
                <w:rFonts w:ascii="Arial" w:cs="Arial" w:eastAsia="Arial" w:hAnsi="Arial"/>
                <w:sz w:val="10"/>
                <w:szCs w:val="10"/>
                <w:b w:val="1"/>
                <w:bCs w:val="1"/>
                <w:color w:val="auto"/>
                <w:w w:val="97"/>
              </w:rPr>
              <w:t>06/30/20</w:t>
            </w: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31"/>
              <w:spacing w:after="0"/>
              <w:rPr>
                <w:sz w:val="20"/>
                <w:szCs w:val="20"/>
                <w:color w:val="auto"/>
              </w:rPr>
            </w:pPr>
            <w:r>
              <w:rPr>
                <w:rFonts w:ascii="Arial" w:cs="Arial" w:eastAsia="Arial" w:hAnsi="Arial"/>
                <w:sz w:val="10"/>
                <w:szCs w:val="10"/>
                <w:b w:val="1"/>
                <w:bCs w:val="1"/>
                <w:color w:val="auto"/>
                <w:w w:val="97"/>
              </w:rPr>
              <w:t>12/27/20</w:t>
            </w: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131"/>
              <w:spacing w:after="0"/>
              <w:rPr>
                <w:sz w:val="20"/>
                <w:szCs w:val="20"/>
                <w:color w:val="auto"/>
              </w:rPr>
            </w:pPr>
            <w:r>
              <w:rPr>
                <w:rFonts w:ascii="Arial" w:cs="Arial" w:eastAsia="Arial" w:hAnsi="Arial"/>
                <w:sz w:val="10"/>
                <w:szCs w:val="10"/>
                <w:b w:val="1"/>
                <w:bCs w:val="1"/>
                <w:color w:val="auto"/>
              </w:rPr>
              <w:t>06/30/21</w:t>
            </w: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31"/>
              <w:spacing w:after="0"/>
              <w:rPr>
                <w:sz w:val="20"/>
                <w:szCs w:val="20"/>
                <w:color w:val="auto"/>
              </w:rPr>
            </w:pPr>
            <w:r>
              <w:rPr>
                <w:rFonts w:ascii="Arial" w:cs="Arial" w:eastAsia="Arial" w:hAnsi="Arial"/>
                <w:sz w:val="10"/>
                <w:szCs w:val="10"/>
                <w:b w:val="1"/>
                <w:bCs w:val="1"/>
                <w:color w:val="auto"/>
                <w:w w:val="97"/>
              </w:rPr>
              <w:t>12/26/21</w:t>
            </w:r>
          </w:p>
        </w:tc>
      </w:tr>
      <w:tr>
        <w:trPr>
          <w:trHeight w:val="136"/>
        </w:trPr>
        <w:tc>
          <w:tcPr>
            <w:tcW w:w="2580" w:type="dxa"/>
            <w:vAlign w:val="bottom"/>
            <w:shd w:val="clear" w:color="auto" w:fill="CCEEFF"/>
          </w:tcPr>
          <w:p>
            <w:pPr>
              <w:ind w:left="20"/>
              <w:spacing w:after="0"/>
              <w:rPr>
                <w:sz w:val="20"/>
                <w:szCs w:val="20"/>
                <w:color w:val="auto"/>
              </w:rPr>
            </w:pPr>
            <w:r>
              <w:rPr>
                <w:rFonts w:ascii="Arial" w:cs="Arial" w:eastAsia="Arial" w:hAnsi="Arial"/>
                <w:sz w:val="10"/>
                <w:szCs w:val="10"/>
                <w:color w:val="auto"/>
              </w:rPr>
              <w:t>PPC</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100.00</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115.25</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163.70</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106.75</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83.40</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136.75</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178.56</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92.13</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106.70</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123.31</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153.17</w:t>
            </w:r>
          </w:p>
        </w:tc>
      </w:tr>
      <w:tr>
        <w:trPr>
          <w:trHeight w:val="131"/>
        </w:trPr>
        <w:tc>
          <w:tcPr>
            <w:tcW w:w="2580" w:type="dxa"/>
            <w:vAlign w:val="bottom"/>
          </w:tcPr>
          <w:p>
            <w:pPr>
              <w:ind w:left="20"/>
              <w:spacing w:after="0"/>
              <w:rPr>
                <w:sz w:val="20"/>
                <w:szCs w:val="20"/>
                <w:color w:val="auto"/>
              </w:rPr>
            </w:pPr>
            <w:r>
              <w:rPr>
                <w:rFonts w:ascii="Arial" w:cs="Arial" w:eastAsia="Arial" w:hAnsi="Arial"/>
                <w:sz w:val="10"/>
                <w:szCs w:val="10"/>
                <w:color w:val="auto"/>
              </w:rPr>
              <w:t>Russell 2000</w:t>
            </w:r>
          </w:p>
        </w:tc>
        <w:tc>
          <w:tcPr>
            <w:tcW w:w="120" w:type="dxa"/>
            <w:vAlign w:val="bottom"/>
          </w:tcPr>
          <w:p>
            <w:pPr>
              <w:spacing w:after="0"/>
              <w:rPr>
                <w:sz w:val="11"/>
                <w:szCs w:val="11"/>
                <w:color w:val="auto"/>
              </w:rPr>
            </w:pPr>
          </w:p>
        </w:tc>
        <w:tc>
          <w:tcPr>
            <w:tcW w:w="560" w:type="dxa"/>
            <w:vAlign w:val="bottom"/>
          </w:tcPr>
          <w:p>
            <w:pPr>
              <w:jc w:val="right"/>
              <w:ind w:right="11"/>
              <w:spacing w:after="0"/>
              <w:rPr>
                <w:sz w:val="20"/>
                <w:szCs w:val="20"/>
                <w:color w:val="auto"/>
              </w:rPr>
            </w:pPr>
            <w:r>
              <w:rPr>
                <w:rFonts w:ascii="Arial" w:cs="Arial" w:eastAsia="Arial" w:hAnsi="Arial"/>
                <w:sz w:val="10"/>
                <w:szCs w:val="10"/>
                <w:color w:val="auto"/>
              </w:rPr>
              <w:t>100.00</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104.99</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114.65</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123.43</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ind w:right="11"/>
              <w:spacing w:after="0"/>
              <w:rPr>
                <w:sz w:val="20"/>
                <w:szCs w:val="20"/>
                <w:color w:val="auto"/>
              </w:rPr>
            </w:pPr>
            <w:r>
              <w:rPr>
                <w:rFonts w:ascii="Arial" w:cs="Arial" w:eastAsia="Arial" w:hAnsi="Arial"/>
                <w:sz w:val="10"/>
                <w:szCs w:val="10"/>
                <w:color w:val="auto"/>
              </w:rPr>
              <w:t>102.02</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ind w:right="11"/>
              <w:spacing w:after="0"/>
              <w:rPr>
                <w:sz w:val="20"/>
                <w:szCs w:val="20"/>
                <w:color w:val="auto"/>
              </w:rPr>
            </w:pPr>
            <w:r>
              <w:rPr>
                <w:rFonts w:ascii="Arial" w:cs="Arial" w:eastAsia="Arial" w:hAnsi="Arial"/>
                <w:sz w:val="10"/>
                <w:szCs w:val="10"/>
                <w:color w:val="auto"/>
              </w:rPr>
              <w:t>119.35</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128.06</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111.44</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153.62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ind w:right="11"/>
              <w:spacing w:after="0"/>
              <w:rPr>
                <w:sz w:val="20"/>
                <w:szCs w:val="20"/>
                <w:color w:val="auto"/>
              </w:rPr>
            </w:pPr>
            <w:r>
              <w:rPr>
                <w:rFonts w:ascii="Arial" w:cs="Arial" w:eastAsia="Arial" w:hAnsi="Arial"/>
                <w:sz w:val="10"/>
                <w:szCs w:val="10"/>
                <w:color w:val="auto"/>
              </w:rPr>
              <w:t>180.56</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176.39</w:t>
            </w:r>
          </w:p>
        </w:tc>
      </w:tr>
      <w:tr>
        <w:trPr>
          <w:trHeight w:val="145"/>
        </w:trPr>
        <w:tc>
          <w:tcPr>
            <w:tcW w:w="2580" w:type="dxa"/>
            <w:vAlign w:val="bottom"/>
            <w:shd w:val="clear" w:color="auto" w:fill="CCEEFF"/>
          </w:tcPr>
          <w:p>
            <w:pPr>
              <w:ind w:left="20"/>
              <w:spacing w:after="0"/>
              <w:rPr>
                <w:sz w:val="20"/>
                <w:szCs w:val="20"/>
                <w:color w:val="auto"/>
              </w:rPr>
            </w:pPr>
            <w:r>
              <w:rPr>
                <w:rFonts w:ascii="Arial" w:cs="Arial" w:eastAsia="Arial" w:hAnsi="Arial"/>
                <w:sz w:val="10"/>
                <w:szCs w:val="10"/>
                <w:color w:val="auto"/>
              </w:rPr>
              <w:t>Peer Group</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100.00</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100.58</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121.12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110.95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103.94</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129.40</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148.14</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122.27</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127.62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141.06</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153.06</w:t>
            </w:r>
          </w:p>
        </w:tc>
      </w:tr>
    </w:tbl>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6. [Reserved]</w:t>
      </w: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23" w:name="page24"/>
    <w:bookmarkEnd w:id="23"/>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-6985</wp:posOffset>
            </wp:positionV>
            <wp:extent cx="727075" cy="69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075" cy="698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7. Management’s Discussion and Analysis of Financial Condition and Results of Operations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Executive Summary</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Overview</w:t>
      </w:r>
    </w:p>
    <w:p>
      <w:pPr>
        <w:spacing w:after="0" w:line="140" w:lineRule="exact"/>
        <w:rPr>
          <w:sz w:val="20"/>
          <w:szCs w:val="20"/>
          <w:color w:val="auto"/>
        </w:rPr>
      </w:pPr>
    </w:p>
    <w:p>
      <w:pPr>
        <w:jc w:val="both"/>
        <w:ind w:firstLine="509"/>
        <w:spacing w:after="0" w:line="282" w:lineRule="auto"/>
        <w:rPr>
          <w:sz w:val="20"/>
          <w:szCs w:val="20"/>
          <w:color w:val="auto"/>
        </w:rPr>
      </w:pPr>
      <w:r>
        <w:rPr>
          <w:rFonts w:ascii="Arial" w:cs="Arial" w:eastAsia="Arial" w:hAnsi="Arial"/>
          <w:sz w:val="13"/>
          <w:szCs w:val="13"/>
          <w:color w:val="auto"/>
        </w:rPr>
        <w:t>We are one of the largest chicken producers in the world, and as a vertically integrated company, we are able to control every phase of the production process, which helps us manage food safety and quality, control margins and improve customer service. This gives us the opportunity to continue to create growth and development opportunities, further increasing our position as a leading domestic and global protein company. With the acquisition of the specialty meats and ready meals operations of Kerry Group plc (“Pilgrim’s Food Masters” or “PFM”), Pilgrim’s Pride Ltd. (“PPL”) and Moy Park in 2021, 2019 and 2017, respectively, we solidified ourselves as a leading European food company while diversifying our product mix with introduction into the pork market and through leading, branded protein products in the U.K. and the Republic of Ireland. With the acquisition of GNP in 2017, we further solidified ourselves as a leading poultry company within the U.S. See “Note 2. Business Acquisitions” of our Consolidated Financial Statements included in this annual report for additional information relating to these acquisitions.</w:t>
      </w:r>
    </w:p>
    <w:p>
      <w:pPr>
        <w:spacing w:after="0" w:line="92"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4"/>
          <w:szCs w:val="14"/>
          <w:color w:val="auto"/>
        </w:rPr>
        <w:t>We reported net income attributable to Pilgrim’s Pride Corporation of $31.0 million, or $0.13 per diluted common share, and profit before tax totaling $92.4 million, for 2021. These operating results included gross profit of $1.4 billion and generated $326.5 million of cash from operations. We generated operating margins of 1.4% with operating margins of (0.2)%, 0.0% and 13.2% in our U.S., U.K. and Europe, and Mexico reportable segments, respectively. During 2021, we generated EBITDA and Adjusted EBITDA of $613.0 million and $1.3 billion, respectively. A reconciliation of net income to EBITDA and Adjusted EBITDA is included later in “Item 7. Management’s Discussion and Analysis of Financial Condition and Results of Operations” in this annual report.</w:t>
      </w:r>
    </w:p>
    <w:p>
      <w:pPr>
        <w:spacing w:after="0" w:line="104" w:lineRule="exact"/>
        <w:rPr>
          <w:sz w:val="20"/>
          <w:szCs w:val="20"/>
          <w:color w:val="auto"/>
        </w:rPr>
      </w:pPr>
    </w:p>
    <w:p>
      <w:pPr>
        <w:jc w:val="both"/>
        <w:ind w:firstLine="509"/>
        <w:spacing w:after="0" w:line="282" w:lineRule="auto"/>
        <w:rPr>
          <w:sz w:val="20"/>
          <w:szCs w:val="20"/>
          <w:color w:val="auto"/>
        </w:rPr>
      </w:pPr>
      <w:r>
        <w:rPr>
          <w:rFonts w:ascii="Arial" w:cs="Arial" w:eastAsia="Arial" w:hAnsi="Arial"/>
          <w:sz w:val="13"/>
          <w:szCs w:val="13"/>
          <w:color w:val="auto"/>
        </w:rPr>
        <w:t xml:space="preserve">As discussed in “Note 20. Commitments and Contingencies”, we entered into agreements during 2021 to settle all claims made by two consolidated plaintiff classes in the litigation styled </w:t>
      </w:r>
      <w:r>
        <w:rPr>
          <w:rFonts w:ascii="Arial" w:cs="Arial" w:eastAsia="Arial" w:hAnsi="Arial"/>
          <w:sz w:val="13"/>
          <w:szCs w:val="13"/>
          <w:i w:val="1"/>
          <w:iCs w:val="1"/>
          <w:color w:val="auto"/>
        </w:rPr>
        <w:t>In</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re Broiler Chicken Antitrust Litigation </w:t>
      </w:r>
      <w:r>
        <w:rPr>
          <w:rFonts w:ascii="Arial" w:cs="Arial" w:eastAsia="Arial" w:hAnsi="Arial"/>
          <w:sz w:val="13"/>
          <w:szCs w:val="13"/>
          <w:color w:val="auto"/>
        </w:rPr>
        <w:t>as well as various direct action complaints filed by individual purchaser entities (“DAPs”). The $609.8 million cost of the consolidated settlements, the DAP</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settlements and probable future DAP settlements are included in </w:t>
      </w:r>
      <w:r>
        <w:rPr>
          <w:rFonts w:ascii="Arial" w:cs="Arial" w:eastAsia="Arial" w:hAnsi="Arial"/>
          <w:sz w:val="13"/>
          <w:szCs w:val="13"/>
          <w:i w:val="1"/>
          <w:iCs w:val="1"/>
          <w:color w:val="auto"/>
        </w:rPr>
        <w:t>Selling, general and administrative expense</w:t>
      </w:r>
      <w:r>
        <w:rPr>
          <w:rFonts w:ascii="Arial" w:cs="Arial" w:eastAsia="Arial" w:hAnsi="Arial"/>
          <w:sz w:val="13"/>
          <w:szCs w:val="13"/>
          <w:color w:val="auto"/>
        </w:rPr>
        <w:t xml:space="preserve"> in the Consolidated Statement of Income for the year ended December 26, 2021. In addition, as discussed below under “Hometown Strong Initiative”, we launched an initiative during 2020 to support the communities in which we operate with unexpected challenges, such as the novel coronavirus (“COVID-19”) pandemic, and as a result, we recorded $15.0 million and $1.0 million in donation expense related to this initiative during 2020 and 2021, respectively. Adjusted net income for the year ended December 26, 2021, which excludes items shown in the “Reconciliation of Adjusted Net Income”, was $557.4 million.</w:t>
      </w:r>
    </w:p>
    <w:p>
      <w:pPr>
        <w:spacing w:after="0" w:line="92" w:lineRule="exact"/>
        <w:rPr>
          <w:sz w:val="20"/>
          <w:szCs w:val="20"/>
          <w:color w:val="auto"/>
        </w:rPr>
      </w:pPr>
    </w:p>
    <w:p>
      <w:pPr>
        <w:jc w:val="both"/>
        <w:ind w:firstLine="509"/>
        <w:spacing w:after="0" w:line="281" w:lineRule="auto"/>
        <w:rPr>
          <w:sz w:val="20"/>
          <w:szCs w:val="20"/>
          <w:color w:val="auto"/>
        </w:rPr>
      </w:pPr>
      <w:r>
        <w:rPr>
          <w:rFonts w:ascii="Arial" w:cs="Arial" w:eastAsia="Arial" w:hAnsi="Arial"/>
          <w:sz w:val="14"/>
          <w:szCs w:val="14"/>
          <w:color w:val="auto"/>
        </w:rPr>
        <w:t>We operate on the basis of a 52/53-week fiscal year that ends on the Sunday falling on or before December 31. Any reference we make to a particular year applies to our fiscal year and not the calendar year. Fiscal 2021 and 2020 were 52-week accounting cycles.</w:t>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Unsolicited Offer from JBS to Purchase Outstanding Shares of PPC Common Stock</w:t>
      </w:r>
    </w:p>
    <w:p>
      <w:pPr>
        <w:spacing w:after="0" w:line="140"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4"/>
          <w:szCs w:val="14"/>
          <w:color w:val="auto"/>
        </w:rPr>
        <w:t>On September 20, 2021, the Company announced that its board of directors had formed a special committee of independent directors (“Special Committee”) to review and evaluate the previously announced unsolicited proposal received on August 12, 2021 from JBS to acquire all of the outstanding shares of common stock of PPC that JBS does not currently own. On February 4, 2022, the Special Committee provided an update to the full board of directors on the status of the discussions with JBS. After thorough review of the proposal from JBS in consultation with its financial and legal advisors, on October 29, 2021, the Special Committee informed JBS that it would not support the JBS proposal unless JBS significantly increased its purchase price. On November 15, 2021, JBS offered to increase its purchase price from $26.50 per share to $28.50 per share. The Special Committee, in consultation with its financial and legal advisors, determined that the revised proposal from JBS does not appropriately value the shares of PPC owned by shareholders other than JBS, and again informed JBS that the Special Committee would not support the JBS proposal unless JBS significantly increased its purchase price. On January 12, 2022, JBS informed the Special Committee that it is continuing to evaluate the Special Committee’s response to the JBS proposal and is considering whether to further revise the terms of its proposal. On February 17, 2022, JBS withdrew its proposal to acquire all of the outstanding shares of common stock of PPC not owned by JBS or its subsidiaries.</w:t>
      </w:r>
    </w:p>
    <w:p>
      <w:pPr>
        <w:spacing w:after="0" w:line="106"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Pilgrim’s Food Masters Acquisition</w:t>
      </w:r>
    </w:p>
    <w:p>
      <w:pPr>
        <w:spacing w:after="0" w:line="140"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4"/>
          <w:szCs w:val="14"/>
          <w:color w:val="auto"/>
        </w:rPr>
        <w:t>On September 24, 2021, the Company acquired 100% of the equity of the specialty meats and ready meals businesses of Kerry Group plc for £695.3 million, or $954.1 million, subject to customary working capital adjustments. The acquisition was funded with the Company's recent senior notes offering and borrowings under the credit facility. The operations have since been renamed to Pilgrim’s Food Masters.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4" w:name="page25"/>
    <w:bookmarkEnd w:id="24"/>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-6985</wp:posOffset>
            </wp:positionV>
            <wp:extent cx="727075" cy="69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075" cy="6985"/>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4"/>
          <w:szCs w:val="14"/>
          <w:color w:val="auto"/>
        </w:rPr>
        <w:t>The specialty meats business is a leading manufacturer of branded and private label meats, meat snacks and food-to-go products in the U.K. and the Republic of Ireland. The ready meals business is a leading ethnic chilled and frozen ready meals business in the U.K. The combined businesses produced over £725 million in annual sales during the year ended December 31, 2020 and have more than 4,000 team members.</w:t>
      </w:r>
    </w:p>
    <w:p>
      <w:pPr>
        <w:spacing w:after="0" w:line="99" w:lineRule="exact"/>
        <w:rPr>
          <w:sz w:val="20"/>
          <w:szCs w:val="20"/>
          <w:color w:val="auto"/>
        </w:rPr>
      </w:pPr>
    </w:p>
    <w:p>
      <w:pPr>
        <w:jc w:val="both"/>
        <w:ind w:firstLine="509"/>
        <w:spacing w:after="0" w:line="281" w:lineRule="auto"/>
        <w:rPr>
          <w:sz w:val="20"/>
          <w:szCs w:val="20"/>
          <w:color w:val="auto"/>
        </w:rPr>
      </w:pPr>
      <w:r>
        <w:rPr>
          <w:rFonts w:ascii="Arial" w:cs="Arial" w:eastAsia="Arial" w:hAnsi="Arial"/>
          <w:sz w:val="14"/>
          <w:szCs w:val="14"/>
          <w:color w:val="auto"/>
        </w:rPr>
        <w:t>The results of operations of the acquired business since September 24, 2021 are included in the Company’s Consolidated Statements of Income. Net sales and net income generated by the acquired business during 2021 totaled $293.6 million and $2.3 million, respectively.</w:t>
      </w:r>
    </w:p>
    <w:p>
      <w:pPr>
        <w:spacing w:after="0" w:line="90" w:lineRule="exact"/>
        <w:rPr>
          <w:sz w:val="20"/>
          <w:szCs w:val="20"/>
          <w:color w:val="auto"/>
        </w:rPr>
      </w:pPr>
    </w:p>
    <w:p>
      <w:pPr>
        <w:ind w:right="1340" w:firstLine="509"/>
        <w:spacing w:after="0" w:line="442" w:lineRule="auto"/>
        <w:rPr>
          <w:sz w:val="20"/>
          <w:szCs w:val="20"/>
          <w:color w:val="auto"/>
        </w:rPr>
      </w:pPr>
      <w:r>
        <w:rPr>
          <w:rFonts w:ascii="Arial" w:cs="Arial" w:eastAsia="Arial" w:hAnsi="Arial"/>
          <w:sz w:val="14"/>
          <w:szCs w:val="14"/>
          <w:color w:val="auto"/>
        </w:rPr>
        <w:t xml:space="preserve">The acquisition solidifies Pilgrim's as a leading European food company. The acquired operations are included in the Company's U.K. and Europe reportable segment. </w:t>
      </w:r>
      <w:r>
        <w:rPr>
          <w:rFonts w:ascii="Arial" w:cs="Arial" w:eastAsia="Arial" w:hAnsi="Arial"/>
          <w:sz w:val="14"/>
          <w:szCs w:val="14"/>
          <w:b w:val="1"/>
          <w:bCs w:val="1"/>
          <w:color w:val="auto"/>
        </w:rPr>
        <w:t>U.K. Economic Conditions</w:t>
      </w:r>
    </w:p>
    <w:p>
      <w:pPr>
        <w:spacing w:after="0" w:line="1"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color w:val="auto"/>
        </w:rPr>
        <w:t>During the second half of 2021, we experienced significant challenges in the U.K. economic environment. We were confronted with severe labor shortages as European Union workers returned to their home countries following Brexit, affecting our ability to process, pack and transport products. In addition, we also faced significant cost pressure from feed ingredients - specifically oils and micronutrients - and increased costs for utilities, logistics, chemicals, labor and packaging. Our U.K. pork operations also had to overcome low hog prices resulting from an oversupply in Europe. Although chicken and pork sales were stable or at increased levels, these sales were generated at significantly reduced margins.</w:t>
      </w:r>
    </w:p>
    <w:p>
      <w:pPr>
        <w:spacing w:after="0" w:line="103" w:lineRule="exact"/>
        <w:rPr>
          <w:sz w:val="20"/>
          <w:szCs w:val="20"/>
          <w:color w:val="auto"/>
        </w:rPr>
      </w:pPr>
    </w:p>
    <w:p>
      <w:pPr>
        <w:jc w:val="both"/>
        <w:ind w:firstLine="509"/>
        <w:spacing w:after="0" w:line="281" w:lineRule="auto"/>
        <w:rPr>
          <w:sz w:val="20"/>
          <w:szCs w:val="20"/>
          <w:color w:val="auto"/>
        </w:rPr>
      </w:pPr>
      <w:r>
        <w:rPr>
          <w:rFonts w:ascii="Arial" w:cs="Arial" w:eastAsia="Arial" w:hAnsi="Arial"/>
          <w:sz w:val="14"/>
          <w:szCs w:val="14"/>
          <w:color w:val="auto"/>
        </w:rPr>
        <w:t>We have responded to these challenges by opening negotiations with customers to recoup extraordinary costs we have experienced. We also continue to focus on operational initiatives that aim to deliver labor efficiencies, better agricultural performance and improved yields.</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Impact of COVID-19</w:t>
      </w:r>
    </w:p>
    <w:p>
      <w:pPr>
        <w:spacing w:after="0" w:line="140" w:lineRule="exact"/>
        <w:rPr>
          <w:sz w:val="20"/>
          <w:szCs w:val="20"/>
          <w:color w:val="auto"/>
        </w:rPr>
      </w:pPr>
    </w:p>
    <w:p>
      <w:pPr>
        <w:jc w:val="both"/>
        <w:ind w:firstLine="509"/>
        <w:spacing w:after="0" w:line="297" w:lineRule="auto"/>
        <w:rPr>
          <w:sz w:val="20"/>
          <w:szCs w:val="20"/>
          <w:color w:val="auto"/>
        </w:rPr>
      </w:pPr>
      <w:r>
        <w:rPr>
          <w:rFonts w:ascii="Arial" w:cs="Arial" w:eastAsia="Arial" w:hAnsi="Arial"/>
          <w:sz w:val="13"/>
          <w:szCs w:val="13"/>
          <w:color w:val="auto"/>
        </w:rPr>
        <w:t>The extensive impact of the pandemic caused by COVID-19 has resulted and will likely continue to result in disruptions to the global economy, as well as businesses and capital markets around the world. In an effort to halt the outbreak of COVID-19, a number of countries, states, counties and other jurisdictions imposed various measures, including but not limited to, voluntary and mandatory quarantines, stay-at-home orders, travel restrictions, limitations on gatherings of people, reduced operations and extended closures of businesses.</w:t>
      </w:r>
    </w:p>
    <w:p>
      <w:pPr>
        <w:spacing w:after="0" w:line="82" w:lineRule="exact"/>
        <w:rPr>
          <w:sz w:val="20"/>
          <w:szCs w:val="20"/>
          <w:color w:val="auto"/>
        </w:rPr>
      </w:pPr>
    </w:p>
    <w:p>
      <w:pPr>
        <w:jc w:val="both"/>
        <w:ind w:firstLine="509"/>
        <w:spacing w:after="0" w:line="284" w:lineRule="auto"/>
        <w:rPr>
          <w:sz w:val="20"/>
          <w:szCs w:val="20"/>
          <w:color w:val="auto"/>
        </w:rPr>
      </w:pPr>
      <w:r>
        <w:rPr>
          <w:rFonts w:ascii="Arial" w:cs="Arial" w:eastAsia="Arial" w:hAnsi="Arial"/>
          <w:sz w:val="13"/>
          <w:szCs w:val="13"/>
          <w:color w:val="auto"/>
        </w:rPr>
        <w:t>As the global spread of the virus began to accelerate late in March 2020, we began to experience adverse impacts to our business and financial results. The impact of the COVID-19 pandemic included disruptions in supply chain, an increase in both broiler and chick costs and an increase in payroll and benefits costs. As the various mitigation efforts implemented across the globe began to take effect, the impact of the COVID-19 pandemic on our financial results generally decreased because of increased demand for our products at retail grocery stores and quick service restaurants and our ability to meet this demand through our transitioned business operations, as further discussed below. In 2021, we experienced intermittent impacts as noted above associated with the COVID-19 pandemic. We believe that we will continue to experience intermittent disruptions to our business due to the COVID-19 pandemic into 2022.</w:t>
      </w:r>
    </w:p>
    <w:p>
      <w:pPr>
        <w:spacing w:after="0" w:line="9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impact of COVID-19 and measures to prevent its spread have affected and continue to affect our business in a number of ways.</w:t>
      </w:r>
    </w:p>
    <w:p>
      <w:pPr>
        <w:spacing w:after="0" w:line="136" w:lineRule="exact"/>
        <w:rPr>
          <w:sz w:val="20"/>
          <w:szCs w:val="20"/>
          <w:color w:val="auto"/>
        </w:rPr>
      </w:pPr>
    </w:p>
    <w:p>
      <w:pPr>
        <w:jc w:val="both"/>
        <w:ind w:left="700" w:hanging="186"/>
        <w:spacing w:after="0" w:line="277" w:lineRule="auto"/>
        <w:tabs>
          <w:tab w:leader="none" w:pos="696" w:val="left"/>
        </w:tabs>
        <w:numPr>
          <w:ilvl w:val="0"/>
          <w:numId w:val="11"/>
        </w:numPr>
        <w:rPr>
          <w:rFonts w:ascii="Arial" w:cs="Arial" w:eastAsia="Arial" w:hAnsi="Arial"/>
          <w:sz w:val="13"/>
          <w:szCs w:val="13"/>
          <w:color w:val="auto"/>
        </w:rPr>
      </w:pPr>
      <w:r>
        <w:rPr>
          <w:rFonts w:ascii="Arial" w:cs="Arial" w:eastAsia="Arial" w:hAnsi="Arial"/>
          <w:sz w:val="13"/>
          <w:szCs w:val="13"/>
          <w:i w:val="1"/>
          <w:iCs w:val="1"/>
          <w:color w:val="auto"/>
        </w:rPr>
        <w:t>Our workforce</w:t>
      </w:r>
      <w:r>
        <w:rPr>
          <w:rFonts w:ascii="Arial" w:cs="Arial" w:eastAsia="Arial" w:hAnsi="Arial"/>
          <w:sz w:val="13"/>
          <w:szCs w:val="13"/>
          <w:b w:val="1"/>
          <w:bCs w:val="1"/>
          <w:i w:val="1"/>
          <w:iCs w:val="1"/>
          <w:color w:val="auto"/>
        </w:rPr>
        <w:t>.</w:t>
      </w:r>
      <w:r>
        <w:rPr>
          <w:rFonts w:ascii="Arial" w:cs="Arial" w:eastAsia="Arial" w:hAnsi="Arial"/>
          <w:sz w:val="13"/>
          <w:szCs w:val="13"/>
          <w:i w:val="1"/>
          <w:iCs w:val="1"/>
          <w:color w:val="auto"/>
        </w:rPr>
        <w:t xml:space="preserve"> </w:t>
      </w:r>
      <w:r>
        <w:rPr>
          <w:rFonts w:ascii="Arial" w:cs="Arial" w:eastAsia="Arial" w:hAnsi="Arial"/>
          <w:sz w:val="13"/>
          <w:szCs w:val="13"/>
          <w:color w:val="auto"/>
        </w:rPr>
        <w:t>Employee health and safety is our priority. As an essential business in a critical infrastructure industry, we continue to produce chicken and pork products, while</w:t>
      </w:r>
      <w:r>
        <w:rPr>
          <w:rFonts w:ascii="Arial" w:cs="Arial" w:eastAsia="Arial" w:hAnsi="Arial"/>
          <w:sz w:val="13"/>
          <w:szCs w:val="13"/>
          <w:i w:val="1"/>
          <w:iCs w:val="1"/>
          <w:color w:val="auto"/>
        </w:rPr>
        <w:t xml:space="preserve"> </w:t>
      </w:r>
      <w:r>
        <w:rPr>
          <w:rFonts w:ascii="Arial" w:cs="Arial" w:eastAsia="Arial" w:hAnsi="Arial"/>
          <w:sz w:val="13"/>
          <w:szCs w:val="13"/>
          <w:color w:val="auto"/>
        </w:rPr>
        <w:t>coordinating with and implementing guidance from the U.S. Centers for Disease Control and Prevention, the National Institute of Occupational Safety and Health, and local and regional Departments of Health in an effort to keep our employees safe and healthy. Measures we implemented during the height of the pandemic include, but are not limited to: increasing physical distancing of our employees, where possible, by staggering start and shift breaks, placing on-site tents to create more space for employees at break and at meal times, and installing physical barriers to distance employees while working on production lines; adding temperature and symptom screening stations for employees prior to entering our facilities; increasing personal hygiene practices and providing our employees additional personal protective equipment and sanitation stations; and increasing sanitation of our facilities. In the U.S., we provided appreciation bonuses to eligible employees in April and May of 2020 and expanded certain sick leave policies to provide more flexibility. In addition, we implemented global travel restrictions and work-from-home policies for employees who have the ability to work remotely. Finally, as COVID-19 vaccinations became more readily available in the first quarter of 2021, we strongly encouraged our employees to become vaccinated through sponsored vaccination clinics at our facilities and monetary bonuses to our employees once they completed the recommended vaccination regimen. We have continued to support our employees and their family members to be vaccinated against COVID-19.</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5" w:name="page26"/>
    <w:bookmarkEnd w:id="25"/>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-6985</wp:posOffset>
            </wp:positionV>
            <wp:extent cx="727075" cy="69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075" cy="6985"/>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jc w:val="both"/>
        <w:ind w:left="700" w:hanging="186"/>
        <w:spacing w:after="0" w:line="267" w:lineRule="auto"/>
        <w:tabs>
          <w:tab w:leader="none" w:pos="696" w:val="left"/>
        </w:tabs>
        <w:numPr>
          <w:ilvl w:val="0"/>
          <w:numId w:val="12"/>
        </w:numPr>
        <w:rPr>
          <w:rFonts w:ascii="Arial" w:cs="Arial" w:eastAsia="Arial" w:hAnsi="Arial"/>
          <w:sz w:val="14"/>
          <w:szCs w:val="14"/>
          <w:color w:val="auto"/>
        </w:rPr>
      </w:pPr>
      <w:r>
        <w:rPr>
          <w:rFonts w:ascii="Arial" w:cs="Arial" w:eastAsia="Arial" w:hAnsi="Arial"/>
          <w:sz w:val="14"/>
          <w:szCs w:val="14"/>
          <w:i w:val="1"/>
          <w:iCs w:val="1"/>
          <w:color w:val="auto"/>
        </w:rPr>
        <w:t xml:space="preserve">Our operations. </w:t>
      </w:r>
      <w:r>
        <w:rPr>
          <w:rFonts w:ascii="Arial" w:cs="Arial" w:eastAsia="Arial" w:hAnsi="Arial"/>
          <w:sz w:val="14"/>
          <w:szCs w:val="14"/>
          <w:color w:val="auto"/>
        </w:rPr>
        <w:t>All of our production facilities continued to operate, although some facilities reduced production levels and outputs due to increased health and safety measures,</w:t>
      </w:r>
      <w:r>
        <w:rPr>
          <w:rFonts w:ascii="Arial" w:cs="Arial" w:eastAsia="Arial" w:hAnsi="Arial"/>
          <w:sz w:val="14"/>
          <w:szCs w:val="14"/>
          <w:i w:val="1"/>
          <w:iCs w:val="1"/>
          <w:color w:val="auto"/>
        </w:rPr>
        <w:t xml:space="preserve"> </w:t>
      </w:r>
      <w:r>
        <w:rPr>
          <w:rFonts w:ascii="Arial" w:cs="Arial" w:eastAsia="Arial" w:hAnsi="Arial"/>
          <w:sz w:val="14"/>
          <w:szCs w:val="14"/>
          <w:color w:val="auto"/>
        </w:rPr>
        <w:t>employee absenteeism, and as a consequence of the decline in demand by restaurants and other foodservice businesses. To date, we have not experienced a material impact from a plant closure and our facilities have largely been exempt from government closure orders.</w:t>
      </w:r>
    </w:p>
    <w:p>
      <w:pPr>
        <w:spacing w:after="0" w:line="99" w:lineRule="exact"/>
        <w:rPr>
          <w:rFonts w:ascii="Arial" w:cs="Arial" w:eastAsia="Arial" w:hAnsi="Arial"/>
          <w:sz w:val="14"/>
          <w:szCs w:val="14"/>
          <w:color w:val="auto"/>
        </w:rPr>
      </w:pPr>
    </w:p>
    <w:p>
      <w:pPr>
        <w:jc w:val="both"/>
        <w:ind w:left="700" w:hanging="186"/>
        <w:spacing w:after="0" w:line="258" w:lineRule="auto"/>
        <w:tabs>
          <w:tab w:leader="none" w:pos="696" w:val="left"/>
        </w:tabs>
        <w:numPr>
          <w:ilvl w:val="0"/>
          <w:numId w:val="12"/>
        </w:numPr>
        <w:rPr>
          <w:rFonts w:ascii="Arial" w:cs="Arial" w:eastAsia="Arial" w:hAnsi="Arial"/>
          <w:sz w:val="14"/>
          <w:szCs w:val="14"/>
          <w:color w:val="auto"/>
        </w:rPr>
      </w:pPr>
      <w:r>
        <w:rPr>
          <w:rFonts w:ascii="Arial" w:cs="Arial" w:eastAsia="Arial" w:hAnsi="Arial"/>
          <w:sz w:val="14"/>
          <w:szCs w:val="14"/>
          <w:i w:val="1"/>
          <w:iCs w:val="1"/>
          <w:color w:val="auto"/>
        </w:rPr>
        <w:t xml:space="preserve">Demand for our products. </w:t>
      </w:r>
      <w:r>
        <w:rPr>
          <w:rFonts w:ascii="Arial" w:cs="Arial" w:eastAsia="Arial" w:hAnsi="Arial"/>
          <w:sz w:val="14"/>
          <w:szCs w:val="14"/>
          <w:color w:val="auto"/>
        </w:rPr>
        <w:t>In early 2021, COVID-19 continued to affect demand for our products. In our U.S. and Mexico businesses, demand for parts and whole-birds (typically bound</w:t>
      </w:r>
      <w:r>
        <w:rPr>
          <w:rFonts w:ascii="Arial" w:cs="Arial" w:eastAsia="Arial" w:hAnsi="Arial"/>
          <w:sz w:val="14"/>
          <w:szCs w:val="14"/>
          <w:i w:val="1"/>
          <w:iCs w:val="1"/>
          <w:color w:val="auto"/>
        </w:rPr>
        <w:t xml:space="preserve"> </w:t>
      </w:r>
      <w:r>
        <w:rPr>
          <w:rFonts w:ascii="Arial" w:cs="Arial" w:eastAsia="Arial" w:hAnsi="Arial"/>
          <w:sz w:val="14"/>
          <w:szCs w:val="14"/>
          <w:color w:val="auto"/>
        </w:rPr>
        <w:t>for restaurants) and prepared foods (distributed, in part, to schools) declined, while our U.K. and Europe business, which is more retail focused, has generally seen less of an impact. In an effort to counter the adverse effects of COVID-19, we have transitioned, where commercially reasonable and possible to do so, our business operations to be in the best position to supply COVID-19 market demands. Those efforts included transferring live supply to case ready, shifting production form and mix from foodservice to retail, increasing capacity utilization of retail packaging equipment, and analyzing export positions. However, as global vaccination levels increased and governmental restrictions eased, we noted the trend towards pre-pandemic levels of demand at retail grocery stores and restaurants.</w:t>
      </w:r>
    </w:p>
    <w:p>
      <w:pPr>
        <w:spacing w:after="0" w:line="107" w:lineRule="exact"/>
        <w:rPr>
          <w:rFonts w:ascii="Arial" w:cs="Arial" w:eastAsia="Arial" w:hAnsi="Arial"/>
          <w:sz w:val="14"/>
          <w:szCs w:val="14"/>
          <w:color w:val="auto"/>
        </w:rPr>
      </w:pPr>
    </w:p>
    <w:p>
      <w:pPr>
        <w:ind w:left="700" w:hanging="186"/>
        <w:spacing w:after="0"/>
        <w:tabs>
          <w:tab w:leader="none" w:pos="700" w:val="left"/>
        </w:tabs>
        <w:numPr>
          <w:ilvl w:val="0"/>
          <w:numId w:val="12"/>
        </w:numPr>
        <w:rPr>
          <w:rFonts w:ascii="Arial" w:cs="Arial" w:eastAsia="Arial" w:hAnsi="Arial"/>
          <w:sz w:val="14"/>
          <w:szCs w:val="14"/>
          <w:color w:val="auto"/>
        </w:rPr>
      </w:pPr>
      <w:r>
        <w:rPr>
          <w:rFonts w:ascii="Arial" w:cs="Arial" w:eastAsia="Arial" w:hAnsi="Arial"/>
          <w:sz w:val="14"/>
          <w:szCs w:val="14"/>
          <w:i w:val="1"/>
          <w:iCs w:val="1"/>
          <w:color w:val="auto"/>
        </w:rPr>
        <w:t xml:space="preserve">Liquidity. </w:t>
      </w:r>
      <w:r>
        <w:rPr>
          <w:rFonts w:ascii="Arial" w:cs="Arial" w:eastAsia="Arial" w:hAnsi="Arial"/>
          <w:sz w:val="14"/>
          <w:szCs w:val="14"/>
          <w:color w:val="auto"/>
        </w:rPr>
        <w:t>Our liquidity position is strong and we took additional measures in 2020 to increase liquidity to prepare for the challenging environment.</w:t>
      </w:r>
    </w:p>
    <w:p>
      <w:pPr>
        <w:spacing w:after="0" w:line="136" w:lineRule="exact"/>
        <w:rPr>
          <w:rFonts w:ascii="Arial" w:cs="Arial" w:eastAsia="Arial" w:hAnsi="Arial"/>
          <w:sz w:val="14"/>
          <w:szCs w:val="14"/>
          <w:color w:val="auto"/>
        </w:rPr>
      </w:pPr>
    </w:p>
    <w:p>
      <w:pPr>
        <w:ind w:left="700" w:hanging="186"/>
        <w:spacing w:after="0" w:line="281" w:lineRule="auto"/>
        <w:tabs>
          <w:tab w:leader="none" w:pos="696" w:val="left"/>
        </w:tabs>
        <w:numPr>
          <w:ilvl w:val="0"/>
          <w:numId w:val="12"/>
        </w:numPr>
        <w:rPr>
          <w:rFonts w:ascii="Arial" w:cs="Arial" w:eastAsia="Arial" w:hAnsi="Arial"/>
          <w:sz w:val="14"/>
          <w:szCs w:val="14"/>
          <w:color w:val="auto"/>
        </w:rPr>
      </w:pPr>
      <w:r>
        <w:rPr>
          <w:rFonts w:ascii="Arial" w:cs="Arial" w:eastAsia="Arial" w:hAnsi="Arial"/>
          <w:sz w:val="14"/>
          <w:szCs w:val="14"/>
          <w:i w:val="1"/>
          <w:iCs w:val="1"/>
          <w:color w:val="auto"/>
        </w:rPr>
        <w:t xml:space="preserve">Foreign currency exchange rates and commodity prices. </w:t>
      </w:r>
      <w:r>
        <w:rPr>
          <w:rFonts w:ascii="Arial" w:cs="Arial" w:eastAsia="Arial" w:hAnsi="Arial"/>
          <w:sz w:val="14"/>
          <w:szCs w:val="14"/>
          <w:color w:val="auto"/>
        </w:rPr>
        <w:t>During the year ended December 26, 2021, we experienced increased volatility in foreign currency exchange rates and</w:t>
      </w:r>
      <w:r>
        <w:rPr>
          <w:rFonts w:ascii="Arial" w:cs="Arial" w:eastAsia="Arial" w:hAnsi="Arial"/>
          <w:sz w:val="14"/>
          <w:szCs w:val="14"/>
          <w:i w:val="1"/>
          <w:iCs w:val="1"/>
          <w:color w:val="auto"/>
        </w:rPr>
        <w:t xml:space="preserve"> </w:t>
      </w:r>
      <w:r>
        <w:rPr>
          <w:rFonts w:ascii="Arial" w:cs="Arial" w:eastAsia="Arial" w:hAnsi="Arial"/>
          <w:sz w:val="14"/>
          <w:szCs w:val="14"/>
          <w:color w:val="auto"/>
        </w:rPr>
        <w:t>commodity prices, in part related to the uncertainty from COVID-19, as well as actions taken by governments and central banks in response to COVID-19.</w:t>
      </w:r>
    </w:p>
    <w:p>
      <w:pPr>
        <w:spacing w:after="0" w:line="89" w:lineRule="exact"/>
        <w:rPr>
          <w:rFonts w:ascii="Arial" w:cs="Arial" w:eastAsia="Arial" w:hAnsi="Arial"/>
          <w:sz w:val="14"/>
          <w:szCs w:val="14"/>
          <w:color w:val="auto"/>
        </w:rPr>
      </w:pPr>
    </w:p>
    <w:p>
      <w:pPr>
        <w:jc w:val="both"/>
        <w:ind w:left="700" w:hanging="186"/>
        <w:spacing w:after="0" w:line="267" w:lineRule="auto"/>
        <w:tabs>
          <w:tab w:leader="none" w:pos="696" w:val="left"/>
        </w:tabs>
        <w:numPr>
          <w:ilvl w:val="0"/>
          <w:numId w:val="12"/>
        </w:numPr>
        <w:rPr>
          <w:rFonts w:ascii="Arial" w:cs="Arial" w:eastAsia="Arial" w:hAnsi="Arial"/>
          <w:sz w:val="14"/>
          <w:szCs w:val="14"/>
          <w:b w:val="1"/>
          <w:bCs w:val="1"/>
          <w:i w:val="1"/>
          <w:iCs w:val="1"/>
          <w:color w:val="auto"/>
        </w:rPr>
      </w:pPr>
      <w:r>
        <w:rPr>
          <w:rFonts w:ascii="Arial" w:cs="Arial" w:eastAsia="Arial" w:hAnsi="Arial"/>
          <w:sz w:val="14"/>
          <w:szCs w:val="14"/>
          <w:i w:val="1"/>
          <w:iCs w:val="1"/>
          <w:color w:val="auto"/>
        </w:rPr>
        <w:t xml:space="preserve">CARES Act. </w:t>
      </w:r>
      <w:r>
        <w:rPr>
          <w:rFonts w:ascii="Arial" w:cs="Arial" w:eastAsia="Arial" w:hAnsi="Arial"/>
          <w:sz w:val="14"/>
          <w:szCs w:val="14"/>
          <w:color w:val="auto"/>
        </w:rPr>
        <w:t>On March 27, 2020, the U.S. government enacted the CARES Act, which included modifications to the limitation on business interest expense and net operating loss</w:t>
      </w:r>
      <w:r>
        <w:rPr>
          <w:rFonts w:ascii="Arial" w:cs="Arial" w:eastAsia="Arial" w:hAnsi="Arial"/>
          <w:sz w:val="14"/>
          <w:szCs w:val="14"/>
          <w:i w:val="1"/>
          <w:iCs w:val="1"/>
          <w:color w:val="auto"/>
        </w:rPr>
        <w:t xml:space="preserve"> </w:t>
      </w:r>
      <w:r>
        <w:rPr>
          <w:rFonts w:ascii="Arial" w:cs="Arial" w:eastAsia="Arial" w:hAnsi="Arial"/>
          <w:sz w:val="14"/>
          <w:szCs w:val="14"/>
          <w:color w:val="auto"/>
        </w:rPr>
        <w:t>provisions, and provided a payment delay of employer payroll taxes during 2020 after the date of enactment. We delayed the payment of $52 million in employer payroll taxes otherwise due in 2020. The first 50% was paid on December 31, 2021 and the remaining 50% is due and payable by December 31, 2022.</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Raw Materials</w:t>
      </w:r>
    </w:p>
    <w:p>
      <w:pPr>
        <w:spacing w:after="0" w:line="140" w:lineRule="exact"/>
        <w:rPr>
          <w:sz w:val="20"/>
          <w:szCs w:val="20"/>
          <w:color w:val="auto"/>
        </w:rPr>
      </w:pPr>
    </w:p>
    <w:p>
      <w:pPr>
        <w:jc w:val="both"/>
        <w:ind w:firstLine="509"/>
        <w:spacing w:after="0" w:line="281" w:lineRule="auto"/>
        <w:rPr>
          <w:sz w:val="20"/>
          <w:szCs w:val="20"/>
          <w:color w:val="auto"/>
        </w:rPr>
      </w:pPr>
      <w:r>
        <w:rPr>
          <w:rFonts w:ascii="Arial" w:cs="Arial" w:eastAsia="Arial" w:hAnsi="Arial"/>
          <w:sz w:val="14"/>
          <w:szCs w:val="14"/>
          <w:color w:val="auto"/>
        </w:rPr>
        <w:t>Our profitability is materially affected by the commodity prices of feed ingredients and chicken. Our U.S. and Mexico reportable segments use corn and soybean meal as the main ingredients for feed production, while our U.K. and Europe reportable segment uses wheat, soybean meal and barley as the main ingredients for feed production.</w:t>
      </w:r>
    </w:p>
    <w:p>
      <w:pPr>
        <w:spacing w:after="0" w:line="90" w:lineRule="exact"/>
        <w:rPr>
          <w:sz w:val="20"/>
          <w:szCs w:val="20"/>
          <w:color w:val="auto"/>
        </w:rPr>
      </w:pPr>
    </w:p>
    <w:p>
      <w:pPr>
        <w:jc w:val="both"/>
        <w:ind w:firstLine="509"/>
        <w:spacing w:after="0" w:line="280" w:lineRule="auto"/>
        <w:rPr>
          <w:sz w:val="20"/>
          <w:szCs w:val="20"/>
          <w:color w:val="auto"/>
        </w:rPr>
      </w:pPr>
      <w:r>
        <w:rPr>
          <w:rFonts w:ascii="Arial" w:cs="Arial" w:eastAsia="Arial" w:hAnsi="Arial"/>
          <w:sz w:val="13"/>
          <w:szCs w:val="13"/>
          <w:color w:val="auto"/>
        </w:rPr>
        <w:t>During 2021, chicken prices were higher than average for most of the year. The jumbo cutout entered the first quarter slightly above the five-year average before increasing to new five-year highs and remained above the historical range through the end of the year. During the first quarter of 2021, chicken production paced at a level below that of the first quarter of 2020 as fewer egg sets and reduced hatchability rates contributed to fewer chickens processed. The year-over-year decline in production was paired with robust demand for chicken at retail, as well as the continued improvement of foodservice demand for chicken. As a result, chicken supply did not pace with improved demand, resulting in continued cold storage stock draw downs and increased market prices. From the second quarter of 2021 through the year ended December 26, 2021, broiler production posted year-over-year gains from both increased headcounts and average liveweights. Sustained demand for retail chicken products and the continued improvements in foodservice demand pressured available supplies despite the production gains. As a result, chicken prices remained well supported throughout the year, even displayed counter-seasonal increases in mid-third quarter and late fourth quarter, leading to new five-year highs.</w:t>
      </w:r>
    </w:p>
    <w:p>
      <w:pPr>
        <w:spacing w:after="0" w:line="95" w:lineRule="exact"/>
        <w:rPr>
          <w:sz w:val="20"/>
          <w:szCs w:val="20"/>
          <w:color w:val="auto"/>
        </w:rPr>
      </w:pPr>
    </w:p>
    <w:p>
      <w:pPr>
        <w:jc w:val="both"/>
        <w:ind w:firstLine="509"/>
        <w:spacing w:after="0" w:line="321" w:lineRule="auto"/>
        <w:rPr>
          <w:sz w:val="20"/>
          <w:szCs w:val="20"/>
          <w:color w:val="auto"/>
        </w:rPr>
      </w:pPr>
      <w:r>
        <w:rPr>
          <w:rFonts w:ascii="Arial" w:cs="Arial" w:eastAsia="Arial" w:hAnsi="Arial"/>
          <w:sz w:val="13"/>
          <w:szCs w:val="13"/>
          <w:color w:val="auto"/>
        </w:rPr>
        <w:t>While chicken prices have remained well supported in 2021, pricing throughout 2022 will be influenced by the development of both retail and foodservice demand in light of factors such as consumer and governmental responses to the spread of COVID-19 variants, uncertainty surrounding the general economy and protein supply due to labor availability and chicken hatchability.</w:t>
      </w:r>
    </w:p>
    <w:p>
      <w:pPr>
        <w:spacing w:after="0" w:line="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Sustainability</w:t>
      </w:r>
    </w:p>
    <w:p>
      <w:pPr>
        <w:spacing w:after="0" w:line="140" w:lineRule="exact"/>
        <w:rPr>
          <w:sz w:val="20"/>
          <w:szCs w:val="20"/>
          <w:color w:val="auto"/>
        </w:rPr>
      </w:pPr>
    </w:p>
    <w:p>
      <w:pPr>
        <w:jc w:val="both"/>
        <w:ind w:firstLine="509"/>
        <w:spacing w:after="0" w:line="281" w:lineRule="auto"/>
        <w:rPr>
          <w:sz w:val="20"/>
          <w:szCs w:val="20"/>
          <w:color w:val="auto"/>
        </w:rPr>
      </w:pPr>
      <w:r>
        <w:rPr>
          <w:rFonts w:ascii="Arial" w:cs="Arial" w:eastAsia="Arial" w:hAnsi="Arial"/>
          <w:sz w:val="14"/>
          <w:szCs w:val="14"/>
          <w:color w:val="auto"/>
        </w:rPr>
        <w:t>We believe sustainability involves continuously improving social responsibility, economic viability and environmental stewardship. We are committed to helping society meet the global challenge of feeding a growing population in a responsible matter.</w:t>
      </w:r>
    </w:p>
    <w:p>
      <w:pPr>
        <w:spacing w:after="0" w:line="90" w:lineRule="exact"/>
        <w:rPr>
          <w:sz w:val="20"/>
          <w:szCs w:val="20"/>
          <w:color w:val="auto"/>
        </w:rPr>
      </w:pPr>
    </w:p>
    <w:p>
      <w:pPr>
        <w:jc w:val="both"/>
        <w:ind w:firstLine="509"/>
        <w:spacing w:after="0" w:line="281" w:lineRule="auto"/>
        <w:rPr>
          <w:sz w:val="20"/>
          <w:szCs w:val="20"/>
          <w:color w:val="auto"/>
        </w:rPr>
      </w:pPr>
      <w:r>
        <w:rPr>
          <w:rFonts w:ascii="Arial" w:cs="Arial" w:eastAsia="Arial" w:hAnsi="Arial"/>
          <w:sz w:val="14"/>
          <w:szCs w:val="14"/>
          <w:i w:val="1"/>
          <w:iCs w:val="1"/>
          <w:color w:val="auto"/>
        </w:rPr>
        <w:t>Environmental Stewardship</w:t>
      </w:r>
      <w:r>
        <w:rPr>
          <w:rFonts w:ascii="Arial" w:cs="Arial" w:eastAsia="Arial" w:hAnsi="Arial"/>
          <w:sz w:val="14"/>
          <w:szCs w:val="14"/>
          <w:color w:val="auto"/>
        </w:rPr>
        <w:t>. We were the first major meat and poultry company in the world to set a net zero greenhouse gas emissions target by 2040, demonstrating our leadership and</w:t>
      </w:r>
      <w:r>
        <w:rPr>
          <w:rFonts w:ascii="Arial" w:cs="Arial" w:eastAsia="Arial" w:hAnsi="Arial"/>
          <w:sz w:val="14"/>
          <w:szCs w:val="14"/>
          <w:i w:val="1"/>
          <w:iCs w:val="1"/>
          <w:color w:val="auto"/>
        </w:rPr>
        <w:t xml:space="preserve"> </w:t>
      </w:r>
      <w:r>
        <w:rPr>
          <w:rFonts w:ascii="Arial" w:cs="Arial" w:eastAsia="Arial" w:hAnsi="Arial"/>
          <w:sz w:val="14"/>
          <w:szCs w:val="14"/>
          <w:color w:val="auto"/>
        </w:rPr>
        <w:t>dedication to improving the efficiency of our operations and supporting producers to reduce our environmental footprint. In support of this initiative, in April 2021, we</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6" w:name="page27"/>
    <w:bookmarkEnd w:id="26"/>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-6985</wp:posOffset>
            </wp:positionV>
            <wp:extent cx="727075" cy="69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7075" cy="6985"/>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issued $1.0 billion of sustainability-linked bonds, which require us to reduce our global greenhouse gas emissions intensity by 30% by 2030. We are ahead of our targeted reductions as we close out 2021.</w:t>
      </w:r>
    </w:p>
    <w:p>
      <w:pPr>
        <w:spacing w:after="0" w:line="90" w:lineRule="exact"/>
        <w:rPr>
          <w:sz w:val="20"/>
          <w:szCs w:val="20"/>
          <w:color w:val="auto"/>
        </w:rPr>
      </w:pPr>
    </w:p>
    <w:p>
      <w:pPr>
        <w:jc w:val="both"/>
        <w:ind w:firstLine="509"/>
        <w:spacing w:after="0" w:line="284" w:lineRule="auto"/>
        <w:rPr>
          <w:sz w:val="20"/>
          <w:szCs w:val="20"/>
          <w:color w:val="auto"/>
        </w:rPr>
      </w:pPr>
      <w:r>
        <w:rPr>
          <w:rFonts w:ascii="Arial" w:cs="Arial" w:eastAsia="Arial" w:hAnsi="Arial"/>
          <w:sz w:val="13"/>
          <w:szCs w:val="13"/>
          <w:i w:val="1"/>
          <w:iCs w:val="1"/>
          <w:color w:val="auto"/>
        </w:rPr>
        <w:t>Social Responsibility</w:t>
      </w:r>
      <w:r>
        <w:rPr>
          <w:rFonts w:ascii="Arial" w:cs="Arial" w:eastAsia="Arial" w:hAnsi="Arial"/>
          <w:sz w:val="13"/>
          <w:szCs w:val="13"/>
          <w:color w:val="auto"/>
        </w:rPr>
        <w:t>. Safety of our team members is a condition at Pilgrim’s. The health of our workforce was our top priority throughout the COVID-19 pandemic, and we implemented</w:t>
      </w:r>
      <w:r>
        <w:rPr>
          <w:rFonts w:ascii="Arial" w:cs="Arial" w:eastAsia="Arial" w:hAnsi="Arial"/>
          <w:sz w:val="13"/>
          <w:szCs w:val="13"/>
          <w:i w:val="1"/>
          <w:iCs w:val="1"/>
          <w:color w:val="auto"/>
        </w:rPr>
        <w:t xml:space="preserve"> </w:t>
      </w:r>
      <w:r>
        <w:rPr>
          <w:rFonts w:ascii="Arial" w:cs="Arial" w:eastAsia="Arial" w:hAnsi="Arial"/>
          <w:sz w:val="13"/>
          <w:szCs w:val="13"/>
          <w:color w:val="auto"/>
        </w:rPr>
        <w:t>hundreds of safety measures within our facilities, constantly evolving our operations as needed. To support the communities where our team members live and work, we invested more than $20 million in local projects focused on alleviating food insecurity, strengthening long-term community infrastructure and well-being and aiding COVID-19 emergency response and relief efforts through our Hometown Strong initiative. Finally, ensuring the well-being of animals under our care is an uncompromising commitment at Pilgrims. We continually strive to improve our welfare efforts through the use of new technologies and the implementation of standards that meet and exceed regulatory requirements and industry guidelines.</w:t>
      </w:r>
    </w:p>
    <w:p>
      <w:pPr>
        <w:spacing w:after="0" w:line="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Hometown Strong Initiative</w:t>
      </w:r>
    </w:p>
    <w:p>
      <w:pPr>
        <w:spacing w:after="0" w:line="140"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4"/>
          <w:szCs w:val="14"/>
          <w:color w:val="auto"/>
        </w:rPr>
        <w:t>The Hometown Strong initiative was developed in order to help the communities in which we operate respond to the unexpected challenges on society, such as the COVID-19 pandemic. We believe the Hometown Strong initiative will provide consequential investment projects for a lasting impact on these communities and help them prepare for unanticipated challenges and build for the future. We recognized $15.0 million and $1.0 million of donations expense related to this initiative during 2020 and 2021, respectively.</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Potential Impact of Tariffs, Labor Shortages and Freight Costs</w:t>
      </w:r>
    </w:p>
    <w:p>
      <w:pPr>
        <w:spacing w:after="0" w:line="140" w:lineRule="exact"/>
        <w:rPr>
          <w:sz w:val="20"/>
          <w:szCs w:val="20"/>
          <w:color w:val="auto"/>
        </w:rPr>
      </w:pPr>
    </w:p>
    <w:p>
      <w:pPr>
        <w:jc w:val="both"/>
        <w:ind w:firstLine="509"/>
        <w:spacing w:after="0" w:line="258" w:lineRule="auto"/>
        <w:rPr>
          <w:sz w:val="20"/>
          <w:szCs w:val="20"/>
          <w:color w:val="auto"/>
        </w:rPr>
      </w:pPr>
      <w:r>
        <w:rPr>
          <w:rFonts w:ascii="Arial" w:cs="Arial" w:eastAsia="Arial" w:hAnsi="Arial"/>
          <w:sz w:val="14"/>
          <w:szCs w:val="14"/>
          <w:color w:val="auto"/>
        </w:rPr>
        <w:t>We continue to monitor recent trade and tariff activity and its potential impact to exports and inputs costs across our reportable segments. Currently, we are experiencing impacts to domestic and export prices of chicken resulting from uncertainty in trade policies, increased tariffs, labor shortages and increased freight costs. With the implementation of the EU-U.K Trade and Cooperation Agreement, there is uncertainty regarding the processing of imports and administration costs that will follow. This could lead to potential new tariffs and regulations from both the European Union and the U.K. We are unable to give any assurance as to the scope, duration, or impact of any changes in trade policies or tariffs, how successful any mitigation efforts will be, or the extent to which mitigation will be necessary, and accordingly, changes in trade policies and increased tariffs could have a material adverse effect on our business and results of operations. Also, continued congestion at ports and other transportation challenges could adversely affect our U.S. export business.</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Reportable Segments</w:t>
      </w:r>
    </w:p>
    <w:p>
      <w:pPr>
        <w:spacing w:after="0" w:line="140"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4"/>
          <w:szCs w:val="14"/>
          <w:color w:val="auto"/>
        </w:rPr>
        <w:t>We operate in three reportable segments: the U.S., the U.K. and Europe, and Mexico. We measure segment profit as operating income. Corporate expenses are allocated to the Mexico and U.K. and Europe reportable segments based upon various apportionment methods for specific expenditures incurred related thereto with the remaining amounts allocated to the U.S. For additional information, see “Note 19. Reportable Segments” of our Consolidated Financial Statements included in this annual report.</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Operations</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2021 Compared to 2020</w:t>
      </w:r>
    </w:p>
    <w:p>
      <w:pPr>
        <w:spacing w:after="0" w:line="136" w:lineRule="exact"/>
        <w:rPr>
          <w:sz w:val="20"/>
          <w:szCs w:val="20"/>
          <w:color w:val="auto"/>
        </w:rPr>
      </w:pPr>
    </w:p>
    <w:p>
      <w:pPr>
        <w:jc w:val="both"/>
        <w:ind w:firstLine="509"/>
        <w:spacing w:after="0" w:line="281" w:lineRule="auto"/>
        <w:rPr>
          <w:sz w:val="20"/>
          <w:szCs w:val="20"/>
          <w:color w:val="auto"/>
        </w:rPr>
      </w:pPr>
      <w:r>
        <w:rPr>
          <w:rFonts w:ascii="Arial" w:cs="Arial" w:eastAsia="Arial" w:hAnsi="Arial"/>
          <w:sz w:val="14"/>
          <w:szCs w:val="14"/>
          <w:i w:val="1"/>
          <w:iCs w:val="1"/>
          <w:color w:val="auto"/>
        </w:rPr>
        <w:t xml:space="preserve">Net sales. </w:t>
      </w:r>
      <w:r>
        <w:rPr>
          <w:rFonts w:ascii="Arial" w:cs="Arial" w:eastAsia="Arial" w:hAnsi="Arial"/>
          <w:sz w:val="14"/>
          <w:szCs w:val="14"/>
          <w:color w:val="auto"/>
        </w:rPr>
        <w:t>Net sales for 2021 increased $2.7 billion, or 22.2%, from $12.1 billion generated in 2020 to $14.8 billion generated in 2021. The following table provides additional information</w:t>
      </w:r>
      <w:r>
        <w:rPr>
          <w:rFonts w:ascii="Arial" w:cs="Arial" w:eastAsia="Arial" w:hAnsi="Arial"/>
          <w:sz w:val="14"/>
          <w:szCs w:val="14"/>
          <w:i w:val="1"/>
          <w:iCs w:val="1"/>
          <w:color w:val="auto"/>
        </w:rPr>
        <w:t xml:space="preserve"> </w:t>
      </w:r>
      <w:r>
        <w:rPr>
          <w:rFonts w:ascii="Arial" w:cs="Arial" w:eastAsia="Arial" w:hAnsi="Arial"/>
          <w:sz w:val="14"/>
          <w:szCs w:val="14"/>
          <w:color w:val="auto"/>
        </w:rPr>
        <w:t>regarding net sales:</w:t>
      </w:r>
    </w:p>
    <w:p>
      <w:pPr>
        <w:spacing w:after="0" w:line="30" w:lineRule="exact"/>
        <w:rPr>
          <w:sz w:val="20"/>
          <w:szCs w:val="20"/>
          <w:color w:val="auto"/>
        </w:rPr>
      </w:pPr>
    </w:p>
    <w:tbl>
      <w:tblPr>
        <w:tblLayout w:type="fixed"/>
        <w:tblInd w:w="20" w:type="dxa"/>
        <w:tblCellMar>
          <w:top w:w="0" w:type="dxa"/>
          <w:left w:w="0" w:type="dxa"/>
          <w:bottom w:w="0" w:type="dxa"/>
          <w:right w:w="0" w:type="dxa"/>
        </w:tblCellMar>
      </w:tblPr>
      <w:tr>
        <w:trPr>
          <w:trHeight w:val="147"/>
        </w:trPr>
        <w:tc>
          <w:tcPr>
            <w:tcW w:w="6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gridSpan w:val="2"/>
          </w:tcPr>
          <w:p>
            <w:pPr>
              <w:ind w:left="780"/>
              <w:spacing w:after="0"/>
              <w:rPr>
                <w:sz w:val="20"/>
                <w:szCs w:val="20"/>
                <w:color w:val="auto"/>
              </w:rPr>
            </w:pPr>
            <w:r>
              <w:rPr>
                <w:rFonts w:ascii="Arial" w:cs="Arial" w:eastAsia="Arial" w:hAnsi="Arial"/>
                <w:sz w:val="11"/>
                <w:szCs w:val="11"/>
                <w:b w:val="1"/>
                <w:bCs w:val="1"/>
                <w:color w:val="auto"/>
                <w:w w:val="98"/>
              </w:rPr>
              <w:t>Change from 2020</w:t>
            </w:r>
          </w:p>
        </w:tc>
        <w:tc>
          <w:tcPr>
            <w:tcW w:w="1020" w:type="dxa"/>
            <w:vAlign w:val="bottom"/>
            <w:tcBorders>
              <w:bottom w:val="single" w:sz="8" w:color="auto"/>
            </w:tcBorders>
          </w:tcPr>
          <w:p>
            <w:pPr>
              <w:spacing w:after="0"/>
              <w:rPr>
                <w:sz w:val="12"/>
                <w:szCs w:val="12"/>
                <w:color w:val="auto"/>
              </w:rPr>
            </w:pPr>
          </w:p>
        </w:tc>
      </w:tr>
      <w:tr>
        <w:trPr>
          <w:trHeight w:val="147"/>
        </w:trPr>
        <w:tc>
          <w:tcPr>
            <w:tcW w:w="6680" w:type="dxa"/>
            <w:vAlign w:val="bottom"/>
            <w:gridSpan w:val="2"/>
          </w:tcPr>
          <w:p>
            <w:pPr>
              <w:spacing w:after="0"/>
              <w:rPr>
                <w:sz w:val="20"/>
                <w:szCs w:val="20"/>
                <w:color w:val="auto"/>
              </w:rPr>
            </w:pPr>
            <w:r>
              <w:rPr>
                <w:rFonts w:ascii="Arial" w:cs="Arial" w:eastAsia="Arial" w:hAnsi="Arial"/>
                <w:sz w:val="11"/>
                <w:szCs w:val="11"/>
                <w:b w:val="1"/>
                <w:bCs w:val="1"/>
                <w:color w:val="auto"/>
              </w:rPr>
              <w:t>Sources of net sales</w:t>
            </w:r>
          </w:p>
        </w:tc>
        <w:tc>
          <w:tcPr>
            <w:tcW w:w="340" w:type="dxa"/>
            <w:vAlign w:val="bottom"/>
          </w:tcPr>
          <w:p>
            <w:pPr>
              <w:spacing w:after="0"/>
              <w:rPr>
                <w:sz w:val="12"/>
                <w:szCs w:val="12"/>
                <w:color w:val="auto"/>
              </w:rPr>
            </w:pPr>
          </w:p>
        </w:tc>
        <w:tc>
          <w:tcPr>
            <w:tcW w:w="1080" w:type="dxa"/>
            <w:vAlign w:val="bottom"/>
          </w:tcPr>
          <w:p>
            <w:pPr>
              <w:jc w:val="right"/>
              <w:ind w:right="532"/>
              <w:spacing w:after="0"/>
              <w:rPr>
                <w:sz w:val="20"/>
                <w:szCs w:val="20"/>
                <w:color w:val="auto"/>
              </w:rPr>
            </w:pPr>
            <w:r>
              <w:rPr>
                <w:rFonts w:ascii="Arial" w:cs="Arial" w:eastAsia="Arial" w:hAnsi="Arial"/>
                <w:sz w:val="11"/>
                <w:szCs w:val="11"/>
                <w:b w:val="1"/>
                <w:bCs w:val="1"/>
                <w:color w:val="auto"/>
              </w:rPr>
              <w:t>2021</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40" w:type="dxa"/>
            <w:vAlign w:val="bottom"/>
            <w:gridSpan w:val="2"/>
          </w:tcPr>
          <w:p>
            <w:pPr>
              <w:ind w:left="200"/>
              <w:spacing w:after="0"/>
              <w:rPr>
                <w:sz w:val="20"/>
                <w:szCs w:val="20"/>
                <w:color w:val="auto"/>
              </w:rPr>
            </w:pPr>
            <w:r>
              <w:rPr>
                <w:rFonts w:ascii="Arial" w:cs="Arial" w:eastAsia="Arial" w:hAnsi="Arial"/>
                <w:sz w:val="11"/>
                <w:szCs w:val="11"/>
                <w:b w:val="1"/>
                <w:bCs w:val="1"/>
                <w:color w:val="auto"/>
              </w:rPr>
              <w:t>Amount</w:t>
            </w:r>
          </w:p>
        </w:tc>
        <w:tc>
          <w:tcPr>
            <w:tcW w:w="1020" w:type="dxa"/>
            <w:vAlign w:val="bottom"/>
          </w:tcPr>
          <w:p>
            <w:pPr>
              <w:jc w:val="right"/>
              <w:ind w:right="532"/>
              <w:spacing w:after="0"/>
              <w:rPr>
                <w:sz w:val="20"/>
                <w:szCs w:val="20"/>
                <w:color w:val="auto"/>
              </w:rPr>
            </w:pPr>
            <w:r>
              <w:rPr>
                <w:rFonts w:ascii="Arial" w:cs="Arial" w:eastAsia="Arial" w:hAnsi="Arial"/>
                <w:sz w:val="11"/>
                <w:szCs w:val="11"/>
                <w:b w:val="1"/>
                <w:bCs w:val="1"/>
                <w:color w:val="auto"/>
                <w:w w:val="99"/>
              </w:rPr>
              <w:t>Percent</w:t>
            </w:r>
          </w:p>
        </w:tc>
      </w:tr>
      <w:tr>
        <w:trPr>
          <w:trHeight w:val="133"/>
        </w:trPr>
        <w:tc>
          <w:tcPr>
            <w:tcW w:w="65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040" w:type="dxa"/>
            <w:vAlign w:val="bottom"/>
            <w:tcBorders>
              <w:top w:val="single" w:sz="8" w:color="auto"/>
            </w:tcBorders>
            <w:gridSpan w:val="3"/>
          </w:tcPr>
          <w:p>
            <w:pPr>
              <w:ind w:left="20"/>
              <w:spacing w:after="0"/>
              <w:rPr>
                <w:sz w:val="20"/>
                <w:szCs w:val="20"/>
                <w:color w:val="auto"/>
              </w:rPr>
            </w:pPr>
            <w:r>
              <w:rPr>
                <w:rFonts w:ascii="Arial" w:cs="Arial" w:eastAsia="Arial" w:hAnsi="Arial"/>
                <w:sz w:val="10"/>
                <w:szCs w:val="10"/>
                <w:b w:val="1"/>
                <w:bCs w:val="1"/>
                <w:color w:val="auto"/>
              </w:rPr>
              <w:t>(In thousands, except percent data)</w:t>
            </w:r>
          </w:p>
        </w:tc>
        <w:tc>
          <w:tcPr>
            <w:tcW w:w="1020" w:type="dxa"/>
            <w:vAlign w:val="bottom"/>
            <w:tcBorders>
              <w:top w:val="single" w:sz="8" w:color="auto"/>
            </w:tcBorders>
          </w:tcPr>
          <w:p>
            <w:pPr>
              <w:spacing w:after="0"/>
              <w:rPr>
                <w:sz w:val="11"/>
                <w:szCs w:val="11"/>
                <w:color w:val="auto"/>
              </w:rPr>
            </w:pPr>
          </w:p>
        </w:tc>
      </w:tr>
      <w:tr>
        <w:trPr>
          <w:trHeight w:val="188"/>
        </w:trPr>
        <w:tc>
          <w:tcPr>
            <w:tcW w:w="66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U.S.</w:t>
            </w: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9,113,879</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1,617,862</w:t>
            </w:r>
          </w:p>
        </w:tc>
        <w:tc>
          <w:tcPr>
            <w:tcW w:w="6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21.6 %</w:t>
            </w:r>
          </w:p>
        </w:tc>
      </w:tr>
      <w:tr>
        <w:trPr>
          <w:trHeight w:val="180"/>
        </w:trPr>
        <w:tc>
          <w:tcPr>
            <w:tcW w:w="6680" w:type="dxa"/>
            <w:vAlign w:val="bottom"/>
            <w:gridSpan w:val="2"/>
          </w:tcPr>
          <w:p>
            <w:pPr>
              <w:spacing w:after="0"/>
              <w:rPr>
                <w:sz w:val="20"/>
                <w:szCs w:val="20"/>
                <w:color w:val="auto"/>
              </w:rPr>
            </w:pPr>
            <w:r>
              <w:rPr>
                <w:rFonts w:ascii="Arial" w:cs="Arial" w:eastAsia="Arial" w:hAnsi="Arial"/>
                <w:sz w:val="14"/>
                <w:szCs w:val="14"/>
                <w:color w:val="auto"/>
              </w:rPr>
              <w:t>U.K. and Europe</w:t>
            </w: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3,934,062</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659,770</w:t>
            </w:r>
          </w:p>
        </w:tc>
        <w:tc>
          <w:tcPr>
            <w:tcW w:w="6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20.2 %</w:t>
            </w:r>
          </w:p>
        </w:tc>
      </w:tr>
      <w:tr>
        <w:trPr>
          <w:trHeight w:val="181"/>
        </w:trPr>
        <w:tc>
          <w:tcPr>
            <w:tcW w:w="66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Mexico</w:t>
            </w:r>
          </w:p>
        </w:tc>
        <w:tc>
          <w:tcPr>
            <w:tcW w:w="34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1,729,517</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407,925</w:t>
            </w:r>
          </w:p>
        </w:tc>
        <w:tc>
          <w:tcPr>
            <w:tcW w:w="6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30.9 %</w:t>
            </w:r>
          </w:p>
        </w:tc>
      </w:tr>
      <w:tr>
        <w:trPr>
          <w:trHeight w:val="171"/>
        </w:trPr>
        <w:tc>
          <w:tcPr>
            <w:tcW w:w="6680" w:type="dxa"/>
            <w:vAlign w:val="bottom"/>
            <w:gridSpan w:val="2"/>
          </w:tcPr>
          <w:p>
            <w:pPr>
              <w:ind w:left="160"/>
              <w:spacing w:after="0"/>
              <w:rPr>
                <w:sz w:val="20"/>
                <w:szCs w:val="20"/>
                <w:color w:val="auto"/>
              </w:rPr>
            </w:pPr>
            <w:r>
              <w:rPr>
                <w:rFonts w:ascii="Arial" w:cs="Arial" w:eastAsia="Arial" w:hAnsi="Arial"/>
                <w:sz w:val="14"/>
                <w:szCs w:val="14"/>
                <w:color w:val="auto"/>
              </w:rPr>
              <w:t>Total net sales</w:t>
            </w:r>
          </w:p>
        </w:tc>
        <w:tc>
          <w:tcPr>
            <w:tcW w:w="34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14,777,458</w:t>
            </w:r>
          </w:p>
        </w:tc>
        <w:tc>
          <w:tcPr>
            <w:tcW w:w="100" w:type="dxa"/>
            <w:vAlign w:val="bottom"/>
          </w:tcPr>
          <w:p>
            <w:pPr>
              <w:spacing w:after="0"/>
              <w:rPr>
                <w:sz w:val="14"/>
                <w:szCs w:val="14"/>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2,685,557</w:t>
            </w:r>
          </w:p>
        </w:tc>
        <w:tc>
          <w:tcPr>
            <w:tcW w:w="6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22.2 %</w:t>
            </w:r>
          </w:p>
        </w:tc>
      </w:tr>
      <w:tr>
        <w:trPr>
          <w:trHeight w:val="20"/>
        </w:trPr>
        <w:tc>
          <w:tcPr>
            <w:tcW w:w="6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117"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i w:val="1"/>
          <w:iCs w:val="1"/>
          <w:color w:val="auto"/>
        </w:rPr>
        <w:t xml:space="preserve">U.S. Reportable Segment. </w:t>
      </w:r>
      <w:r>
        <w:rPr>
          <w:rFonts w:ascii="Arial" w:cs="Arial" w:eastAsia="Arial" w:hAnsi="Arial"/>
          <w:sz w:val="14"/>
          <w:szCs w:val="14"/>
          <w:color w:val="auto"/>
        </w:rPr>
        <w:t>U.S. net sales generated in 2021 increased $1.6 billion, or 21.6%, from U.S. net sales generated in 2020 primarily because of an increase in net sales per pound,</w:t>
      </w:r>
      <w:r>
        <w:rPr>
          <w:rFonts w:ascii="Arial" w:cs="Arial" w:eastAsia="Arial" w:hAnsi="Arial"/>
          <w:sz w:val="14"/>
          <w:szCs w:val="14"/>
          <w:i w:val="1"/>
          <w:iCs w:val="1"/>
          <w:color w:val="auto"/>
        </w:rPr>
        <w:t xml:space="preserve"> </w:t>
      </w:r>
      <w:r>
        <w:rPr>
          <w:rFonts w:ascii="Arial" w:cs="Arial" w:eastAsia="Arial" w:hAnsi="Arial"/>
          <w:sz w:val="14"/>
          <w:szCs w:val="14"/>
          <w:color w:val="auto"/>
        </w:rPr>
        <w:t>contributing $1.7 billion, or 22.1 percentage points, to the increase in net sales. Unit sales prices have increased in the fourth quarter of 2021 as we attempted to recover the increased costs, primarily for feed ingredients, energy, transportation and packaging materials, that we have incurred in growing and processing chicken. This increase in net sales per pound was partially offset by $40.2 million, or 0.5 percentage points, due to a decrease in sales volume.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7" w:name="page28"/>
    <w:bookmarkEnd w:id="27"/>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-6985</wp:posOffset>
            </wp:positionV>
            <wp:extent cx="727075" cy="69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7075" cy="6985"/>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jc w:val="both"/>
        <w:ind w:firstLine="509"/>
        <w:spacing w:after="0" w:line="313" w:lineRule="auto"/>
        <w:rPr>
          <w:sz w:val="20"/>
          <w:szCs w:val="20"/>
          <w:color w:val="auto"/>
        </w:rPr>
      </w:pPr>
      <w:r>
        <w:rPr>
          <w:rFonts w:ascii="Arial" w:cs="Arial" w:eastAsia="Arial" w:hAnsi="Arial"/>
          <w:sz w:val="12"/>
          <w:szCs w:val="12"/>
          <w:i w:val="1"/>
          <w:iCs w:val="1"/>
          <w:color w:val="auto"/>
        </w:rPr>
        <w:t xml:space="preserve">U.K. and Europe Reportable Segment. </w:t>
      </w:r>
      <w:r>
        <w:rPr>
          <w:rFonts w:ascii="Arial" w:cs="Arial" w:eastAsia="Arial" w:hAnsi="Arial"/>
          <w:sz w:val="12"/>
          <w:szCs w:val="12"/>
          <w:color w:val="auto"/>
        </w:rPr>
        <w:t>U.K. and Europe sales generated in 2021 increased $659.8 million, or 20.2%, from U.K. and Europe sales generated in 2020, primarily because of the</w:t>
      </w:r>
      <w:r>
        <w:rPr>
          <w:rFonts w:ascii="Arial" w:cs="Arial" w:eastAsia="Arial" w:hAnsi="Arial"/>
          <w:sz w:val="12"/>
          <w:szCs w:val="12"/>
          <w:i w:val="1"/>
          <w:iCs w:val="1"/>
          <w:color w:val="auto"/>
        </w:rPr>
        <w:t xml:space="preserve"> </w:t>
      </w:r>
      <w:r>
        <w:rPr>
          <w:rFonts w:ascii="Arial" w:cs="Arial" w:eastAsia="Arial" w:hAnsi="Arial"/>
          <w:sz w:val="12"/>
          <w:szCs w:val="12"/>
          <w:color w:val="auto"/>
        </w:rPr>
        <w:t>recently acquired PFM operations, as well as an increase in net sales by our existing U.K. and Europe operations. The impact of the acquired business contributed $293.6 million, or 9.0 percentage points, to the increase in net sales. The increase in our existing U.K. and Europe operations was driven by an increase due to the favorable impact of foreign currency translation, an increase in sales volume and an increase in net sales per pound, contributing $248.8 million, or 7.6 percentage points, $111.7 million, or 3.4 percentage points, and $5.7 million, or 0.2 percentage points, respectively, to the increase in net sales. The increase in sales volume was primarily driven by increased sales in foodservice. The increase in net sales per pound was primarily driven by increased feed costs.</w:t>
      </w:r>
    </w:p>
    <w:p>
      <w:pPr>
        <w:spacing w:after="0" w:line="76"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i w:val="1"/>
          <w:iCs w:val="1"/>
          <w:color w:val="auto"/>
        </w:rPr>
        <w:t xml:space="preserve">Mexico Reportable Segment. </w:t>
      </w:r>
      <w:r>
        <w:rPr>
          <w:rFonts w:ascii="Arial" w:cs="Arial" w:eastAsia="Arial" w:hAnsi="Arial"/>
          <w:sz w:val="14"/>
          <w:szCs w:val="14"/>
          <w:color w:val="auto"/>
        </w:rPr>
        <w:t>Mexico sales generated in 2021 increased $407.9 million, or 30.9%, from Mexico sales generated in 2020 primarily because of an increase in net sales per</w:t>
      </w:r>
      <w:r>
        <w:rPr>
          <w:rFonts w:ascii="Arial" w:cs="Arial" w:eastAsia="Arial" w:hAnsi="Arial"/>
          <w:sz w:val="14"/>
          <w:szCs w:val="14"/>
          <w:i w:val="1"/>
          <w:iCs w:val="1"/>
          <w:color w:val="auto"/>
        </w:rPr>
        <w:t xml:space="preserve"> </w:t>
      </w:r>
      <w:r>
        <w:rPr>
          <w:rFonts w:ascii="Arial" w:cs="Arial" w:eastAsia="Arial" w:hAnsi="Arial"/>
          <w:sz w:val="14"/>
          <w:szCs w:val="14"/>
          <w:color w:val="auto"/>
        </w:rPr>
        <w:t>pound and the favorable impact of foreign currency remeasurement, partially offset by a decrease in sales volume. The increase in net sales per pound and the impact of the favorable impact of foreign currency remeasurement contributed $337.3 million, or 25.6 percentage points, and $99.3 million, or 7.5 percentage points, to the increase in net sales. Partially offsetting these increases in net sales by $28.7 million, or 2.2 percentage points, was a decrease in sales volume.</w:t>
      </w:r>
    </w:p>
    <w:p>
      <w:pPr>
        <w:spacing w:after="0" w:line="103" w:lineRule="exact"/>
        <w:rPr>
          <w:sz w:val="20"/>
          <w:szCs w:val="20"/>
          <w:color w:val="auto"/>
        </w:rPr>
      </w:pPr>
    </w:p>
    <w:p>
      <w:pPr>
        <w:ind w:left="520"/>
        <w:spacing w:after="0"/>
        <w:rPr>
          <w:sz w:val="20"/>
          <w:szCs w:val="20"/>
          <w:color w:val="auto"/>
        </w:rPr>
      </w:pPr>
      <w:r>
        <w:rPr>
          <w:rFonts w:ascii="Arial" w:cs="Arial" w:eastAsia="Arial" w:hAnsi="Arial"/>
          <w:sz w:val="13"/>
          <w:szCs w:val="13"/>
          <w:i w:val="1"/>
          <w:iCs w:val="1"/>
          <w:color w:val="auto"/>
        </w:rPr>
        <w:t xml:space="preserve">Gross profit. </w:t>
      </w:r>
      <w:r>
        <w:rPr>
          <w:rFonts w:ascii="Arial" w:cs="Arial" w:eastAsia="Arial" w:hAnsi="Arial"/>
          <w:sz w:val="13"/>
          <w:szCs w:val="13"/>
          <w:color w:val="auto"/>
        </w:rPr>
        <w:t>Gross profit increased by $527.6 million, or 62.9%, from $0.8 billion generated in 2020 to $1.4 billion generated in 2021. The following tables provide gross profit information:</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4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gridSpan w:val="5"/>
          </w:tcPr>
          <w:p>
            <w:pPr>
              <w:jc w:val="right"/>
              <w:spacing w:after="0"/>
              <w:rPr>
                <w:sz w:val="20"/>
                <w:szCs w:val="20"/>
                <w:color w:val="auto"/>
              </w:rPr>
            </w:pPr>
            <w:r>
              <w:rPr>
                <w:rFonts w:ascii="Arial" w:cs="Arial" w:eastAsia="Arial" w:hAnsi="Arial"/>
                <w:sz w:val="11"/>
                <w:szCs w:val="11"/>
                <w:b w:val="1"/>
                <w:bCs w:val="1"/>
                <w:color w:val="auto"/>
              </w:rPr>
              <w:t>Change from 2020</w:t>
            </w:r>
          </w:p>
        </w:tc>
        <w:tc>
          <w:tcPr>
            <w:tcW w:w="84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1"/>
                <w:szCs w:val="11"/>
                <w:b w:val="1"/>
                <w:bCs w:val="1"/>
                <w:color w:val="auto"/>
              </w:rPr>
              <w:t>Percent of Net Sales</w:t>
            </w:r>
          </w:p>
        </w:tc>
        <w:tc>
          <w:tcPr>
            <w:tcW w:w="8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540" w:type="dxa"/>
            <w:vAlign w:val="bottom"/>
            <w:gridSpan w:val="3"/>
          </w:tcPr>
          <w:p>
            <w:pPr>
              <w:ind w:left="20"/>
              <w:spacing w:after="0"/>
              <w:rPr>
                <w:sz w:val="20"/>
                <w:szCs w:val="20"/>
                <w:color w:val="auto"/>
              </w:rPr>
            </w:pPr>
            <w:r>
              <w:rPr>
                <w:rFonts w:ascii="Arial" w:cs="Arial" w:eastAsia="Arial" w:hAnsi="Arial"/>
                <w:sz w:val="11"/>
                <w:szCs w:val="11"/>
                <w:b w:val="1"/>
                <w:bCs w:val="1"/>
                <w:color w:val="auto"/>
              </w:rPr>
              <w:t>Components of gross profit</w:t>
            </w:r>
          </w:p>
        </w:tc>
        <w:tc>
          <w:tcPr>
            <w:tcW w:w="300" w:type="dxa"/>
            <w:vAlign w:val="bottom"/>
          </w:tcPr>
          <w:p>
            <w:pPr>
              <w:spacing w:after="0"/>
              <w:rPr>
                <w:sz w:val="12"/>
                <w:szCs w:val="12"/>
                <w:color w:val="auto"/>
              </w:rPr>
            </w:pPr>
          </w:p>
        </w:tc>
        <w:tc>
          <w:tcPr>
            <w:tcW w:w="920" w:type="dxa"/>
            <w:vAlign w:val="bottom"/>
          </w:tcPr>
          <w:p>
            <w:pPr>
              <w:jc w:val="right"/>
              <w:ind w:right="433"/>
              <w:spacing w:after="0"/>
              <w:rPr>
                <w:sz w:val="20"/>
                <w:szCs w:val="20"/>
                <w:color w:val="auto"/>
              </w:rPr>
            </w:pPr>
            <w:r>
              <w:rPr>
                <w:rFonts w:ascii="Arial" w:cs="Arial" w:eastAsia="Arial" w:hAnsi="Arial"/>
                <w:sz w:val="11"/>
                <w:szCs w:val="11"/>
                <w:b w:val="1"/>
                <w:bCs w:val="1"/>
                <w:color w:val="auto"/>
              </w:rPr>
              <w:t>2021</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20" w:type="dxa"/>
            <w:vAlign w:val="bottom"/>
            <w:gridSpan w:val="5"/>
          </w:tcPr>
          <w:p>
            <w:pPr>
              <w:jc w:val="right"/>
              <w:ind w:right="889"/>
              <w:spacing w:after="0"/>
              <w:rPr>
                <w:sz w:val="20"/>
                <w:szCs w:val="20"/>
                <w:color w:val="auto"/>
              </w:rPr>
            </w:pPr>
            <w:r>
              <w:rPr>
                <w:rFonts w:ascii="Arial" w:cs="Arial" w:eastAsia="Arial" w:hAnsi="Arial"/>
                <w:sz w:val="11"/>
                <w:szCs w:val="11"/>
                <w:b w:val="1"/>
                <w:bCs w:val="1"/>
                <w:color w:val="auto"/>
              </w:rPr>
              <w:t>Amount</w:t>
            </w:r>
          </w:p>
        </w:tc>
        <w:tc>
          <w:tcPr>
            <w:tcW w:w="840" w:type="dxa"/>
            <w:vAlign w:val="bottom"/>
          </w:tcPr>
          <w:p>
            <w:pPr>
              <w:jc w:val="right"/>
              <w:ind w:right="392"/>
              <w:spacing w:after="0"/>
              <w:rPr>
                <w:sz w:val="20"/>
                <w:szCs w:val="20"/>
                <w:color w:val="auto"/>
              </w:rPr>
            </w:pPr>
            <w:r>
              <w:rPr>
                <w:rFonts w:ascii="Arial" w:cs="Arial" w:eastAsia="Arial" w:hAnsi="Arial"/>
                <w:sz w:val="11"/>
                <w:szCs w:val="11"/>
                <w:b w:val="1"/>
                <w:bCs w:val="1"/>
                <w:color w:val="auto"/>
                <w:w w:val="89"/>
              </w:rPr>
              <w:t>Percent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jc w:val="center"/>
              <w:ind w:right="254"/>
              <w:spacing w:after="0"/>
              <w:rPr>
                <w:sz w:val="20"/>
                <w:szCs w:val="20"/>
                <w:color w:val="auto"/>
              </w:rPr>
            </w:pPr>
            <w:r>
              <w:rPr>
                <w:rFonts w:ascii="Arial" w:cs="Arial" w:eastAsia="Arial" w:hAnsi="Arial"/>
                <w:sz w:val="11"/>
                <w:szCs w:val="11"/>
                <w:b w:val="1"/>
                <w:bCs w:val="1"/>
                <w:color w:val="auto"/>
                <w:w w:val="89"/>
              </w:rPr>
              <w:t>2021</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40" w:type="dxa"/>
            <w:vAlign w:val="bottom"/>
          </w:tcPr>
          <w:p>
            <w:pPr>
              <w:jc w:val="right"/>
              <w:ind w:right="452"/>
              <w:spacing w:after="0"/>
              <w:rPr>
                <w:sz w:val="20"/>
                <w:szCs w:val="20"/>
                <w:color w:val="auto"/>
              </w:rPr>
            </w:pPr>
            <w:r>
              <w:rPr>
                <w:rFonts w:ascii="Arial" w:cs="Arial" w:eastAsia="Arial" w:hAnsi="Arial"/>
                <w:sz w:val="11"/>
                <w:szCs w:val="11"/>
                <w:b w:val="1"/>
                <w:bCs w:val="1"/>
                <w:color w:val="auto"/>
              </w:rPr>
              <w:t>2020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40" w:type="dxa"/>
            <w:vAlign w:val="bottom"/>
            <w:tcBorders>
              <w:top w:val="single" w:sz="8" w:color="auto"/>
            </w:tcBorders>
          </w:tcPr>
          <w:p>
            <w:pPr>
              <w:spacing w:after="0"/>
              <w:rPr>
                <w:sz w:val="11"/>
                <w:szCs w:val="11"/>
                <w:color w:val="auto"/>
              </w:rPr>
            </w:pPr>
          </w:p>
        </w:tc>
        <w:tc>
          <w:tcPr>
            <w:tcW w:w="44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820" w:type="dxa"/>
            <w:vAlign w:val="bottom"/>
            <w:tcBorders>
              <w:top w:val="single" w:sz="8" w:color="auto"/>
            </w:tcBorders>
            <w:gridSpan w:val="12"/>
          </w:tcPr>
          <w:p>
            <w:pPr>
              <w:jc w:val="right"/>
              <w:ind w:right="160"/>
              <w:spacing w:after="0"/>
              <w:rPr>
                <w:sz w:val="20"/>
                <w:szCs w:val="20"/>
                <w:color w:val="auto"/>
              </w:rPr>
            </w:pPr>
            <w:r>
              <w:rPr>
                <w:rFonts w:ascii="Arial" w:cs="Arial" w:eastAsia="Arial" w:hAnsi="Arial"/>
                <w:sz w:val="10"/>
                <w:szCs w:val="10"/>
                <w:b w:val="1"/>
                <w:bCs w:val="1"/>
                <w:color w:val="auto"/>
                <w:w w:val="93"/>
              </w:rPr>
              <w:t>(In thousands, except percent data)</w:t>
            </w:r>
          </w:p>
        </w:tc>
        <w:tc>
          <w:tcPr>
            <w:tcW w:w="9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45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Net sales</w:t>
            </w:r>
          </w:p>
        </w:tc>
        <w:tc>
          <w:tcPr>
            <w:tcW w:w="30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14,777,458</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2,685,557</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22.2 %</w:t>
            </w: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100.0 %</w:t>
            </w:r>
          </w:p>
        </w:tc>
        <w:tc>
          <w:tcPr>
            <w:tcW w:w="0" w:type="dxa"/>
            <w:vAlign w:val="bottom"/>
          </w:tcPr>
          <w:p>
            <w:pPr>
              <w:spacing w:after="0"/>
              <w:rPr>
                <w:sz w:val="1"/>
                <w:szCs w:val="1"/>
                <w:color w:val="auto"/>
              </w:rPr>
            </w:pPr>
          </w:p>
        </w:tc>
      </w:tr>
      <w:tr>
        <w:trPr>
          <w:trHeight w:val="180"/>
        </w:trPr>
        <w:tc>
          <w:tcPr>
            <w:tcW w:w="4540" w:type="dxa"/>
            <w:vAlign w:val="bottom"/>
            <w:tcBorders>
              <w:bottom w:val="single" w:sz="8" w:color="CCEEFF"/>
            </w:tcBorders>
            <w:gridSpan w:val="3"/>
          </w:tcPr>
          <w:p>
            <w:pPr>
              <w:ind w:left="20"/>
              <w:spacing w:after="0"/>
              <w:rPr>
                <w:sz w:val="20"/>
                <w:szCs w:val="20"/>
                <w:color w:val="auto"/>
              </w:rPr>
            </w:pPr>
            <w:r>
              <w:rPr>
                <w:rFonts w:ascii="Arial" w:cs="Arial" w:eastAsia="Arial" w:hAnsi="Arial"/>
                <w:sz w:val="14"/>
                <w:szCs w:val="14"/>
                <w:color w:val="auto"/>
              </w:rPr>
              <w:t>Cost of sales</w:t>
            </w:r>
          </w:p>
        </w:tc>
        <w:tc>
          <w:tcPr>
            <w:tcW w:w="3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13,411,631</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2,157,926</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8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19.2 %</w:t>
            </w:r>
          </w:p>
        </w:tc>
        <w:tc>
          <w:tcPr>
            <w:tcW w:w="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9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90.8 %</w:t>
            </w: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CCEEFF"/>
            </w:tcBorders>
          </w:tcPr>
          <w:p>
            <w:pPr>
              <w:spacing w:after="0"/>
              <w:rPr>
                <w:sz w:val="15"/>
                <w:szCs w:val="15"/>
                <w:color w:val="auto"/>
              </w:rPr>
            </w:pPr>
          </w:p>
        </w:tc>
        <w:tc>
          <w:tcPr>
            <w:tcW w:w="86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4"/>
                <w:szCs w:val="14"/>
                <w:color w:val="auto"/>
              </w:rPr>
              <w:t>93.1 %</w:t>
            </w:r>
          </w:p>
        </w:tc>
        <w:tc>
          <w:tcPr>
            <w:tcW w:w="0" w:type="dxa"/>
            <w:vAlign w:val="bottom"/>
          </w:tcPr>
          <w:p>
            <w:pPr>
              <w:spacing w:after="0"/>
              <w:rPr>
                <w:sz w:val="1"/>
                <w:szCs w:val="1"/>
                <w:color w:val="auto"/>
              </w:rPr>
            </w:pPr>
          </w:p>
        </w:tc>
      </w:tr>
      <w:tr>
        <w:trPr>
          <w:trHeight w:val="196"/>
        </w:trPr>
        <w:tc>
          <w:tcPr>
            <w:tcW w:w="40" w:type="dxa"/>
            <w:vAlign w:val="bottom"/>
            <w:tcBorders>
              <w:bottom w:val="single" w:sz="8" w:color="CCEEFF"/>
            </w:tcBorders>
            <w:shd w:val="clear" w:color="auto" w:fill="CCEEFF"/>
          </w:tcPr>
          <w:p>
            <w:pPr>
              <w:spacing w:after="0"/>
              <w:rPr>
                <w:sz w:val="16"/>
                <w:szCs w:val="16"/>
                <w:color w:val="auto"/>
              </w:rPr>
            </w:pPr>
          </w:p>
        </w:tc>
        <w:tc>
          <w:tcPr>
            <w:tcW w:w="45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Gross profit</w:t>
            </w:r>
          </w:p>
        </w:tc>
        <w:tc>
          <w:tcPr>
            <w:tcW w:w="30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1,365,827</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527,631</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62.9 %</w:t>
            </w:r>
          </w:p>
        </w:tc>
        <w:tc>
          <w:tcPr>
            <w:tcW w:w="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9.2 %</w:t>
            </w:r>
          </w:p>
        </w:tc>
        <w:tc>
          <w:tcPr>
            <w:tcW w:w="1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6.9 %</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44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CCEEFF"/>
            </w:tcBorders>
            <w:gridSpan w:val="3"/>
            <w:vMerge w:val="restart"/>
          </w:tcPr>
          <w:p>
            <w:pPr>
              <w:jc w:val="right"/>
              <w:ind w:right="20"/>
              <w:spacing w:after="0"/>
              <w:rPr>
                <w:sz w:val="20"/>
                <w:szCs w:val="20"/>
                <w:color w:val="auto"/>
              </w:rPr>
            </w:pPr>
            <w:r>
              <w:rPr>
                <w:rFonts w:ascii="Arial" w:cs="Arial" w:eastAsia="Arial" w:hAnsi="Arial"/>
                <w:sz w:val="11"/>
                <w:szCs w:val="11"/>
                <w:b w:val="1"/>
                <w:bCs w:val="1"/>
                <w:color w:val="auto"/>
              </w:rPr>
              <w:t>Change from 2020</w:t>
            </w:r>
          </w:p>
        </w:tc>
        <w:tc>
          <w:tcPr>
            <w:tcW w:w="8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4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vMerge w:val="continue"/>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4500" w:type="dxa"/>
            <w:vAlign w:val="bottom"/>
            <w:tcBorders>
              <w:bottom w:val="single" w:sz="8" w:color="auto"/>
            </w:tcBorders>
            <w:gridSpan w:val="2"/>
          </w:tcPr>
          <w:p>
            <w:pPr>
              <w:spacing w:after="0"/>
              <w:rPr>
                <w:sz w:val="20"/>
                <w:szCs w:val="20"/>
                <w:color w:val="auto"/>
              </w:rPr>
            </w:pPr>
            <w:r>
              <w:rPr>
                <w:rFonts w:ascii="Arial" w:cs="Arial" w:eastAsia="Arial" w:hAnsi="Arial"/>
                <w:sz w:val="11"/>
                <w:szCs w:val="11"/>
                <w:b w:val="1"/>
                <w:bCs w:val="1"/>
                <w:color w:val="auto"/>
              </w:rPr>
              <w:t>Sources of gross profit</w:t>
            </w: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2"/>
              <w:spacing w:after="0"/>
              <w:rPr>
                <w:sz w:val="20"/>
                <w:szCs w:val="20"/>
                <w:color w:val="auto"/>
              </w:rPr>
            </w:pPr>
            <w:r>
              <w:rPr>
                <w:rFonts w:ascii="Arial" w:cs="Arial" w:eastAsia="Arial" w:hAnsi="Arial"/>
                <w:sz w:val="11"/>
                <w:szCs w:val="11"/>
                <w:b w:val="1"/>
                <w:bCs w:val="1"/>
                <w:color w:val="auto"/>
              </w:rPr>
              <w:t>2021</w:t>
            </w: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34"/>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12"/>
              <w:spacing w:after="0"/>
              <w:rPr>
                <w:sz w:val="20"/>
                <w:szCs w:val="20"/>
                <w:color w:val="auto"/>
              </w:rPr>
            </w:pPr>
            <w:r>
              <w:rPr>
                <w:rFonts w:ascii="Arial" w:cs="Arial" w:eastAsia="Arial" w:hAnsi="Arial"/>
                <w:sz w:val="11"/>
                <w:szCs w:val="11"/>
                <w:b w:val="1"/>
                <w:bCs w:val="1"/>
                <w:color w:val="auto"/>
                <w:w w:val="84"/>
              </w:rPr>
              <w:t>Percent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40" w:type="dxa"/>
            <w:vAlign w:val="bottom"/>
          </w:tcPr>
          <w:p>
            <w:pPr>
              <w:spacing w:after="0"/>
              <w:rPr>
                <w:sz w:val="11"/>
                <w:szCs w:val="11"/>
                <w:color w:val="auto"/>
              </w:rPr>
            </w:pPr>
          </w:p>
        </w:tc>
        <w:tc>
          <w:tcPr>
            <w:tcW w:w="4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gridSpan w:val="4"/>
          </w:tcPr>
          <w:p>
            <w:pPr>
              <w:jc w:val="right"/>
              <w:spacing w:after="0"/>
              <w:rPr>
                <w:sz w:val="20"/>
                <w:szCs w:val="20"/>
                <w:color w:val="auto"/>
              </w:rPr>
            </w:pPr>
            <w:r>
              <w:rPr>
                <w:rFonts w:ascii="Arial" w:cs="Arial" w:eastAsia="Arial" w:hAnsi="Arial"/>
                <w:sz w:val="10"/>
                <w:szCs w:val="10"/>
                <w:b w:val="1"/>
                <w:bCs w:val="1"/>
                <w:color w:val="auto"/>
                <w:w w:val="81"/>
              </w:rPr>
              <w:t>(In</w:t>
            </w:r>
          </w:p>
        </w:tc>
        <w:tc>
          <w:tcPr>
            <w:tcW w:w="1300" w:type="dxa"/>
            <w:vAlign w:val="bottom"/>
            <w:gridSpan w:val="3"/>
          </w:tcPr>
          <w:p>
            <w:pPr>
              <w:ind w:left="20"/>
              <w:spacing w:after="0"/>
              <w:rPr>
                <w:sz w:val="20"/>
                <w:szCs w:val="20"/>
                <w:color w:val="auto"/>
              </w:rPr>
            </w:pPr>
            <w:r>
              <w:rPr>
                <w:rFonts w:ascii="Arial" w:cs="Arial" w:eastAsia="Arial" w:hAnsi="Arial"/>
                <w:sz w:val="10"/>
                <w:szCs w:val="10"/>
                <w:b w:val="1"/>
                <w:bCs w:val="1"/>
                <w:color w:val="auto"/>
                <w:w w:val="82"/>
              </w:rPr>
              <w:t>thousands, except percent data)</w:t>
            </w:r>
          </w:p>
        </w:tc>
        <w:tc>
          <w:tcPr>
            <w:tcW w:w="4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U.S.</w:t>
            </w:r>
          </w:p>
        </w:tc>
        <w:tc>
          <w:tcPr>
            <w:tcW w:w="3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520" w:type="dxa"/>
            <w:vAlign w:val="bottom"/>
            <w:gridSpan w:val="5"/>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90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925,920</w:t>
            </w:r>
          </w:p>
        </w:tc>
        <w:tc>
          <w:tcPr>
            <w:tcW w:w="360" w:type="dxa"/>
            <w:vAlign w:val="bottom"/>
            <w:gridSpan w:val="5"/>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425,455</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85.0 %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4500" w:type="dxa"/>
            <w:vAlign w:val="bottom"/>
            <w:gridSpan w:val="2"/>
          </w:tcPr>
          <w:p>
            <w:pPr>
              <w:spacing w:after="0"/>
              <w:rPr>
                <w:sz w:val="20"/>
                <w:szCs w:val="20"/>
                <w:color w:val="auto"/>
              </w:rPr>
            </w:pPr>
            <w:r>
              <w:rPr>
                <w:rFonts w:ascii="Arial" w:cs="Arial" w:eastAsia="Arial" w:hAnsi="Arial"/>
                <w:sz w:val="14"/>
                <w:szCs w:val="14"/>
                <w:color w:val="auto"/>
              </w:rPr>
              <w:t>U.K. and Europe</w:t>
            </w: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14"/>
                <w:szCs w:val="14"/>
                <w:color w:val="auto"/>
              </w:rPr>
              <w:t>164,224</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(54,103)</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(24.8)%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Mexico</w:t>
            </w:r>
          </w:p>
        </w:tc>
        <w:tc>
          <w:tcPr>
            <w:tcW w:w="3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275,629</w:t>
            </w: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156,698</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131.8 %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450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Elimination</w:t>
            </w:r>
          </w:p>
        </w:tc>
        <w:tc>
          <w:tcPr>
            <w:tcW w:w="300" w:type="dxa"/>
            <w:vAlign w:val="bottom"/>
            <w:tcBorders>
              <w:bottom w:val="single" w:sz="8" w:color="CCEEFF"/>
            </w:tcBorders>
          </w:tcPr>
          <w:p>
            <w:pPr>
              <w:spacing w:after="0"/>
              <w:rPr>
                <w:sz w:val="15"/>
                <w:szCs w:val="15"/>
                <w:color w:val="auto"/>
              </w:rPr>
            </w:pPr>
          </w:p>
        </w:tc>
        <w:tc>
          <w:tcPr>
            <w:tcW w:w="9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9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color w:val="auto"/>
              </w:rPr>
              <w:t>54</w:t>
            </w: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(419)</w:t>
            </w: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CCEEFF"/>
            </w:tcBorders>
          </w:tcPr>
          <w:p>
            <w:pPr>
              <w:spacing w:after="0"/>
              <w:rPr>
                <w:sz w:val="15"/>
                <w:szCs w:val="15"/>
                <w:color w:val="auto"/>
              </w:rPr>
            </w:pPr>
          </w:p>
        </w:tc>
        <w:tc>
          <w:tcPr>
            <w:tcW w:w="8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(88.6)%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6"/>
                <w:szCs w:val="16"/>
                <w:color w:val="auto"/>
              </w:rPr>
            </w:pPr>
          </w:p>
        </w:tc>
        <w:tc>
          <w:tcPr>
            <w:tcW w:w="45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4"/>
                <w:szCs w:val="14"/>
                <w:color w:val="auto"/>
              </w:rPr>
              <w:t>Total gross profit</w:t>
            </w:r>
          </w:p>
        </w:tc>
        <w:tc>
          <w:tcPr>
            <w:tcW w:w="3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gridSpan w:val="2"/>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1,365,827</w:t>
            </w:r>
          </w:p>
        </w:tc>
        <w:tc>
          <w:tcPr>
            <w:tcW w:w="60" w:type="dxa"/>
            <w:vAlign w:val="bottom"/>
            <w:tcBorders>
              <w:bottom w:val="single" w:sz="8" w:color="auto"/>
            </w:tcBorders>
            <w:gridSpan w:val="2"/>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527,631</w:t>
            </w:r>
          </w:p>
        </w:tc>
        <w:tc>
          <w:tcPr>
            <w:tcW w:w="1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62.9 %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4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4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1"/>
                <w:szCs w:val="11"/>
                <w:b w:val="1"/>
                <w:bCs w:val="1"/>
                <w:color w:val="auto"/>
              </w:rPr>
              <w:t>Change from 2020</w:t>
            </w:r>
          </w:p>
        </w:tc>
        <w:tc>
          <w:tcPr>
            <w:tcW w:w="84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4500" w:type="dxa"/>
            <w:vAlign w:val="bottom"/>
            <w:tcBorders>
              <w:bottom w:val="single" w:sz="8" w:color="auto"/>
            </w:tcBorders>
            <w:gridSpan w:val="2"/>
          </w:tcPr>
          <w:p>
            <w:pPr>
              <w:spacing w:after="0"/>
              <w:rPr>
                <w:sz w:val="20"/>
                <w:szCs w:val="20"/>
                <w:color w:val="auto"/>
              </w:rPr>
            </w:pPr>
            <w:r>
              <w:rPr>
                <w:rFonts w:ascii="Arial" w:cs="Arial" w:eastAsia="Arial" w:hAnsi="Arial"/>
                <w:sz w:val="11"/>
                <w:szCs w:val="11"/>
                <w:b w:val="1"/>
                <w:bCs w:val="1"/>
                <w:color w:val="auto"/>
              </w:rPr>
              <w:t>Sources of cost of sales</w:t>
            </w: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92"/>
              <w:spacing w:after="0"/>
              <w:rPr>
                <w:sz w:val="20"/>
                <w:szCs w:val="20"/>
                <w:color w:val="auto"/>
              </w:rPr>
            </w:pPr>
            <w:r>
              <w:rPr>
                <w:rFonts w:ascii="Arial" w:cs="Arial" w:eastAsia="Arial" w:hAnsi="Arial"/>
                <w:sz w:val="11"/>
                <w:szCs w:val="11"/>
                <w:b w:val="1"/>
                <w:bCs w:val="1"/>
                <w:color w:val="auto"/>
              </w:rPr>
              <w:t>2021</w:t>
            </w:r>
          </w:p>
        </w:tc>
        <w:tc>
          <w:tcPr>
            <w:tcW w:w="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234"/>
              <w:spacing w:after="0"/>
              <w:rPr>
                <w:sz w:val="20"/>
                <w:szCs w:val="20"/>
                <w:color w:val="auto"/>
              </w:rPr>
            </w:pPr>
            <w:r>
              <w:rPr>
                <w:rFonts w:ascii="Arial" w:cs="Arial" w:eastAsia="Arial" w:hAnsi="Arial"/>
                <w:sz w:val="11"/>
                <w:szCs w:val="11"/>
                <w:b w:val="1"/>
                <w:bCs w:val="1"/>
                <w:color w:val="auto"/>
                <w:w w:val="96"/>
              </w:rPr>
              <w:t>Amount</w:t>
            </w: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12"/>
              <w:spacing w:after="0"/>
              <w:rPr>
                <w:sz w:val="20"/>
                <w:szCs w:val="20"/>
                <w:color w:val="auto"/>
              </w:rPr>
            </w:pPr>
            <w:r>
              <w:rPr>
                <w:rFonts w:ascii="Arial" w:cs="Arial" w:eastAsia="Arial" w:hAnsi="Arial"/>
                <w:sz w:val="11"/>
                <w:szCs w:val="11"/>
                <w:b w:val="1"/>
                <w:bCs w:val="1"/>
                <w:color w:val="auto"/>
                <w:w w:val="84"/>
              </w:rPr>
              <w:t>Percent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40" w:type="dxa"/>
            <w:vAlign w:val="bottom"/>
          </w:tcPr>
          <w:p>
            <w:pPr>
              <w:spacing w:after="0"/>
              <w:rPr>
                <w:sz w:val="11"/>
                <w:szCs w:val="11"/>
                <w:color w:val="auto"/>
              </w:rPr>
            </w:pPr>
          </w:p>
        </w:tc>
        <w:tc>
          <w:tcPr>
            <w:tcW w:w="4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960" w:type="dxa"/>
            <w:vAlign w:val="bottom"/>
            <w:gridSpan w:val="10"/>
          </w:tcPr>
          <w:p>
            <w:pPr>
              <w:jc w:val="center"/>
              <w:ind w:right="440"/>
              <w:spacing w:after="0"/>
              <w:rPr>
                <w:sz w:val="20"/>
                <w:szCs w:val="20"/>
                <w:color w:val="auto"/>
              </w:rPr>
            </w:pPr>
            <w:r>
              <w:rPr>
                <w:rFonts w:ascii="Arial" w:cs="Arial" w:eastAsia="Arial" w:hAnsi="Arial"/>
                <w:sz w:val="10"/>
                <w:szCs w:val="10"/>
                <w:b w:val="1"/>
                <w:bCs w:val="1"/>
                <w:color w:val="auto"/>
                <w:w w:val="87"/>
              </w:rPr>
              <w:t>(In thousands, except percent data)</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U.S.</w:t>
            </w:r>
          </w:p>
        </w:tc>
        <w:tc>
          <w:tcPr>
            <w:tcW w:w="3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6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8,187,959</w:t>
            </w: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60" w:type="dxa"/>
            <w:vAlign w:val="bottom"/>
            <w:gridSpan w:val="5"/>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1,192,407</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4500" w:type="dxa"/>
            <w:vAlign w:val="bottom"/>
            <w:gridSpan w:val="2"/>
          </w:tcPr>
          <w:p>
            <w:pPr>
              <w:spacing w:after="0"/>
              <w:rPr>
                <w:sz w:val="20"/>
                <w:szCs w:val="20"/>
                <w:color w:val="auto"/>
              </w:rPr>
            </w:pPr>
            <w:r>
              <w:rPr>
                <w:rFonts w:ascii="Arial" w:cs="Arial" w:eastAsia="Arial" w:hAnsi="Arial"/>
                <w:sz w:val="14"/>
                <w:szCs w:val="14"/>
                <w:color w:val="auto"/>
              </w:rPr>
              <w:t>U.K. and Europe</w:t>
            </w: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3,769,838</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713,873</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23.4 %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Mexico</w:t>
            </w:r>
          </w:p>
        </w:tc>
        <w:tc>
          <w:tcPr>
            <w:tcW w:w="3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1,453,888</w:t>
            </w: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251,227</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4500" w:type="dxa"/>
            <w:vAlign w:val="bottom"/>
            <w:tcBorders>
              <w:bottom w:val="single" w:sz="8" w:color="CCEEFF"/>
            </w:tcBorders>
            <w:gridSpan w:val="2"/>
          </w:tcPr>
          <w:p>
            <w:pPr>
              <w:spacing w:after="0" w:line="181" w:lineRule="exact"/>
              <w:rPr>
                <w:sz w:val="20"/>
                <w:szCs w:val="20"/>
                <w:color w:val="auto"/>
              </w:rPr>
            </w:pPr>
            <w:r>
              <w:rPr>
                <w:rFonts w:ascii="Arial" w:cs="Arial" w:eastAsia="Arial" w:hAnsi="Arial"/>
                <w:sz w:val="14"/>
                <w:szCs w:val="14"/>
                <w:color w:val="auto"/>
              </w:rPr>
              <w:t>Elimination</w:t>
            </w:r>
            <w:r>
              <w:rPr>
                <w:rFonts w:ascii="Arial" w:cs="Arial" w:eastAsia="Arial" w:hAnsi="Arial"/>
                <w:sz w:val="18"/>
                <w:szCs w:val="18"/>
                <w:color w:val="auto"/>
                <w:vertAlign w:val="superscript"/>
              </w:rPr>
              <w:t>(a)</w:t>
            </w:r>
          </w:p>
        </w:tc>
        <w:tc>
          <w:tcPr>
            <w:tcW w:w="300" w:type="dxa"/>
            <w:vAlign w:val="bottom"/>
            <w:tcBorders>
              <w:bottom w:val="single" w:sz="8" w:color="CCEEFF"/>
            </w:tcBorders>
          </w:tcPr>
          <w:p>
            <w:pPr>
              <w:spacing w:after="0"/>
              <w:rPr>
                <w:sz w:val="15"/>
                <w:szCs w:val="15"/>
                <w:color w:val="auto"/>
              </w:rPr>
            </w:pPr>
          </w:p>
        </w:tc>
        <w:tc>
          <w:tcPr>
            <w:tcW w:w="9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9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(54)</w:t>
            </w:r>
          </w:p>
        </w:tc>
        <w:tc>
          <w:tcPr>
            <w:tcW w:w="2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419</w:t>
            </w: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CCEEFF"/>
            </w:tcBorders>
          </w:tcPr>
          <w:p>
            <w:pPr>
              <w:spacing w:after="0"/>
              <w:rPr>
                <w:sz w:val="15"/>
                <w:szCs w:val="15"/>
                <w:color w:val="auto"/>
              </w:rPr>
            </w:pPr>
          </w:p>
        </w:tc>
        <w:tc>
          <w:tcPr>
            <w:tcW w:w="8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(88.6)%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6"/>
                <w:szCs w:val="16"/>
                <w:color w:val="auto"/>
              </w:rPr>
            </w:pPr>
          </w:p>
        </w:tc>
        <w:tc>
          <w:tcPr>
            <w:tcW w:w="45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4"/>
                <w:szCs w:val="14"/>
                <w:color w:val="auto"/>
              </w:rPr>
              <w:t>Total cost of sales</w:t>
            </w:r>
          </w:p>
        </w:tc>
        <w:tc>
          <w:tcPr>
            <w:tcW w:w="3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gridSpan w:val="2"/>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26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13,411,631</w:t>
            </w:r>
          </w:p>
        </w:tc>
        <w:tc>
          <w:tcPr>
            <w:tcW w:w="4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gridSpan w:val="3"/>
            <w:shd w:val="clear" w:color="auto" w:fill="CCEEFF"/>
          </w:tcPr>
          <w:p>
            <w:pPr>
              <w:spacing w:after="0"/>
              <w:rPr>
                <w:sz w:val="16"/>
                <w:szCs w:val="16"/>
                <w:color w:val="auto"/>
              </w:rPr>
            </w:pPr>
          </w:p>
        </w:tc>
        <w:tc>
          <w:tcPr>
            <w:tcW w:w="28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2,157,926</w:t>
            </w:r>
          </w:p>
        </w:tc>
        <w:tc>
          <w:tcPr>
            <w:tcW w:w="1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19.2 %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4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 w:lineRule="exact"/>
        <w:rPr>
          <w:sz w:val="20"/>
          <w:szCs w:val="20"/>
          <w:color w:val="auto"/>
        </w:rPr>
      </w:pPr>
    </w:p>
    <w:p>
      <w:pPr>
        <w:ind w:left="520" w:hanging="515"/>
        <w:spacing w:after="0"/>
        <w:tabs>
          <w:tab w:leader="none" w:pos="520" w:val="left"/>
        </w:tabs>
        <w:numPr>
          <w:ilvl w:val="0"/>
          <w:numId w:val="13"/>
        </w:numPr>
        <w:rPr>
          <w:rFonts w:ascii="Arial" w:cs="Arial" w:eastAsia="Arial" w:hAnsi="Arial"/>
          <w:sz w:val="11"/>
          <w:szCs w:val="11"/>
          <w:color w:val="auto"/>
        </w:rPr>
      </w:pPr>
      <w:r>
        <w:rPr>
          <w:rFonts w:ascii="Arial" w:cs="Arial" w:eastAsia="Arial" w:hAnsi="Arial"/>
          <w:sz w:val="11"/>
          <w:szCs w:val="11"/>
          <w:color w:val="auto"/>
        </w:rPr>
        <w:t>Our Consolidated Financial Statements include the accounts of our company and our majority owned subsidiaries. We eliminate all significant affiliate accounts and transactions upon consolidation.</w:t>
      </w:r>
    </w:p>
    <w:p>
      <w:pPr>
        <w:spacing w:after="0" w:line="133" w:lineRule="exact"/>
        <w:rPr>
          <w:sz w:val="20"/>
          <w:szCs w:val="20"/>
          <w:color w:val="auto"/>
        </w:rPr>
      </w:pPr>
    </w:p>
    <w:p>
      <w:pPr>
        <w:jc w:val="both"/>
        <w:ind w:firstLine="509"/>
        <w:spacing w:after="0" w:line="258" w:lineRule="auto"/>
        <w:rPr>
          <w:sz w:val="20"/>
          <w:szCs w:val="20"/>
          <w:color w:val="auto"/>
        </w:rPr>
      </w:pPr>
      <w:r>
        <w:rPr>
          <w:rFonts w:ascii="Arial" w:cs="Arial" w:eastAsia="Arial" w:hAnsi="Arial"/>
          <w:sz w:val="14"/>
          <w:szCs w:val="14"/>
          <w:i w:val="1"/>
          <w:iCs w:val="1"/>
          <w:color w:val="auto"/>
        </w:rPr>
        <w:t xml:space="preserve">U.S. Reportable Segment. </w:t>
      </w:r>
      <w:r>
        <w:rPr>
          <w:rFonts w:ascii="Arial" w:cs="Arial" w:eastAsia="Arial" w:hAnsi="Arial"/>
          <w:sz w:val="14"/>
          <w:szCs w:val="14"/>
          <w:color w:val="auto"/>
        </w:rPr>
        <w:t>Cost of sales incurred by our U.S. operations in 2021 increased $1.2 billion, or 17.0%, from cost of sales incurred by our U.S. operations in 2020. Cost of sales</w:t>
      </w:r>
      <w:r>
        <w:rPr>
          <w:rFonts w:ascii="Arial" w:cs="Arial" w:eastAsia="Arial" w:hAnsi="Arial"/>
          <w:sz w:val="14"/>
          <w:szCs w:val="14"/>
          <w:i w:val="1"/>
          <w:iCs w:val="1"/>
          <w:color w:val="auto"/>
        </w:rPr>
        <w:t xml:space="preserve"> </w:t>
      </w:r>
      <w:r>
        <w:rPr>
          <w:rFonts w:ascii="Arial" w:cs="Arial" w:eastAsia="Arial" w:hAnsi="Arial"/>
          <w:sz w:val="14"/>
          <w:szCs w:val="14"/>
          <w:color w:val="auto"/>
        </w:rPr>
        <w:t>increased primarily because of increased cost per pound sold of $1.2 billion, or 17.5 percentage points, partially offset by a decrease in sales volume of $37.5 million, or 0.5 percentage points. Included in the increase in cost per pound sold and increased sales volume was an $870.2 million increase in live input costs, a $158.7 million increase in prepared foods purchases, a $90.5 million increase in payroll costs, a $45.0 million increase in outside service costs primarily from increased outside processing labor, a $24.8 million increase in depreciation charges and an $18.9 million increase in freight charges. Included in the $870.2 million increase in live input costs were a $746.5 million increase in feed costs, $73.5 million increase in chick costs, and a $35.0 million increase in contract grower costs. Other factors affecting U.S. cost of sales were individually immaterial.</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8" w:name="page29"/>
    <w:bookmarkEnd w:id="28"/>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-6985</wp:posOffset>
            </wp:positionV>
            <wp:extent cx="727075" cy="69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7075" cy="6985"/>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4"/>
          <w:szCs w:val="14"/>
          <w:i w:val="1"/>
          <w:iCs w:val="1"/>
          <w:color w:val="auto"/>
        </w:rPr>
        <w:t xml:space="preserve">U.K. and Europe Reportable Segment. </w:t>
      </w:r>
      <w:r>
        <w:rPr>
          <w:rFonts w:ascii="Arial" w:cs="Arial" w:eastAsia="Arial" w:hAnsi="Arial"/>
          <w:sz w:val="14"/>
          <w:szCs w:val="14"/>
          <w:color w:val="auto"/>
        </w:rPr>
        <w:t>Cost of sales incurred by the U.K. and Europe operations during 2021 increased $713.9 million, or 23.4%, from cost of sales incurred by the U.K. and</w:t>
      </w:r>
      <w:r>
        <w:rPr>
          <w:rFonts w:ascii="Arial" w:cs="Arial" w:eastAsia="Arial" w:hAnsi="Arial"/>
          <w:sz w:val="14"/>
          <w:szCs w:val="14"/>
          <w:i w:val="1"/>
          <w:iCs w:val="1"/>
          <w:color w:val="auto"/>
        </w:rPr>
        <w:t xml:space="preserve"> </w:t>
      </w:r>
      <w:r>
        <w:rPr>
          <w:rFonts w:ascii="Arial" w:cs="Arial" w:eastAsia="Arial" w:hAnsi="Arial"/>
          <w:sz w:val="14"/>
          <w:szCs w:val="14"/>
          <w:color w:val="auto"/>
        </w:rPr>
        <w:t>Europe operations during 2020 primarily because of costs incurred by the acquired PFM operations and from increases in cost of sales incurred by our existing U.K. and Europe operations. Cost of sales related to the existing U.K. and Europe operations increased due to an increase in sales volume, an increase in cost per pound sold and the unfavorable impact of foreign currency translation and the impact of the acquired businesses of $323.5 million, or 10.6 percentage points, $100.5 million, or 3.3 percentage points, and $289.9 million, or 9.5 percentage points, respectively. Other factors affecting cost of sales were individually immaterial.</w:t>
      </w:r>
    </w:p>
    <w:p>
      <w:pPr>
        <w:spacing w:after="0" w:line="104"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i w:val="1"/>
          <w:iCs w:val="1"/>
          <w:color w:val="auto"/>
        </w:rPr>
        <w:t xml:space="preserve">Mexico Reportable Segment. </w:t>
      </w:r>
      <w:r>
        <w:rPr>
          <w:rFonts w:ascii="Arial" w:cs="Arial" w:eastAsia="Arial" w:hAnsi="Arial"/>
          <w:sz w:val="14"/>
          <w:szCs w:val="14"/>
          <w:color w:val="auto"/>
        </w:rPr>
        <w:t>Cost of sales incurred by the Mexico operations during 2021 increased $251.2 million, or 20.9%, from cost of sales incurred by the Mexico operations during</w:t>
      </w:r>
      <w:r>
        <w:rPr>
          <w:rFonts w:ascii="Arial" w:cs="Arial" w:eastAsia="Arial" w:hAnsi="Arial"/>
          <w:sz w:val="14"/>
          <w:szCs w:val="14"/>
          <w:i w:val="1"/>
          <w:iCs w:val="1"/>
          <w:color w:val="auto"/>
        </w:rPr>
        <w:t xml:space="preserve"> </w:t>
      </w:r>
      <w:r>
        <w:rPr>
          <w:rFonts w:ascii="Arial" w:cs="Arial" w:eastAsia="Arial" w:hAnsi="Arial"/>
          <w:sz w:val="14"/>
          <w:szCs w:val="14"/>
          <w:color w:val="auto"/>
        </w:rPr>
        <w:t>2020 primarily because of an increase in cost per pound sold and the unfavorable impact of foreign currency remeasurement of $193.8 million, or 16.2 percentage points, and $83.5 million, or 6.9 percentage points, respectively. Partially offsetting these increases in cost of sales was a decrease of $26.1 million, or 2.2 percentage points in sales volume. Other factors affecting cost of sales were individually immaterial.</w:t>
      </w:r>
    </w:p>
    <w:p>
      <w:pPr>
        <w:spacing w:after="0" w:line="103" w:lineRule="exact"/>
        <w:rPr>
          <w:sz w:val="20"/>
          <w:szCs w:val="20"/>
          <w:color w:val="auto"/>
        </w:rPr>
      </w:pPr>
    </w:p>
    <w:p>
      <w:pPr>
        <w:jc w:val="both"/>
        <w:ind w:firstLine="509"/>
        <w:spacing w:after="0" w:line="281" w:lineRule="auto"/>
        <w:rPr>
          <w:sz w:val="20"/>
          <w:szCs w:val="20"/>
          <w:color w:val="auto"/>
        </w:rPr>
      </w:pPr>
      <w:r>
        <w:rPr>
          <w:rFonts w:ascii="Arial" w:cs="Arial" w:eastAsia="Arial" w:hAnsi="Arial"/>
          <w:sz w:val="14"/>
          <w:szCs w:val="14"/>
          <w:i w:val="1"/>
          <w:iCs w:val="1"/>
          <w:color w:val="auto"/>
        </w:rPr>
        <w:t xml:space="preserve">Operating income. </w:t>
      </w:r>
      <w:r>
        <w:rPr>
          <w:rFonts w:ascii="Arial" w:cs="Arial" w:eastAsia="Arial" w:hAnsi="Arial"/>
          <w:sz w:val="14"/>
          <w:szCs w:val="14"/>
          <w:color w:val="auto"/>
        </w:rPr>
        <w:t>Operating income decreased $34.3 million, or 14.0%, from $245.5 million generated for 2020 to $211.2 million generated for 2021. The following tables provide</w:t>
      </w:r>
      <w:r>
        <w:rPr>
          <w:rFonts w:ascii="Arial" w:cs="Arial" w:eastAsia="Arial" w:hAnsi="Arial"/>
          <w:sz w:val="14"/>
          <w:szCs w:val="14"/>
          <w:i w:val="1"/>
          <w:iCs w:val="1"/>
          <w:color w:val="auto"/>
        </w:rPr>
        <w:t xml:space="preserve"> </w:t>
      </w:r>
      <w:r>
        <w:rPr>
          <w:rFonts w:ascii="Arial" w:cs="Arial" w:eastAsia="Arial" w:hAnsi="Arial"/>
          <w:sz w:val="14"/>
          <w:szCs w:val="14"/>
          <w:color w:val="auto"/>
        </w:rPr>
        <w:t>operating income information:</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gridSpan w:val="2"/>
          </w:tcPr>
          <w:p>
            <w:pPr>
              <w:ind w:left="660"/>
              <w:spacing w:after="0"/>
              <w:rPr>
                <w:sz w:val="20"/>
                <w:szCs w:val="20"/>
                <w:color w:val="auto"/>
              </w:rPr>
            </w:pPr>
            <w:r>
              <w:rPr>
                <w:rFonts w:ascii="Arial" w:cs="Arial" w:eastAsia="Arial" w:hAnsi="Arial"/>
                <w:sz w:val="11"/>
                <w:szCs w:val="11"/>
                <w:b w:val="1"/>
                <w:bCs w:val="1"/>
                <w:color w:val="auto"/>
                <w:w w:val="94"/>
              </w:rPr>
              <w:t>Change from 2020</w:t>
            </w:r>
          </w:p>
        </w:tc>
        <w:tc>
          <w:tcPr>
            <w:tcW w:w="2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5"/>
          </w:tcPr>
          <w:p>
            <w:pPr>
              <w:ind w:left="60"/>
              <w:spacing w:after="0"/>
              <w:rPr>
                <w:sz w:val="20"/>
                <w:szCs w:val="20"/>
                <w:color w:val="auto"/>
              </w:rPr>
            </w:pPr>
            <w:r>
              <w:rPr>
                <w:rFonts w:ascii="Arial" w:cs="Arial" w:eastAsia="Arial" w:hAnsi="Arial"/>
                <w:sz w:val="11"/>
                <w:szCs w:val="11"/>
                <w:b w:val="1"/>
                <w:bCs w:val="1"/>
                <w:color w:val="auto"/>
                <w:w w:val="95"/>
              </w:rPr>
              <w:t>Percent of Net Sales</w:t>
            </w:r>
          </w:p>
        </w:tc>
        <w:tc>
          <w:tcPr>
            <w:tcW w:w="8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r>
      <w:tr>
        <w:trPr>
          <w:trHeight w:val="147"/>
        </w:trPr>
        <w:tc>
          <w:tcPr>
            <w:tcW w:w="20" w:type="dxa"/>
            <w:vAlign w:val="bottom"/>
          </w:tcPr>
          <w:p>
            <w:pPr>
              <w:spacing w:after="0"/>
              <w:rPr>
                <w:sz w:val="12"/>
                <w:szCs w:val="12"/>
                <w:color w:val="auto"/>
              </w:rPr>
            </w:pPr>
          </w:p>
        </w:tc>
        <w:tc>
          <w:tcPr>
            <w:tcW w:w="4220" w:type="dxa"/>
            <w:vAlign w:val="bottom"/>
            <w:gridSpan w:val="2"/>
          </w:tcPr>
          <w:p>
            <w:pPr>
              <w:spacing w:after="0"/>
              <w:rPr>
                <w:sz w:val="20"/>
                <w:szCs w:val="20"/>
                <w:color w:val="auto"/>
              </w:rPr>
            </w:pPr>
            <w:r>
              <w:rPr>
                <w:rFonts w:ascii="Arial" w:cs="Arial" w:eastAsia="Arial" w:hAnsi="Arial"/>
                <w:sz w:val="11"/>
                <w:szCs w:val="11"/>
                <w:b w:val="1"/>
                <w:bCs w:val="1"/>
                <w:color w:val="auto"/>
              </w:rPr>
              <w:t>Components of operating income</w:t>
            </w:r>
          </w:p>
        </w:tc>
        <w:tc>
          <w:tcPr>
            <w:tcW w:w="320" w:type="dxa"/>
            <w:vAlign w:val="bottom"/>
          </w:tcPr>
          <w:p>
            <w:pPr>
              <w:spacing w:after="0"/>
              <w:rPr>
                <w:sz w:val="12"/>
                <w:szCs w:val="12"/>
                <w:color w:val="auto"/>
              </w:rPr>
            </w:pPr>
          </w:p>
        </w:tc>
        <w:tc>
          <w:tcPr>
            <w:tcW w:w="960" w:type="dxa"/>
            <w:vAlign w:val="bottom"/>
          </w:tcPr>
          <w:p>
            <w:pPr>
              <w:jc w:val="right"/>
              <w:ind w:right="452"/>
              <w:spacing w:after="0"/>
              <w:rPr>
                <w:sz w:val="20"/>
                <w:szCs w:val="20"/>
                <w:color w:val="auto"/>
              </w:rPr>
            </w:pPr>
            <w:r>
              <w:rPr>
                <w:rFonts w:ascii="Arial" w:cs="Arial" w:eastAsia="Arial" w:hAnsi="Arial"/>
                <w:sz w:val="11"/>
                <w:szCs w:val="11"/>
                <w:b w:val="1"/>
                <w:bCs w:val="1"/>
                <w:color w:val="auto"/>
              </w:rPr>
              <w:t>2021</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80" w:type="dxa"/>
            <w:vAlign w:val="bottom"/>
            <w:gridSpan w:val="2"/>
          </w:tcPr>
          <w:p>
            <w:pPr>
              <w:ind w:left="180"/>
              <w:spacing w:after="0"/>
              <w:rPr>
                <w:sz w:val="20"/>
                <w:szCs w:val="20"/>
                <w:color w:val="auto"/>
              </w:rPr>
            </w:pPr>
            <w:r>
              <w:rPr>
                <w:rFonts w:ascii="Arial" w:cs="Arial" w:eastAsia="Arial" w:hAnsi="Arial"/>
                <w:sz w:val="11"/>
                <w:szCs w:val="11"/>
                <w:b w:val="1"/>
                <w:bCs w:val="1"/>
                <w:color w:val="auto"/>
              </w:rPr>
              <w:t>Amount</w:t>
            </w:r>
          </w:p>
        </w:tc>
        <w:tc>
          <w:tcPr>
            <w:tcW w:w="400" w:type="dxa"/>
            <w:vAlign w:val="bottom"/>
            <w:gridSpan w:val="5"/>
          </w:tcPr>
          <w:p>
            <w:pPr>
              <w:jc w:val="right"/>
              <w:spacing w:after="0"/>
              <w:rPr>
                <w:sz w:val="20"/>
                <w:szCs w:val="20"/>
                <w:color w:val="auto"/>
              </w:rPr>
            </w:pPr>
            <w:r>
              <w:rPr>
                <w:rFonts w:ascii="Arial" w:cs="Arial" w:eastAsia="Arial" w:hAnsi="Arial"/>
                <w:sz w:val="11"/>
                <w:szCs w:val="11"/>
                <w:b w:val="1"/>
                <w:bCs w:val="1"/>
                <w:color w:val="auto"/>
                <w:w w:val="89"/>
              </w:rPr>
              <w:t>Percent</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gridSpan w:val="3"/>
          </w:tcPr>
          <w:p>
            <w:pPr>
              <w:jc w:val="center"/>
              <w:spacing w:after="0"/>
              <w:rPr>
                <w:sz w:val="20"/>
                <w:szCs w:val="20"/>
                <w:color w:val="auto"/>
              </w:rPr>
            </w:pPr>
            <w:r>
              <w:rPr>
                <w:rFonts w:ascii="Arial" w:cs="Arial" w:eastAsia="Arial" w:hAnsi="Arial"/>
                <w:sz w:val="11"/>
                <w:szCs w:val="11"/>
                <w:b w:val="1"/>
                <w:bCs w:val="1"/>
                <w:color w:val="auto"/>
                <w:w w:val="89"/>
              </w:rPr>
              <w:t>2021</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ind w:right="492"/>
              <w:spacing w:after="0"/>
              <w:rPr>
                <w:sz w:val="20"/>
                <w:szCs w:val="20"/>
                <w:color w:val="auto"/>
              </w:rPr>
            </w:pPr>
            <w:r>
              <w:rPr>
                <w:rFonts w:ascii="Arial" w:cs="Arial" w:eastAsia="Arial" w:hAnsi="Arial"/>
                <w:sz w:val="11"/>
                <w:szCs w:val="11"/>
                <w:b w:val="1"/>
                <w:bCs w:val="1"/>
                <w:color w:val="auto"/>
              </w:rPr>
              <w:t>2020</w:t>
            </w:r>
          </w:p>
        </w:tc>
        <w:tc>
          <w:tcPr>
            <w:tcW w:w="40" w:type="dxa"/>
            <w:vAlign w:val="bottom"/>
          </w:tcPr>
          <w:p>
            <w:pPr>
              <w:spacing w:after="0"/>
              <w:rPr>
                <w:sz w:val="12"/>
                <w:szCs w:val="12"/>
                <w:color w:val="auto"/>
              </w:rPr>
            </w:pPr>
          </w:p>
        </w:tc>
      </w:tr>
      <w:tr>
        <w:trPr>
          <w:trHeight w:val="133"/>
        </w:trPr>
        <w:tc>
          <w:tcPr>
            <w:tcW w:w="20" w:type="dxa"/>
            <w:vAlign w:val="bottom"/>
            <w:tcBorders>
              <w:top w:val="single" w:sz="8" w:color="auto"/>
            </w:tcBorders>
          </w:tcPr>
          <w:p>
            <w:pPr>
              <w:spacing w:after="0"/>
              <w:rPr>
                <w:sz w:val="11"/>
                <w:szCs w:val="11"/>
                <w:color w:val="auto"/>
              </w:rPr>
            </w:pPr>
          </w:p>
        </w:tc>
        <w:tc>
          <w:tcPr>
            <w:tcW w:w="41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2120" w:type="dxa"/>
            <w:vAlign w:val="bottom"/>
            <w:tcBorders>
              <w:top w:val="single" w:sz="8" w:color="auto"/>
            </w:tcBorders>
            <w:gridSpan w:val="10"/>
          </w:tcPr>
          <w:p>
            <w:pPr>
              <w:jc w:val="right"/>
              <w:ind w:right="460"/>
              <w:spacing w:after="0"/>
              <w:rPr>
                <w:sz w:val="20"/>
                <w:szCs w:val="20"/>
                <w:color w:val="auto"/>
              </w:rPr>
            </w:pPr>
            <w:r>
              <w:rPr>
                <w:rFonts w:ascii="Arial" w:cs="Arial" w:eastAsia="Arial" w:hAnsi="Arial"/>
                <w:sz w:val="10"/>
                <w:szCs w:val="10"/>
                <w:b w:val="1"/>
                <w:bCs w:val="1"/>
                <w:color w:val="auto"/>
                <w:w w:val="97"/>
              </w:rPr>
              <w:t>(In thousands, except percent data)</w:t>
            </w:r>
          </w:p>
        </w:tc>
        <w:tc>
          <w:tcPr>
            <w:tcW w:w="6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r>
      <w:tr>
        <w:trPr>
          <w:trHeight w:val="188"/>
        </w:trPr>
        <w:tc>
          <w:tcPr>
            <w:tcW w:w="20" w:type="dxa"/>
            <w:vAlign w:val="bottom"/>
            <w:shd w:val="clear" w:color="auto" w:fill="CCEEFF"/>
          </w:tcPr>
          <w:p>
            <w:pPr>
              <w:spacing w:after="0"/>
              <w:rPr>
                <w:sz w:val="16"/>
                <w:szCs w:val="16"/>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Gross profit</w:t>
            </w:r>
          </w:p>
        </w:tc>
        <w:tc>
          <w:tcPr>
            <w:tcW w:w="32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1,365,827</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527,631</w:t>
            </w:r>
          </w:p>
        </w:tc>
        <w:tc>
          <w:tcPr>
            <w:tcW w:w="6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62.9 %</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9.2 %</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6.9 %</w:t>
            </w:r>
          </w:p>
        </w:tc>
        <w:tc>
          <w:tcPr>
            <w:tcW w:w="40" w:type="dxa"/>
            <w:vAlign w:val="bottom"/>
            <w:tcBorders>
              <w:left w:val="single" w:sz="8" w:color="CCEEFF"/>
            </w:tcBorders>
            <w:shd w:val="clear" w:color="auto" w:fill="CCEEFF"/>
          </w:tcPr>
          <w:p>
            <w:pPr>
              <w:spacing w:after="0"/>
              <w:rPr>
                <w:sz w:val="16"/>
                <w:szCs w:val="16"/>
                <w:color w:val="auto"/>
              </w:rPr>
            </w:pPr>
          </w:p>
        </w:tc>
      </w:tr>
      <w:tr>
        <w:trPr>
          <w:trHeight w:val="180"/>
        </w:trPr>
        <w:tc>
          <w:tcPr>
            <w:tcW w:w="20" w:type="dxa"/>
            <w:vAlign w:val="bottom"/>
          </w:tcPr>
          <w:p>
            <w:pPr>
              <w:spacing w:after="0"/>
              <w:rPr>
                <w:sz w:val="15"/>
                <w:szCs w:val="15"/>
                <w:color w:val="auto"/>
              </w:rPr>
            </w:pPr>
          </w:p>
        </w:tc>
        <w:tc>
          <w:tcPr>
            <w:tcW w:w="4220" w:type="dxa"/>
            <w:vAlign w:val="bottom"/>
            <w:gridSpan w:val="2"/>
          </w:tcPr>
          <w:p>
            <w:pPr>
              <w:spacing w:after="0"/>
              <w:rPr>
                <w:sz w:val="20"/>
                <w:szCs w:val="20"/>
                <w:color w:val="auto"/>
              </w:rPr>
            </w:pPr>
            <w:r>
              <w:rPr>
                <w:rFonts w:ascii="Arial" w:cs="Arial" w:eastAsia="Arial" w:hAnsi="Arial"/>
                <w:sz w:val="14"/>
                <w:szCs w:val="14"/>
                <w:color w:val="auto"/>
              </w:rPr>
              <w:t>SG&amp;A expenses</w:t>
            </w:r>
          </w:p>
        </w:tc>
        <w:tc>
          <w:tcPr>
            <w:tcW w:w="3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1,148,861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556,251</w:t>
            </w: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93.9 %</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7.8 %</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4.9 %</w:t>
            </w:r>
          </w:p>
        </w:tc>
        <w:tc>
          <w:tcPr>
            <w:tcW w:w="40" w:type="dxa"/>
            <w:vAlign w:val="bottom"/>
          </w:tcPr>
          <w:p>
            <w:pPr>
              <w:spacing w:after="0"/>
              <w:rPr>
                <w:sz w:val="15"/>
                <w:szCs w:val="15"/>
                <w:color w:val="auto"/>
              </w:rPr>
            </w:pPr>
          </w:p>
        </w:tc>
      </w:tr>
      <w:tr>
        <w:trPr>
          <w:trHeight w:val="180"/>
        </w:trPr>
        <w:tc>
          <w:tcPr>
            <w:tcW w:w="20" w:type="dxa"/>
            <w:vAlign w:val="bottom"/>
            <w:shd w:val="clear" w:color="auto" w:fill="CCEEFF"/>
          </w:tcPr>
          <w:p>
            <w:pPr>
              <w:spacing w:after="0"/>
              <w:rPr>
                <w:sz w:val="15"/>
                <w:szCs w:val="15"/>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Restructuring activities</w:t>
            </w:r>
          </w:p>
        </w:tc>
        <w:tc>
          <w:tcPr>
            <w:tcW w:w="3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5,802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5,679</w:t>
            </w:r>
          </w:p>
        </w:tc>
        <w:tc>
          <w:tcPr>
            <w:tcW w:w="600" w:type="dxa"/>
            <w:vAlign w:val="bottom"/>
            <w:shd w:val="clear" w:color="auto" w:fill="CCEEFF"/>
          </w:tcPr>
          <w:p>
            <w:pPr>
              <w:spacing w:after="0"/>
              <w:rPr>
                <w:sz w:val="15"/>
                <w:szCs w:val="15"/>
                <w:color w:val="auto"/>
              </w:rPr>
            </w:pPr>
          </w:p>
        </w:tc>
        <w:tc>
          <w:tcPr>
            <w:tcW w:w="880" w:type="dxa"/>
            <w:vAlign w:val="bottom"/>
            <w:gridSpan w:val="6"/>
            <w:shd w:val="clear" w:color="auto" w:fill="CCEEFF"/>
          </w:tcPr>
          <w:p>
            <w:pPr>
              <w:jc w:val="right"/>
              <w:spacing w:after="0"/>
              <w:rPr>
                <w:sz w:val="20"/>
                <w:szCs w:val="20"/>
                <w:color w:val="auto"/>
              </w:rPr>
            </w:pPr>
            <w:r>
              <w:rPr>
                <w:rFonts w:ascii="Arial" w:cs="Arial" w:eastAsia="Arial" w:hAnsi="Arial"/>
                <w:sz w:val="14"/>
                <w:szCs w:val="14"/>
                <w:color w:val="auto"/>
              </w:rPr>
              <w:t>4,617.1 %</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gridSpan w:val="5"/>
            <w:shd w:val="clear" w:color="auto" w:fill="CCEEFF"/>
          </w:tcPr>
          <w:p>
            <w:pPr>
              <w:jc w:val="right"/>
              <w:ind w:right="620"/>
              <w:spacing w:after="0"/>
              <w:rPr>
                <w:sz w:val="20"/>
                <w:szCs w:val="20"/>
                <w:color w:val="auto"/>
              </w:rPr>
            </w:pPr>
            <w:r>
              <w:rPr>
                <w:rFonts w:ascii="Arial" w:cs="Arial" w:eastAsia="Arial" w:hAnsi="Arial"/>
                <w:sz w:val="14"/>
                <w:szCs w:val="14"/>
                <w:color w:val="auto"/>
              </w:rPr>
              <w:t>— %</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 %</w:t>
            </w:r>
          </w:p>
        </w:tc>
      </w:tr>
      <w:tr>
        <w:trPr>
          <w:trHeight w:val="171"/>
        </w:trPr>
        <w:tc>
          <w:tcPr>
            <w:tcW w:w="20" w:type="dxa"/>
            <w:vAlign w:val="bottom"/>
          </w:tcPr>
          <w:p>
            <w:pPr>
              <w:spacing w:after="0"/>
              <w:rPr>
                <w:sz w:val="14"/>
                <w:szCs w:val="14"/>
                <w:color w:val="auto"/>
              </w:rPr>
            </w:pPr>
          </w:p>
        </w:tc>
        <w:tc>
          <w:tcPr>
            <w:tcW w:w="4220" w:type="dxa"/>
            <w:vAlign w:val="bottom"/>
            <w:gridSpan w:val="2"/>
          </w:tcPr>
          <w:p>
            <w:pPr>
              <w:ind w:left="160"/>
              <w:spacing w:after="0"/>
              <w:rPr>
                <w:sz w:val="20"/>
                <w:szCs w:val="20"/>
                <w:color w:val="auto"/>
              </w:rPr>
            </w:pPr>
            <w:r>
              <w:rPr>
                <w:rFonts w:ascii="Arial" w:cs="Arial" w:eastAsia="Arial" w:hAnsi="Arial"/>
                <w:sz w:val="14"/>
                <w:szCs w:val="14"/>
                <w:color w:val="auto"/>
              </w:rPr>
              <w:t>Operating income</w:t>
            </w:r>
          </w:p>
        </w:tc>
        <w:tc>
          <w:tcPr>
            <w:tcW w:w="320" w:type="dxa"/>
            <w:vAlign w:val="bottom"/>
            <w:tcBorders>
              <w:top w:val="single" w:sz="8" w:color="auto"/>
              <w:bottom w:val="single" w:sz="8" w:color="auto"/>
            </w:tcBorders>
          </w:tcPr>
          <w:p>
            <w:pPr>
              <w:jc w:val="right"/>
              <w:ind w:right="149"/>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211,164</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(34,299)</w:t>
            </w: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w w:val="89"/>
              </w:rPr>
              <w:t>(14.0)%</w:t>
            </w:r>
          </w:p>
        </w:tc>
        <w:tc>
          <w:tcPr>
            <w:tcW w:w="100" w:type="dxa"/>
            <w:vAlign w:val="bottom"/>
          </w:tcPr>
          <w:p>
            <w:pPr>
              <w:spacing w:after="0"/>
              <w:rPr>
                <w:sz w:val="14"/>
                <w:szCs w:val="14"/>
                <w:color w:val="auto"/>
              </w:rPr>
            </w:pPr>
          </w:p>
        </w:tc>
        <w:tc>
          <w:tcPr>
            <w:tcW w:w="500" w:type="dxa"/>
            <w:vAlign w:val="bottom"/>
            <w:tcBorders>
              <w:top w:val="single" w:sz="8" w:color="auto"/>
              <w:bottom w:val="single" w:sz="8" w:color="auto"/>
            </w:tcBorders>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1.4 %</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2.0 %</w:t>
            </w:r>
          </w:p>
        </w:tc>
        <w:tc>
          <w:tcPr>
            <w:tcW w:w="40" w:type="dxa"/>
            <w:vAlign w:val="bottom"/>
            <w:tcBorders>
              <w:top w:val="single" w:sz="8" w:color="auto"/>
              <w:bottom w:val="single" w:sz="8" w:color="auto"/>
            </w:tcBorders>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0" w:type="dxa"/>
            <w:vAlign w:val="bottom"/>
            <w:gridSpan w:val="7"/>
          </w:tcPr>
          <w:p>
            <w:pPr>
              <w:ind w:left="420"/>
              <w:spacing w:after="0"/>
              <w:rPr>
                <w:sz w:val="20"/>
                <w:szCs w:val="20"/>
                <w:color w:val="auto"/>
              </w:rPr>
            </w:pPr>
            <w:r>
              <w:rPr>
                <w:rFonts w:ascii="Arial" w:cs="Arial" w:eastAsia="Arial" w:hAnsi="Arial"/>
                <w:sz w:val="11"/>
                <w:szCs w:val="11"/>
                <w:b w:val="1"/>
                <w:bCs w:val="1"/>
                <w:color w:val="auto"/>
              </w:rPr>
              <w:t>Change from 2020</w:t>
            </w:r>
          </w:p>
        </w:tc>
      </w:tr>
      <w:tr>
        <w:trPr>
          <w:trHeight w:val="147"/>
        </w:trPr>
        <w:tc>
          <w:tcPr>
            <w:tcW w:w="20" w:type="dxa"/>
            <w:vAlign w:val="bottom"/>
          </w:tcPr>
          <w:p>
            <w:pPr>
              <w:spacing w:after="0"/>
              <w:rPr>
                <w:sz w:val="12"/>
                <w:szCs w:val="12"/>
                <w:color w:val="auto"/>
              </w:rPr>
            </w:pPr>
          </w:p>
        </w:tc>
        <w:tc>
          <w:tcPr>
            <w:tcW w:w="4220" w:type="dxa"/>
            <w:vAlign w:val="bottom"/>
            <w:tcBorders>
              <w:bottom w:val="single" w:sz="8" w:color="auto"/>
            </w:tcBorders>
            <w:gridSpan w:val="2"/>
          </w:tcPr>
          <w:p>
            <w:pPr>
              <w:spacing w:after="0"/>
              <w:rPr>
                <w:sz w:val="20"/>
                <w:szCs w:val="20"/>
                <w:color w:val="auto"/>
              </w:rPr>
            </w:pPr>
            <w:r>
              <w:rPr>
                <w:rFonts w:ascii="Arial" w:cs="Arial" w:eastAsia="Arial" w:hAnsi="Arial"/>
                <w:sz w:val="11"/>
                <w:szCs w:val="11"/>
                <w:b w:val="1"/>
                <w:bCs w:val="1"/>
                <w:color w:val="auto"/>
              </w:rPr>
              <w:t>Sources of operating income</w:t>
            </w:r>
          </w:p>
        </w:tc>
        <w:tc>
          <w:tcPr>
            <w:tcW w:w="3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3"/>
          </w:tcPr>
          <w:p>
            <w:pPr>
              <w:jc w:val="right"/>
              <w:ind w:right="411"/>
              <w:spacing w:after="0"/>
              <w:rPr>
                <w:sz w:val="20"/>
                <w:szCs w:val="20"/>
                <w:color w:val="auto"/>
              </w:rPr>
            </w:pPr>
            <w:r>
              <w:rPr>
                <w:rFonts w:ascii="Arial" w:cs="Arial" w:eastAsia="Arial" w:hAnsi="Arial"/>
                <w:sz w:val="11"/>
                <w:szCs w:val="11"/>
                <w:b w:val="1"/>
                <w:bCs w:val="1"/>
                <w:color w:val="auto"/>
              </w:rPr>
              <w:t>2021</w:t>
            </w:r>
          </w:p>
        </w:tc>
        <w:tc>
          <w:tcPr>
            <w:tcW w:w="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gridSpan w:val="5"/>
          </w:tcPr>
          <w:p>
            <w:pPr>
              <w:ind w:left="80"/>
              <w:spacing w:after="0"/>
              <w:rPr>
                <w:sz w:val="20"/>
                <w:szCs w:val="20"/>
                <w:color w:val="auto"/>
              </w:rPr>
            </w:pPr>
            <w:r>
              <w:rPr>
                <w:rFonts w:ascii="Arial" w:cs="Arial" w:eastAsia="Arial" w:hAnsi="Arial"/>
                <w:sz w:val="11"/>
                <w:szCs w:val="11"/>
                <w:b w:val="1"/>
                <w:bCs w:val="1"/>
                <w:color w:val="auto"/>
              </w:rPr>
              <w:t>Amount</w:t>
            </w:r>
          </w:p>
        </w:tc>
        <w:tc>
          <w:tcPr>
            <w:tcW w:w="86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1"/>
                <w:szCs w:val="11"/>
                <w:b w:val="1"/>
                <w:bCs w:val="1"/>
                <w:color w:val="auto"/>
              </w:rPr>
              <w:t>Percent</w:t>
            </w:r>
          </w:p>
        </w:tc>
        <w:tc>
          <w:tcPr>
            <w:tcW w:w="40" w:type="dxa"/>
            <w:vAlign w:val="bottom"/>
          </w:tcPr>
          <w:p>
            <w:pPr>
              <w:spacing w:after="0"/>
              <w:rPr>
                <w:sz w:val="12"/>
                <w:szCs w:val="12"/>
                <w:color w:val="auto"/>
              </w:rPr>
            </w:pPr>
          </w:p>
        </w:tc>
      </w:tr>
      <w:tr>
        <w:trPr>
          <w:trHeight w:val="133"/>
        </w:trPr>
        <w:tc>
          <w:tcPr>
            <w:tcW w:w="20" w:type="dxa"/>
            <w:vAlign w:val="bottom"/>
          </w:tcPr>
          <w:p>
            <w:pPr>
              <w:spacing w:after="0"/>
              <w:rPr>
                <w:sz w:val="11"/>
                <w:szCs w:val="11"/>
                <w:color w:val="auto"/>
              </w:rPr>
            </w:pPr>
          </w:p>
        </w:tc>
        <w:tc>
          <w:tcPr>
            <w:tcW w:w="4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80" w:type="dxa"/>
            <w:vAlign w:val="bottom"/>
            <w:gridSpan w:val="10"/>
          </w:tcPr>
          <w:p>
            <w:pPr>
              <w:ind w:left="340"/>
              <w:spacing w:after="0"/>
              <w:rPr>
                <w:sz w:val="20"/>
                <w:szCs w:val="20"/>
                <w:color w:val="auto"/>
              </w:rPr>
            </w:pPr>
            <w:r>
              <w:rPr>
                <w:rFonts w:ascii="Arial" w:cs="Arial" w:eastAsia="Arial" w:hAnsi="Arial"/>
                <w:sz w:val="10"/>
                <w:szCs w:val="10"/>
                <w:b w:val="1"/>
                <w:bCs w:val="1"/>
                <w:color w:val="auto"/>
                <w:w w:val="96"/>
              </w:rPr>
              <w:t>(In thousands, except percent data)</w:t>
            </w: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88"/>
        </w:trPr>
        <w:tc>
          <w:tcPr>
            <w:tcW w:w="20" w:type="dxa"/>
            <w:vAlign w:val="bottom"/>
          </w:tcPr>
          <w:p>
            <w:pPr>
              <w:spacing w:after="0"/>
              <w:rPr>
                <w:sz w:val="16"/>
                <w:szCs w:val="16"/>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U.S.</w:t>
            </w:r>
          </w:p>
        </w:tc>
        <w:tc>
          <w:tcPr>
            <w:tcW w:w="3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00" w:type="dxa"/>
            <w:vAlign w:val="bottom"/>
            <w:gridSpan w:val="5"/>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4"/>
            <w:shd w:val="clear" w:color="auto" w:fill="CCEEFF"/>
          </w:tcPr>
          <w:p>
            <w:pPr>
              <w:jc w:val="right"/>
              <w:ind w:right="20"/>
              <w:spacing w:after="0"/>
              <w:rPr>
                <w:sz w:val="20"/>
                <w:szCs w:val="20"/>
                <w:color w:val="auto"/>
              </w:rPr>
            </w:pPr>
            <w:r>
              <w:rPr>
                <w:rFonts w:ascii="Arial" w:cs="Arial" w:eastAsia="Arial" w:hAnsi="Arial"/>
                <w:sz w:val="14"/>
                <w:szCs w:val="14"/>
                <w:color w:val="auto"/>
              </w:rPr>
              <w:t>(17,036)</w:t>
            </w:r>
          </w:p>
        </w:tc>
        <w:tc>
          <w:tcPr>
            <w:tcW w:w="340" w:type="dxa"/>
            <w:vAlign w:val="bottom"/>
            <w:gridSpan w:val="3"/>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(86,413)</w:t>
            </w:r>
          </w:p>
        </w:tc>
        <w:tc>
          <w:tcPr>
            <w:tcW w:w="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(124.6)%</w:t>
            </w:r>
          </w:p>
        </w:tc>
        <w:tc>
          <w:tcPr>
            <w:tcW w:w="40" w:type="dxa"/>
            <w:vAlign w:val="bottom"/>
            <w:tcBorders>
              <w:left w:val="single" w:sz="8" w:color="CCEEFF"/>
            </w:tcBorders>
          </w:tcPr>
          <w:p>
            <w:pPr>
              <w:spacing w:after="0"/>
              <w:rPr>
                <w:sz w:val="16"/>
                <w:szCs w:val="16"/>
                <w:color w:val="auto"/>
              </w:rPr>
            </w:pPr>
          </w:p>
        </w:tc>
      </w:tr>
      <w:tr>
        <w:trPr>
          <w:trHeight w:val="180"/>
        </w:trPr>
        <w:tc>
          <w:tcPr>
            <w:tcW w:w="20" w:type="dxa"/>
            <w:vAlign w:val="bottom"/>
          </w:tcPr>
          <w:p>
            <w:pPr>
              <w:spacing w:after="0"/>
              <w:rPr>
                <w:sz w:val="15"/>
                <w:szCs w:val="15"/>
                <w:color w:val="auto"/>
              </w:rPr>
            </w:pPr>
          </w:p>
        </w:tc>
        <w:tc>
          <w:tcPr>
            <w:tcW w:w="4220" w:type="dxa"/>
            <w:vAlign w:val="bottom"/>
            <w:gridSpan w:val="2"/>
          </w:tcPr>
          <w:p>
            <w:pPr>
              <w:spacing w:after="0"/>
              <w:rPr>
                <w:sz w:val="20"/>
                <w:szCs w:val="20"/>
                <w:color w:val="auto"/>
              </w:rPr>
            </w:pPr>
            <w:r>
              <w:rPr>
                <w:rFonts w:ascii="Arial" w:cs="Arial" w:eastAsia="Arial" w:hAnsi="Arial"/>
                <w:sz w:val="14"/>
                <w:szCs w:val="14"/>
                <w:color w:val="auto"/>
              </w:rPr>
              <w:t>U.K. and Europe</w:t>
            </w:r>
          </w:p>
        </w:tc>
        <w:tc>
          <w:tcPr>
            <w:tcW w:w="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4"/>
          </w:tcPr>
          <w:p>
            <w:pPr>
              <w:jc w:val="right"/>
              <w:ind w:right="20"/>
              <w:spacing w:after="0"/>
              <w:rPr>
                <w:sz w:val="20"/>
                <w:szCs w:val="20"/>
                <w:color w:val="auto"/>
              </w:rPr>
            </w:pPr>
            <w:r>
              <w:rPr>
                <w:rFonts w:ascii="Arial" w:cs="Arial" w:eastAsia="Arial" w:hAnsi="Arial"/>
                <w:sz w:val="14"/>
                <w:szCs w:val="14"/>
                <w:color w:val="auto"/>
              </w:rPr>
              <w:t>(627)</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4"/>
                <w:szCs w:val="14"/>
                <w:color w:val="auto"/>
              </w:rPr>
              <w:t>(103,361)</w:t>
            </w: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(100.6)%</w:t>
            </w:r>
          </w:p>
        </w:tc>
        <w:tc>
          <w:tcPr>
            <w:tcW w:w="4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Mexico</w:t>
            </w:r>
          </w:p>
        </w:tc>
        <w:tc>
          <w:tcPr>
            <w:tcW w:w="3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228,773</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155,894</w:t>
            </w:r>
          </w:p>
        </w:tc>
        <w:tc>
          <w:tcPr>
            <w:tcW w:w="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213.9 %</w:t>
            </w:r>
          </w:p>
        </w:tc>
        <w:tc>
          <w:tcPr>
            <w:tcW w:w="40" w:type="dxa"/>
            <w:vAlign w:val="bottom"/>
            <w:tcBorders>
              <w:left w:val="single" w:sz="8" w:color="CCEEFF"/>
            </w:tcBorders>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422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Elimination</w:t>
            </w:r>
          </w:p>
        </w:tc>
        <w:tc>
          <w:tcPr>
            <w:tcW w:w="320" w:type="dxa"/>
            <w:vAlign w:val="bottom"/>
            <w:tcBorders>
              <w:bottom w:val="single" w:sz="8" w:color="CCEEFF"/>
            </w:tcBorders>
          </w:tcPr>
          <w:p>
            <w:pPr>
              <w:spacing w:after="0"/>
              <w:rPr>
                <w:sz w:val="15"/>
                <w:szCs w:val="15"/>
                <w:color w:val="auto"/>
              </w:rPr>
            </w:pPr>
          </w:p>
        </w:tc>
        <w:tc>
          <w:tcPr>
            <w:tcW w:w="9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980" w:type="dxa"/>
            <w:vAlign w:val="bottom"/>
            <w:tcBorders>
              <w:bottom w:val="single" w:sz="8" w:color="CCEEFF"/>
            </w:tcBorders>
          </w:tcPr>
          <w:p>
            <w:pPr>
              <w:spacing w:after="0"/>
              <w:rPr>
                <w:sz w:val="15"/>
                <w:szCs w:val="15"/>
                <w:color w:val="auto"/>
              </w:rPr>
            </w:pPr>
          </w:p>
        </w:tc>
        <w:tc>
          <w:tcPr>
            <w:tcW w:w="60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54</w:t>
            </w: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color w:val="auto"/>
              </w:rPr>
              <w:t>(419)</w:t>
            </w:r>
          </w:p>
        </w:tc>
        <w:tc>
          <w:tcPr>
            <w:tcW w:w="4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8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(88.6)%</w:t>
            </w:r>
          </w:p>
        </w:tc>
        <w:tc>
          <w:tcPr>
            <w:tcW w:w="40" w:type="dxa"/>
            <w:vAlign w:val="bottom"/>
          </w:tcPr>
          <w:p>
            <w:pPr>
              <w:spacing w:after="0"/>
              <w:rPr>
                <w:sz w:val="15"/>
                <w:szCs w:val="15"/>
                <w:color w:val="auto"/>
              </w:rPr>
            </w:pPr>
          </w:p>
        </w:tc>
      </w:tr>
      <w:tr>
        <w:trPr>
          <w:trHeight w:val="196"/>
        </w:trPr>
        <w:tc>
          <w:tcPr>
            <w:tcW w:w="20" w:type="dxa"/>
            <w:vAlign w:val="bottom"/>
          </w:tcPr>
          <w:p>
            <w:pPr>
              <w:spacing w:after="0"/>
              <w:rPr>
                <w:sz w:val="16"/>
                <w:szCs w:val="16"/>
                <w:color w:val="auto"/>
              </w:rPr>
            </w:pPr>
          </w:p>
        </w:tc>
        <w:tc>
          <w:tcPr>
            <w:tcW w:w="422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4"/>
                <w:szCs w:val="14"/>
                <w:color w:val="auto"/>
              </w:rPr>
              <w:t>Total operating income</w:t>
            </w:r>
          </w:p>
        </w:tc>
        <w:tc>
          <w:tcPr>
            <w:tcW w:w="3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211,164</w:t>
            </w:r>
          </w:p>
        </w:tc>
        <w:tc>
          <w:tcPr>
            <w:tcW w:w="4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center"/>
              <w:ind w:right="89"/>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(34,299)</w:t>
            </w:r>
          </w:p>
        </w:tc>
        <w:tc>
          <w:tcPr>
            <w:tcW w:w="4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(14.0)%</w:t>
            </w:r>
          </w:p>
        </w:tc>
        <w:tc>
          <w:tcPr>
            <w:tcW w:w="40" w:type="dxa"/>
            <w:vAlign w:val="bottom"/>
            <w:tcBorders>
              <w:left w:val="single" w:sz="8" w:color="CCEEFF"/>
            </w:tcBorders>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gridSpan w:val="3"/>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4"/>
        </w:trPr>
        <w:tc>
          <w:tcPr>
            <w:tcW w:w="2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6"/>
          </w:tcPr>
          <w:p>
            <w:pPr>
              <w:jc w:val="right"/>
              <w:ind w:right="612"/>
              <w:spacing w:after="0"/>
              <w:rPr>
                <w:sz w:val="20"/>
                <w:szCs w:val="20"/>
                <w:color w:val="auto"/>
              </w:rPr>
            </w:pPr>
            <w:r>
              <w:rPr>
                <w:rFonts w:ascii="Arial" w:cs="Arial" w:eastAsia="Arial" w:hAnsi="Arial"/>
                <w:sz w:val="11"/>
                <w:szCs w:val="11"/>
                <w:b w:val="1"/>
                <w:bCs w:val="1"/>
                <w:color w:val="auto"/>
              </w:rPr>
              <w:t>Change from 2020</w:t>
            </w:r>
          </w:p>
        </w:tc>
        <w:tc>
          <w:tcPr>
            <w:tcW w:w="40" w:type="dxa"/>
            <w:vAlign w:val="bottom"/>
          </w:tcPr>
          <w:p>
            <w:pPr>
              <w:spacing w:after="0"/>
              <w:rPr>
                <w:sz w:val="20"/>
                <w:szCs w:val="20"/>
                <w:color w:val="auto"/>
              </w:rPr>
            </w:pPr>
          </w:p>
        </w:tc>
      </w:tr>
      <w:tr>
        <w:trPr>
          <w:trHeight w:val="192"/>
        </w:trPr>
        <w:tc>
          <w:tcPr>
            <w:tcW w:w="20" w:type="dxa"/>
            <w:vAlign w:val="bottom"/>
          </w:tcPr>
          <w:p>
            <w:pPr>
              <w:spacing w:after="0"/>
              <w:rPr>
                <w:sz w:val="16"/>
                <w:szCs w:val="16"/>
                <w:color w:val="auto"/>
              </w:rPr>
            </w:pPr>
          </w:p>
        </w:tc>
        <w:tc>
          <w:tcPr>
            <w:tcW w:w="4220" w:type="dxa"/>
            <w:vAlign w:val="bottom"/>
            <w:gridSpan w:val="2"/>
          </w:tcPr>
          <w:p>
            <w:pPr>
              <w:ind w:left="20"/>
              <w:spacing w:after="0"/>
              <w:rPr>
                <w:sz w:val="20"/>
                <w:szCs w:val="20"/>
                <w:color w:val="auto"/>
              </w:rPr>
            </w:pPr>
            <w:r>
              <w:rPr>
                <w:rFonts w:ascii="Arial" w:cs="Arial" w:eastAsia="Arial" w:hAnsi="Arial"/>
                <w:sz w:val="11"/>
                <w:szCs w:val="11"/>
                <w:b w:val="1"/>
                <w:bCs w:val="1"/>
                <w:color w:val="auto"/>
              </w:rPr>
              <w:t>Sources of SG&amp;A expenses</w:t>
            </w: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gridSpan w:val="3"/>
          </w:tcPr>
          <w:p>
            <w:pPr>
              <w:jc w:val="right"/>
              <w:ind w:right="431"/>
              <w:spacing w:after="0"/>
              <w:rPr>
                <w:sz w:val="20"/>
                <w:szCs w:val="20"/>
                <w:color w:val="auto"/>
              </w:rPr>
            </w:pPr>
            <w:r>
              <w:rPr>
                <w:rFonts w:ascii="Arial" w:cs="Arial" w:eastAsia="Arial" w:hAnsi="Arial"/>
                <w:sz w:val="11"/>
                <w:szCs w:val="11"/>
                <w:b w:val="1"/>
                <w:bCs w:val="1"/>
                <w:color w:val="auto"/>
              </w:rPr>
              <w:t>2021</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5"/>
          </w:tcPr>
          <w:p>
            <w:pPr>
              <w:ind w:left="80"/>
              <w:spacing w:after="0"/>
              <w:rPr>
                <w:sz w:val="20"/>
                <w:szCs w:val="20"/>
                <w:color w:val="auto"/>
              </w:rPr>
            </w:pPr>
            <w:r>
              <w:rPr>
                <w:rFonts w:ascii="Arial" w:cs="Arial" w:eastAsia="Arial" w:hAnsi="Arial"/>
                <w:sz w:val="11"/>
                <w:szCs w:val="11"/>
                <w:b w:val="1"/>
                <w:bCs w:val="1"/>
                <w:color w:val="auto"/>
              </w:rPr>
              <w:t>Amount</w:t>
            </w:r>
          </w:p>
        </w:tc>
        <w:tc>
          <w:tcPr>
            <w:tcW w:w="900" w:type="dxa"/>
            <w:vAlign w:val="bottom"/>
            <w:gridSpan w:val="2"/>
          </w:tcPr>
          <w:p>
            <w:pPr>
              <w:jc w:val="right"/>
              <w:ind w:right="360"/>
              <w:spacing w:after="0"/>
              <w:rPr>
                <w:sz w:val="20"/>
                <w:szCs w:val="20"/>
                <w:color w:val="auto"/>
              </w:rPr>
            </w:pPr>
            <w:r>
              <w:rPr>
                <w:rFonts w:ascii="Arial" w:cs="Arial" w:eastAsia="Arial" w:hAnsi="Arial"/>
                <w:sz w:val="11"/>
                <w:szCs w:val="11"/>
                <w:b w:val="1"/>
                <w:bCs w:val="1"/>
                <w:color w:val="auto"/>
              </w:rPr>
              <w:t>Percent</w:t>
            </w:r>
          </w:p>
        </w:tc>
      </w:tr>
      <w:tr>
        <w:trPr>
          <w:trHeight w:val="136"/>
        </w:trPr>
        <w:tc>
          <w:tcPr>
            <w:tcW w:w="20" w:type="dxa"/>
            <w:vAlign w:val="bottom"/>
          </w:tcPr>
          <w:p>
            <w:pPr>
              <w:spacing w:after="0"/>
              <w:rPr>
                <w:sz w:val="11"/>
                <w:szCs w:val="11"/>
                <w:color w:val="auto"/>
              </w:rPr>
            </w:pPr>
          </w:p>
        </w:tc>
        <w:tc>
          <w:tcPr>
            <w:tcW w:w="41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980" w:type="dxa"/>
            <w:vAlign w:val="bottom"/>
            <w:tcBorders>
              <w:top w:val="single" w:sz="8" w:color="auto"/>
            </w:tcBorders>
            <w:gridSpan w:val="10"/>
          </w:tcPr>
          <w:p>
            <w:pPr>
              <w:ind w:left="340"/>
              <w:spacing w:after="0"/>
              <w:rPr>
                <w:sz w:val="20"/>
                <w:szCs w:val="20"/>
                <w:color w:val="auto"/>
              </w:rPr>
            </w:pPr>
            <w:r>
              <w:rPr>
                <w:rFonts w:ascii="Arial" w:cs="Arial" w:eastAsia="Arial" w:hAnsi="Arial"/>
                <w:sz w:val="10"/>
                <w:szCs w:val="10"/>
                <w:b w:val="1"/>
                <w:bCs w:val="1"/>
                <w:color w:val="auto"/>
                <w:w w:val="96"/>
              </w:rPr>
              <w:t>(In thousands, except percent data)</w:t>
            </w:r>
          </w:p>
        </w:tc>
        <w:tc>
          <w:tcPr>
            <w:tcW w:w="86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r>
      <w:tr>
        <w:trPr>
          <w:trHeight w:val="188"/>
        </w:trPr>
        <w:tc>
          <w:tcPr>
            <w:tcW w:w="20" w:type="dxa"/>
            <w:vAlign w:val="bottom"/>
          </w:tcPr>
          <w:p>
            <w:pPr>
              <w:spacing w:after="0"/>
              <w:rPr>
                <w:sz w:val="16"/>
                <w:szCs w:val="16"/>
                <w:color w:val="auto"/>
              </w:rPr>
            </w:pPr>
          </w:p>
        </w:tc>
        <w:tc>
          <w:tcPr>
            <w:tcW w:w="42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U.S.</w:t>
            </w:r>
          </w:p>
        </w:tc>
        <w:tc>
          <w:tcPr>
            <w:tcW w:w="3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00" w:type="dxa"/>
            <w:vAlign w:val="bottom"/>
            <w:gridSpan w:val="5"/>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3"/>
            <w:shd w:val="clear" w:color="auto" w:fill="CCEEFF"/>
          </w:tcPr>
          <w:p>
            <w:pPr>
              <w:jc w:val="right"/>
              <w:ind w:right="11"/>
              <w:spacing w:after="0"/>
              <w:rPr>
                <w:sz w:val="20"/>
                <w:szCs w:val="20"/>
                <w:color w:val="auto"/>
              </w:rPr>
            </w:pPr>
            <w:r>
              <w:rPr>
                <w:rFonts w:ascii="Arial" w:cs="Arial" w:eastAsia="Arial" w:hAnsi="Arial"/>
                <w:sz w:val="14"/>
                <w:szCs w:val="14"/>
                <w:color w:val="auto"/>
              </w:rPr>
              <w:t>942,956</w:t>
            </w:r>
          </w:p>
        </w:tc>
        <w:tc>
          <w:tcPr>
            <w:tcW w:w="40" w:type="dxa"/>
            <w:vAlign w:val="bottom"/>
            <w:shd w:val="clear" w:color="auto" w:fill="CCEEFF"/>
          </w:tcPr>
          <w:p>
            <w:pPr>
              <w:spacing w:after="0"/>
              <w:rPr>
                <w:sz w:val="16"/>
                <w:szCs w:val="16"/>
                <w:color w:val="auto"/>
              </w:rPr>
            </w:pPr>
          </w:p>
        </w:tc>
        <w:tc>
          <w:tcPr>
            <w:tcW w:w="340" w:type="dxa"/>
            <w:vAlign w:val="bottom"/>
            <w:gridSpan w:val="3"/>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511,868</w:t>
            </w:r>
          </w:p>
        </w:tc>
        <w:tc>
          <w:tcPr>
            <w:tcW w:w="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118.7 %</w:t>
            </w:r>
          </w:p>
        </w:tc>
        <w:tc>
          <w:tcPr>
            <w:tcW w:w="40" w:type="dxa"/>
            <w:vAlign w:val="bottom"/>
          </w:tcPr>
          <w:p>
            <w:pPr>
              <w:spacing w:after="0"/>
              <w:rPr>
                <w:sz w:val="16"/>
                <w:szCs w:val="16"/>
                <w:color w:val="auto"/>
              </w:rPr>
            </w:pPr>
          </w:p>
        </w:tc>
      </w:tr>
      <w:tr>
        <w:trPr>
          <w:trHeight w:val="180"/>
        </w:trPr>
        <w:tc>
          <w:tcPr>
            <w:tcW w:w="20" w:type="dxa"/>
            <w:vAlign w:val="bottom"/>
          </w:tcPr>
          <w:p>
            <w:pPr>
              <w:spacing w:after="0"/>
              <w:rPr>
                <w:sz w:val="15"/>
                <w:szCs w:val="15"/>
                <w:color w:val="auto"/>
              </w:rPr>
            </w:pPr>
          </w:p>
        </w:tc>
        <w:tc>
          <w:tcPr>
            <w:tcW w:w="4220" w:type="dxa"/>
            <w:vAlign w:val="bottom"/>
            <w:gridSpan w:val="2"/>
          </w:tcPr>
          <w:p>
            <w:pPr>
              <w:ind w:left="20"/>
              <w:spacing w:after="0"/>
              <w:rPr>
                <w:sz w:val="20"/>
                <w:szCs w:val="20"/>
                <w:color w:val="auto"/>
              </w:rPr>
            </w:pPr>
            <w:r>
              <w:rPr>
                <w:rFonts w:ascii="Arial" w:cs="Arial" w:eastAsia="Arial" w:hAnsi="Arial"/>
                <w:sz w:val="14"/>
                <w:szCs w:val="14"/>
                <w:color w:val="auto"/>
              </w:rPr>
              <w:t>U.K. and Europe</w:t>
            </w:r>
          </w:p>
        </w:tc>
        <w:tc>
          <w:tcPr>
            <w:tcW w:w="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3"/>
          </w:tcPr>
          <w:p>
            <w:pPr>
              <w:jc w:val="right"/>
              <w:ind w:right="11"/>
              <w:spacing w:after="0"/>
              <w:rPr>
                <w:sz w:val="20"/>
                <w:szCs w:val="20"/>
                <w:color w:val="auto"/>
              </w:rPr>
            </w:pPr>
            <w:r>
              <w:rPr>
                <w:rFonts w:ascii="Arial" w:cs="Arial" w:eastAsia="Arial" w:hAnsi="Arial"/>
                <w:sz w:val="14"/>
                <w:szCs w:val="14"/>
                <w:color w:val="auto"/>
              </w:rPr>
              <w:t>159,049</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gridSpan w:val="3"/>
          </w:tcPr>
          <w:p>
            <w:pPr>
              <w:jc w:val="right"/>
              <w:spacing w:after="0"/>
              <w:rPr>
                <w:sz w:val="20"/>
                <w:szCs w:val="20"/>
                <w:color w:val="auto"/>
              </w:rPr>
            </w:pPr>
            <w:r>
              <w:rPr>
                <w:rFonts w:ascii="Arial" w:cs="Arial" w:eastAsia="Arial" w:hAnsi="Arial"/>
                <w:sz w:val="14"/>
                <w:szCs w:val="14"/>
                <w:color w:val="auto"/>
              </w:rPr>
              <w:t>43,579</w:t>
            </w: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37.7 %</w:t>
            </w:r>
          </w:p>
        </w:tc>
        <w:tc>
          <w:tcPr>
            <w:tcW w:w="4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42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Mexico</w:t>
            </w:r>
          </w:p>
        </w:tc>
        <w:tc>
          <w:tcPr>
            <w:tcW w:w="3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gridSpan w:val="3"/>
            <w:shd w:val="clear" w:color="auto" w:fill="CCEEFF"/>
          </w:tcPr>
          <w:p>
            <w:pPr>
              <w:jc w:val="right"/>
              <w:ind w:right="11"/>
              <w:spacing w:after="0"/>
              <w:rPr>
                <w:sz w:val="20"/>
                <w:szCs w:val="20"/>
                <w:color w:val="auto"/>
              </w:rPr>
            </w:pPr>
            <w:r>
              <w:rPr>
                <w:rFonts w:ascii="Arial" w:cs="Arial" w:eastAsia="Arial" w:hAnsi="Arial"/>
                <w:sz w:val="14"/>
                <w:szCs w:val="14"/>
                <w:color w:val="auto"/>
              </w:rPr>
              <w:t>46,856</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804</w:t>
            </w:r>
          </w:p>
        </w:tc>
        <w:tc>
          <w:tcPr>
            <w:tcW w:w="40" w:type="dxa"/>
            <w:vAlign w:val="bottom"/>
            <w:tcBorders>
              <w:bottom w:val="single" w:sz="8" w:color="auto"/>
            </w:tcBorders>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1.7 %</w:t>
            </w:r>
          </w:p>
        </w:tc>
        <w:tc>
          <w:tcPr>
            <w:tcW w:w="40" w:type="dxa"/>
            <w:vAlign w:val="bottom"/>
          </w:tcPr>
          <w:p>
            <w:pPr>
              <w:spacing w:after="0"/>
              <w:rPr>
                <w:sz w:val="15"/>
                <w:szCs w:val="15"/>
                <w:color w:val="auto"/>
              </w:rPr>
            </w:pPr>
          </w:p>
        </w:tc>
      </w:tr>
      <w:tr>
        <w:trPr>
          <w:trHeight w:val="171"/>
        </w:trPr>
        <w:tc>
          <w:tcPr>
            <w:tcW w:w="20" w:type="dxa"/>
            <w:vAlign w:val="bottom"/>
          </w:tcPr>
          <w:p>
            <w:pPr>
              <w:spacing w:after="0"/>
              <w:rPr>
                <w:sz w:val="14"/>
                <w:szCs w:val="14"/>
                <w:color w:val="auto"/>
              </w:rPr>
            </w:pPr>
          </w:p>
        </w:tc>
        <w:tc>
          <w:tcPr>
            <w:tcW w:w="4220" w:type="dxa"/>
            <w:vAlign w:val="bottom"/>
            <w:gridSpan w:val="2"/>
          </w:tcPr>
          <w:p>
            <w:pPr>
              <w:ind w:left="180"/>
              <w:spacing w:after="0"/>
              <w:rPr>
                <w:sz w:val="20"/>
                <w:szCs w:val="20"/>
                <w:color w:val="auto"/>
              </w:rPr>
            </w:pPr>
            <w:r>
              <w:rPr>
                <w:rFonts w:ascii="Arial" w:cs="Arial" w:eastAsia="Arial" w:hAnsi="Arial"/>
                <w:sz w:val="14"/>
                <w:szCs w:val="14"/>
                <w:color w:val="auto"/>
              </w:rPr>
              <w:t>Total SG&amp;A expense</w:t>
            </w: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gridSpan w:val="2"/>
          </w:tcPr>
          <w:p>
            <w:pPr>
              <w:spacing w:after="0"/>
              <w:rPr>
                <w:sz w:val="14"/>
                <w:szCs w:val="14"/>
                <w:color w:val="auto"/>
              </w:rPr>
            </w:pPr>
          </w:p>
        </w:tc>
        <w:tc>
          <w:tcPr>
            <w:tcW w:w="100" w:type="dxa"/>
            <w:vAlign w:val="bottom"/>
            <w:gridSpan w:val="2"/>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gridSpan w:val="3"/>
          </w:tcPr>
          <w:p>
            <w:pPr>
              <w:jc w:val="right"/>
              <w:ind w:right="11"/>
              <w:spacing w:after="0"/>
              <w:rPr>
                <w:sz w:val="20"/>
                <w:szCs w:val="20"/>
                <w:color w:val="auto"/>
              </w:rPr>
            </w:pPr>
            <w:r>
              <w:rPr>
                <w:rFonts w:ascii="Arial" w:cs="Arial" w:eastAsia="Arial" w:hAnsi="Arial"/>
                <w:sz w:val="14"/>
                <w:szCs w:val="14"/>
                <w:color w:val="auto"/>
              </w:rPr>
              <w:t>1,148,861</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Borders>
              <w:bottom w:val="single" w:sz="8" w:color="auto"/>
            </w:tcBorders>
            <w:gridSpan w:val="2"/>
          </w:tcPr>
          <w:p>
            <w:pPr>
              <w:jc w:val="right"/>
              <w:ind w:right="129"/>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556,251</w:t>
            </w:r>
          </w:p>
        </w:tc>
        <w:tc>
          <w:tcPr>
            <w:tcW w:w="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93.9 %</w:t>
            </w:r>
          </w:p>
        </w:tc>
        <w:tc>
          <w:tcPr>
            <w:tcW w:w="4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17"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4"/>
          <w:szCs w:val="14"/>
          <w:i w:val="1"/>
          <w:iCs w:val="1"/>
          <w:color w:val="auto"/>
        </w:rPr>
        <w:t xml:space="preserve">U.S. Reportable Segment. </w:t>
      </w:r>
      <w:r>
        <w:rPr>
          <w:rFonts w:ascii="Arial" w:cs="Arial" w:eastAsia="Arial" w:hAnsi="Arial"/>
          <w:sz w:val="14"/>
          <w:szCs w:val="14"/>
          <w:color w:val="auto"/>
        </w:rPr>
        <w:t>Selling, general and administrative (“SG&amp;A”) expense incurred by the U.S. operations during 2021 increased $511.9 million, or 118.7%, from SG&amp;A expense</w:t>
      </w:r>
      <w:r>
        <w:rPr>
          <w:rFonts w:ascii="Arial" w:cs="Arial" w:eastAsia="Arial" w:hAnsi="Arial"/>
          <w:sz w:val="14"/>
          <w:szCs w:val="14"/>
          <w:i w:val="1"/>
          <w:iCs w:val="1"/>
          <w:color w:val="auto"/>
        </w:rPr>
        <w:t xml:space="preserve"> </w:t>
      </w:r>
      <w:r>
        <w:rPr>
          <w:rFonts w:ascii="Arial" w:cs="Arial" w:eastAsia="Arial" w:hAnsi="Arial"/>
          <w:sz w:val="14"/>
          <w:szCs w:val="14"/>
          <w:color w:val="auto"/>
        </w:rPr>
        <w:t>incurred by the U.S. operations during 2020 primarily from an increase of $470.7 million in litigation settlements and a $24.0 million increase in professional fees mainly due to increased legal representation services. Other factors affecting SG&amp;A expense were individually immaterial.</w:t>
      </w:r>
    </w:p>
    <w:p>
      <w:pPr>
        <w:spacing w:after="0" w:line="99"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i w:val="1"/>
          <w:iCs w:val="1"/>
          <w:color w:val="auto"/>
        </w:rPr>
        <w:t xml:space="preserve">U.K. and Europe Reportable Segment. </w:t>
      </w:r>
      <w:r>
        <w:rPr>
          <w:rFonts w:ascii="Arial" w:cs="Arial" w:eastAsia="Arial" w:hAnsi="Arial"/>
          <w:sz w:val="14"/>
          <w:szCs w:val="14"/>
          <w:color w:val="auto"/>
        </w:rPr>
        <w:t>SG&amp;A expense incurred by the U.K. and Europe operations during 2021 increased $43.6 million, or 37.7%, from SG&amp;A expense incurred by the U.K.</w:t>
      </w:r>
      <w:r>
        <w:rPr>
          <w:rFonts w:ascii="Arial" w:cs="Arial" w:eastAsia="Arial" w:hAnsi="Arial"/>
          <w:sz w:val="14"/>
          <w:szCs w:val="14"/>
          <w:i w:val="1"/>
          <w:iCs w:val="1"/>
          <w:color w:val="auto"/>
        </w:rPr>
        <w:t xml:space="preserve"> </w:t>
      </w:r>
      <w:r>
        <w:rPr>
          <w:rFonts w:ascii="Arial" w:cs="Arial" w:eastAsia="Arial" w:hAnsi="Arial"/>
          <w:sz w:val="14"/>
          <w:szCs w:val="14"/>
          <w:color w:val="auto"/>
        </w:rPr>
        <w:t>and Europe operations during 2020 primarily because of expenses incurred by the acquired PFM operations and an increase in SG&amp;A expense incurred from our existing U.K. and Europe operations. The increase in SG&amp;A expense in our existing U.K. and Europe was mainly due to transactions costs related to the acquisition of PFM and an increase in contract labor services. Other factors affecting SG&amp;A expense were individually immaterial.</w:t>
      </w:r>
    </w:p>
    <w:p>
      <w:pPr>
        <w:spacing w:after="0" w:line="103" w:lineRule="exact"/>
        <w:rPr>
          <w:sz w:val="20"/>
          <w:szCs w:val="20"/>
          <w:color w:val="auto"/>
        </w:rPr>
      </w:pPr>
    </w:p>
    <w:p>
      <w:pPr>
        <w:jc w:val="both"/>
        <w:ind w:firstLine="509"/>
        <w:spacing w:after="0" w:line="281" w:lineRule="auto"/>
        <w:rPr>
          <w:sz w:val="20"/>
          <w:szCs w:val="20"/>
          <w:color w:val="auto"/>
        </w:rPr>
      </w:pPr>
      <w:r>
        <w:rPr>
          <w:rFonts w:ascii="Arial" w:cs="Arial" w:eastAsia="Arial" w:hAnsi="Arial"/>
          <w:sz w:val="14"/>
          <w:szCs w:val="14"/>
          <w:i w:val="1"/>
          <w:iCs w:val="1"/>
          <w:color w:val="auto"/>
        </w:rPr>
        <w:t xml:space="preserve">Mexico Reportable Segment. </w:t>
      </w:r>
      <w:r>
        <w:rPr>
          <w:rFonts w:ascii="Arial" w:cs="Arial" w:eastAsia="Arial" w:hAnsi="Arial"/>
          <w:sz w:val="14"/>
          <w:szCs w:val="14"/>
          <w:color w:val="auto"/>
        </w:rPr>
        <w:t>SG&amp;A expense incurred by the Mexico operations during 2021 increased $0.8 million, or 1.7%, from SG&amp;A expense incurred by the Mexico operations during</w:t>
      </w:r>
      <w:r>
        <w:rPr>
          <w:rFonts w:ascii="Arial" w:cs="Arial" w:eastAsia="Arial" w:hAnsi="Arial"/>
          <w:sz w:val="14"/>
          <w:szCs w:val="14"/>
          <w:i w:val="1"/>
          <w:iCs w:val="1"/>
          <w:color w:val="auto"/>
        </w:rPr>
        <w:t xml:space="preserve"> </w:t>
      </w:r>
      <w:r>
        <w:rPr>
          <w:rFonts w:ascii="Arial" w:cs="Arial" w:eastAsia="Arial" w:hAnsi="Arial"/>
          <w:sz w:val="14"/>
          <w:szCs w:val="14"/>
          <w:color w:val="auto"/>
        </w:rPr>
        <w:t>2020. Factors affecting SG&amp;A expense were individually immaterial.</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9" w:name="page30"/>
    <w:bookmarkEnd w:id="29"/>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-6985</wp:posOffset>
            </wp:positionV>
            <wp:extent cx="727075" cy="69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7075" cy="6985"/>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jc w:val="both"/>
        <w:ind w:firstLine="509"/>
        <w:spacing w:after="0" w:line="281" w:lineRule="auto"/>
        <w:rPr>
          <w:sz w:val="20"/>
          <w:szCs w:val="20"/>
          <w:color w:val="auto"/>
        </w:rPr>
      </w:pPr>
      <w:r>
        <w:rPr>
          <w:rFonts w:ascii="Arial" w:cs="Arial" w:eastAsia="Arial" w:hAnsi="Arial"/>
          <w:sz w:val="14"/>
          <w:szCs w:val="14"/>
          <w:i w:val="1"/>
          <w:iCs w:val="1"/>
          <w:color w:val="auto"/>
        </w:rPr>
        <w:t>Interest expense</w:t>
      </w:r>
      <w:r>
        <w:rPr>
          <w:rFonts w:ascii="Arial" w:cs="Arial" w:eastAsia="Arial" w:hAnsi="Arial"/>
          <w:sz w:val="14"/>
          <w:szCs w:val="14"/>
          <w:color w:val="auto"/>
        </w:rPr>
        <w:t>. Consolidated interest expense increased 15.6% to $145.8 million in 2021 from $126.1 million in 2020, primarily from a loss on early extinguishment of debt recognized as a</w:t>
      </w:r>
      <w:r>
        <w:rPr>
          <w:rFonts w:ascii="Arial" w:cs="Arial" w:eastAsia="Arial" w:hAnsi="Arial"/>
          <w:sz w:val="14"/>
          <w:szCs w:val="14"/>
          <w:i w:val="1"/>
          <w:iCs w:val="1"/>
          <w:color w:val="auto"/>
        </w:rPr>
        <w:t xml:space="preserve"> </w:t>
      </w:r>
      <w:r>
        <w:rPr>
          <w:rFonts w:ascii="Arial" w:cs="Arial" w:eastAsia="Arial" w:hAnsi="Arial"/>
          <w:sz w:val="14"/>
          <w:szCs w:val="14"/>
          <w:color w:val="auto"/>
        </w:rPr>
        <w:t>component of interest expense of $24.7 million. As a percent of net sales, interest expense in 2021 and 2020 was 1.0% and 1.0%, respectively.</w:t>
      </w:r>
    </w:p>
    <w:p>
      <w:pPr>
        <w:spacing w:after="0" w:line="90"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4"/>
          <w:szCs w:val="14"/>
          <w:i w:val="1"/>
          <w:iCs w:val="1"/>
          <w:color w:val="auto"/>
        </w:rPr>
        <w:t xml:space="preserve">Income taxes. </w:t>
      </w:r>
      <w:r>
        <w:rPr>
          <w:rFonts w:ascii="Arial" w:cs="Arial" w:eastAsia="Arial" w:hAnsi="Arial"/>
          <w:sz w:val="14"/>
          <w:szCs w:val="14"/>
          <w:color w:val="auto"/>
        </w:rPr>
        <w:t>Our consolidated income tax expense in 2021 was $61.1 million, compared to income tax expense of $66.8 million in 2020. The decrease in income tax expense in 2021</w:t>
      </w:r>
      <w:r>
        <w:rPr>
          <w:rFonts w:ascii="Arial" w:cs="Arial" w:eastAsia="Arial" w:hAnsi="Arial"/>
          <w:sz w:val="14"/>
          <w:szCs w:val="14"/>
          <w:i w:val="1"/>
          <w:iCs w:val="1"/>
          <w:color w:val="auto"/>
        </w:rPr>
        <w:t xml:space="preserve"> </w:t>
      </w:r>
      <w:r>
        <w:rPr>
          <w:rFonts w:ascii="Arial" w:cs="Arial" w:eastAsia="Arial" w:hAnsi="Arial"/>
          <w:sz w:val="14"/>
          <w:szCs w:val="14"/>
          <w:color w:val="auto"/>
        </w:rPr>
        <w:t>resulted from a decrease in pre-tax income during 2021, partially offset by the recognition of a $6.5 million reserve recognized against certain U.K. interest deductions and the recognition of deferred tax expense of $32.0 million related to the enactment of the U.K. tax rate changed to 25% effective April 1, 2023.</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2020 Compared to 2019</w:t>
      </w:r>
    </w:p>
    <w:p>
      <w:pPr>
        <w:spacing w:after="0" w:line="140" w:lineRule="exact"/>
        <w:rPr>
          <w:sz w:val="20"/>
          <w:szCs w:val="20"/>
          <w:color w:val="auto"/>
        </w:rPr>
      </w:pPr>
    </w:p>
    <w:p>
      <w:pPr>
        <w:jc w:val="both"/>
        <w:ind w:firstLine="509"/>
        <w:spacing w:after="0" w:line="281" w:lineRule="auto"/>
        <w:rPr>
          <w:sz w:val="20"/>
          <w:szCs w:val="20"/>
          <w:color w:val="auto"/>
        </w:rPr>
      </w:pPr>
      <w:r>
        <w:rPr>
          <w:rFonts w:ascii="Arial" w:cs="Arial" w:eastAsia="Arial" w:hAnsi="Arial"/>
          <w:sz w:val="14"/>
          <w:szCs w:val="14"/>
          <w:i w:val="1"/>
          <w:iCs w:val="1"/>
          <w:color w:val="auto"/>
        </w:rPr>
        <w:t xml:space="preserve">Net sales. </w:t>
      </w:r>
      <w:r>
        <w:rPr>
          <w:rFonts w:ascii="Arial" w:cs="Arial" w:eastAsia="Arial" w:hAnsi="Arial"/>
          <w:sz w:val="14"/>
          <w:szCs w:val="14"/>
          <w:color w:val="auto"/>
        </w:rPr>
        <w:t>Net sales for 2020 increased $682.7 million, or 6.0%, from $11.4 billion generated in 2019 to $12.1 billion generated in 2020. The following table provides additional information</w:t>
      </w:r>
      <w:r>
        <w:rPr>
          <w:rFonts w:ascii="Arial" w:cs="Arial" w:eastAsia="Arial" w:hAnsi="Arial"/>
          <w:sz w:val="14"/>
          <w:szCs w:val="14"/>
          <w:i w:val="1"/>
          <w:iCs w:val="1"/>
          <w:color w:val="auto"/>
        </w:rPr>
        <w:t xml:space="preserve"> </w:t>
      </w:r>
      <w:r>
        <w:rPr>
          <w:rFonts w:ascii="Arial" w:cs="Arial" w:eastAsia="Arial" w:hAnsi="Arial"/>
          <w:sz w:val="14"/>
          <w:szCs w:val="14"/>
          <w:color w:val="auto"/>
        </w:rPr>
        <w:t>regarding net sales:</w:t>
      </w:r>
    </w:p>
    <w:p>
      <w:pPr>
        <w:spacing w:after="0" w:line="30" w:lineRule="exact"/>
        <w:rPr>
          <w:sz w:val="20"/>
          <w:szCs w:val="20"/>
          <w:color w:val="auto"/>
        </w:rPr>
      </w:pPr>
    </w:p>
    <w:tbl>
      <w:tblPr>
        <w:tblLayout w:type="fixed"/>
        <w:tblInd w:w="20" w:type="dxa"/>
        <w:tblCellMar>
          <w:top w:w="0" w:type="dxa"/>
          <w:left w:w="0" w:type="dxa"/>
          <w:bottom w:w="0" w:type="dxa"/>
          <w:right w:w="0" w:type="dxa"/>
        </w:tblCellMar>
      </w:tblPr>
      <w:tr>
        <w:trPr>
          <w:trHeight w:val="147"/>
        </w:trPr>
        <w:tc>
          <w:tcPr>
            <w:tcW w:w="6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gridSpan w:val="2"/>
          </w:tcPr>
          <w:p>
            <w:pPr>
              <w:ind w:left="780"/>
              <w:spacing w:after="0"/>
              <w:rPr>
                <w:sz w:val="20"/>
                <w:szCs w:val="20"/>
                <w:color w:val="auto"/>
              </w:rPr>
            </w:pPr>
            <w:r>
              <w:rPr>
                <w:rFonts w:ascii="Arial" w:cs="Arial" w:eastAsia="Arial" w:hAnsi="Arial"/>
                <w:sz w:val="11"/>
                <w:szCs w:val="11"/>
                <w:b w:val="1"/>
                <w:bCs w:val="1"/>
                <w:color w:val="auto"/>
                <w:w w:val="98"/>
              </w:rPr>
              <w:t>Change from 2019</w:t>
            </w:r>
          </w:p>
        </w:tc>
        <w:tc>
          <w:tcPr>
            <w:tcW w:w="1020" w:type="dxa"/>
            <w:vAlign w:val="bottom"/>
            <w:tcBorders>
              <w:bottom w:val="single" w:sz="8" w:color="auto"/>
            </w:tcBorders>
          </w:tcPr>
          <w:p>
            <w:pPr>
              <w:spacing w:after="0"/>
              <w:rPr>
                <w:sz w:val="12"/>
                <w:szCs w:val="12"/>
                <w:color w:val="auto"/>
              </w:rPr>
            </w:pPr>
          </w:p>
        </w:tc>
      </w:tr>
      <w:tr>
        <w:trPr>
          <w:trHeight w:val="147"/>
        </w:trPr>
        <w:tc>
          <w:tcPr>
            <w:tcW w:w="6680" w:type="dxa"/>
            <w:vAlign w:val="bottom"/>
            <w:gridSpan w:val="2"/>
          </w:tcPr>
          <w:p>
            <w:pPr>
              <w:spacing w:after="0"/>
              <w:rPr>
                <w:sz w:val="20"/>
                <w:szCs w:val="20"/>
                <w:color w:val="auto"/>
              </w:rPr>
            </w:pPr>
            <w:r>
              <w:rPr>
                <w:rFonts w:ascii="Arial" w:cs="Arial" w:eastAsia="Arial" w:hAnsi="Arial"/>
                <w:sz w:val="11"/>
                <w:szCs w:val="11"/>
                <w:b w:val="1"/>
                <w:bCs w:val="1"/>
                <w:color w:val="auto"/>
              </w:rPr>
              <w:t>Sources of net sales</w:t>
            </w:r>
          </w:p>
        </w:tc>
        <w:tc>
          <w:tcPr>
            <w:tcW w:w="340" w:type="dxa"/>
            <w:vAlign w:val="bottom"/>
          </w:tcPr>
          <w:p>
            <w:pPr>
              <w:spacing w:after="0"/>
              <w:rPr>
                <w:sz w:val="12"/>
                <w:szCs w:val="12"/>
                <w:color w:val="auto"/>
              </w:rPr>
            </w:pPr>
          </w:p>
        </w:tc>
        <w:tc>
          <w:tcPr>
            <w:tcW w:w="1080" w:type="dxa"/>
            <w:vAlign w:val="bottom"/>
          </w:tcPr>
          <w:p>
            <w:pPr>
              <w:jc w:val="right"/>
              <w:ind w:right="532"/>
              <w:spacing w:after="0"/>
              <w:rPr>
                <w:sz w:val="20"/>
                <w:szCs w:val="20"/>
                <w:color w:val="auto"/>
              </w:rPr>
            </w:pPr>
            <w:r>
              <w:rPr>
                <w:rFonts w:ascii="Arial" w:cs="Arial" w:eastAsia="Arial" w:hAnsi="Arial"/>
                <w:sz w:val="11"/>
                <w:szCs w:val="11"/>
                <w:b w:val="1"/>
                <w:bCs w:val="1"/>
                <w:color w:val="auto"/>
              </w:rPr>
              <w:t>2020</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40" w:type="dxa"/>
            <w:vAlign w:val="bottom"/>
            <w:gridSpan w:val="2"/>
          </w:tcPr>
          <w:p>
            <w:pPr>
              <w:ind w:left="200"/>
              <w:spacing w:after="0"/>
              <w:rPr>
                <w:sz w:val="20"/>
                <w:szCs w:val="20"/>
                <w:color w:val="auto"/>
              </w:rPr>
            </w:pPr>
            <w:r>
              <w:rPr>
                <w:rFonts w:ascii="Arial" w:cs="Arial" w:eastAsia="Arial" w:hAnsi="Arial"/>
                <w:sz w:val="11"/>
                <w:szCs w:val="11"/>
                <w:b w:val="1"/>
                <w:bCs w:val="1"/>
                <w:color w:val="auto"/>
              </w:rPr>
              <w:t>Amount</w:t>
            </w:r>
          </w:p>
        </w:tc>
        <w:tc>
          <w:tcPr>
            <w:tcW w:w="1020" w:type="dxa"/>
            <w:vAlign w:val="bottom"/>
          </w:tcPr>
          <w:p>
            <w:pPr>
              <w:jc w:val="right"/>
              <w:ind w:right="532"/>
              <w:spacing w:after="0"/>
              <w:rPr>
                <w:sz w:val="20"/>
                <w:szCs w:val="20"/>
                <w:color w:val="auto"/>
              </w:rPr>
            </w:pPr>
            <w:r>
              <w:rPr>
                <w:rFonts w:ascii="Arial" w:cs="Arial" w:eastAsia="Arial" w:hAnsi="Arial"/>
                <w:sz w:val="11"/>
                <w:szCs w:val="11"/>
                <w:b w:val="1"/>
                <w:bCs w:val="1"/>
                <w:color w:val="auto"/>
                <w:w w:val="99"/>
              </w:rPr>
              <w:t>Percent</w:t>
            </w:r>
          </w:p>
        </w:tc>
      </w:tr>
      <w:tr>
        <w:trPr>
          <w:trHeight w:val="133"/>
        </w:trPr>
        <w:tc>
          <w:tcPr>
            <w:tcW w:w="65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040" w:type="dxa"/>
            <w:vAlign w:val="bottom"/>
            <w:tcBorders>
              <w:top w:val="single" w:sz="8" w:color="auto"/>
            </w:tcBorders>
            <w:gridSpan w:val="3"/>
          </w:tcPr>
          <w:p>
            <w:pPr>
              <w:ind w:left="20"/>
              <w:spacing w:after="0"/>
              <w:rPr>
                <w:sz w:val="20"/>
                <w:szCs w:val="20"/>
                <w:color w:val="auto"/>
              </w:rPr>
            </w:pPr>
            <w:r>
              <w:rPr>
                <w:rFonts w:ascii="Arial" w:cs="Arial" w:eastAsia="Arial" w:hAnsi="Arial"/>
                <w:sz w:val="10"/>
                <w:szCs w:val="10"/>
                <w:b w:val="1"/>
                <w:bCs w:val="1"/>
                <w:color w:val="auto"/>
              </w:rPr>
              <w:t>(In thousands, except percent data)</w:t>
            </w:r>
          </w:p>
        </w:tc>
        <w:tc>
          <w:tcPr>
            <w:tcW w:w="1020" w:type="dxa"/>
            <w:vAlign w:val="bottom"/>
            <w:tcBorders>
              <w:top w:val="single" w:sz="8" w:color="auto"/>
            </w:tcBorders>
          </w:tcPr>
          <w:p>
            <w:pPr>
              <w:spacing w:after="0"/>
              <w:rPr>
                <w:sz w:val="11"/>
                <w:szCs w:val="11"/>
                <w:color w:val="auto"/>
              </w:rPr>
            </w:pPr>
          </w:p>
        </w:tc>
      </w:tr>
      <w:tr>
        <w:trPr>
          <w:trHeight w:val="188"/>
        </w:trPr>
        <w:tc>
          <w:tcPr>
            <w:tcW w:w="66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U.S.</w:t>
            </w: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7,496,017</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(140,699)</w:t>
            </w:r>
          </w:p>
        </w:tc>
        <w:tc>
          <w:tcPr>
            <w:tcW w:w="6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r>
      <w:tr>
        <w:trPr>
          <w:trHeight w:val="180"/>
        </w:trPr>
        <w:tc>
          <w:tcPr>
            <w:tcW w:w="6680" w:type="dxa"/>
            <w:vAlign w:val="bottom"/>
            <w:gridSpan w:val="2"/>
          </w:tcPr>
          <w:p>
            <w:pPr>
              <w:spacing w:after="0"/>
              <w:rPr>
                <w:sz w:val="20"/>
                <w:szCs w:val="20"/>
                <w:color w:val="auto"/>
              </w:rPr>
            </w:pPr>
            <w:r>
              <w:rPr>
                <w:rFonts w:ascii="Arial" w:cs="Arial" w:eastAsia="Arial" w:hAnsi="Arial"/>
                <w:sz w:val="14"/>
                <w:szCs w:val="14"/>
                <w:color w:val="auto"/>
              </w:rPr>
              <w:t>U.K. and Europe</w:t>
            </w: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3,274,292</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890,499</w:t>
            </w:r>
          </w:p>
        </w:tc>
        <w:tc>
          <w:tcPr>
            <w:tcW w:w="6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37.4 %</w:t>
            </w:r>
          </w:p>
        </w:tc>
      </w:tr>
      <w:tr>
        <w:trPr>
          <w:trHeight w:val="181"/>
        </w:trPr>
        <w:tc>
          <w:tcPr>
            <w:tcW w:w="66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Mexico</w:t>
            </w:r>
          </w:p>
        </w:tc>
        <w:tc>
          <w:tcPr>
            <w:tcW w:w="34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1,321,592</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(67,118)</w:t>
            </w:r>
          </w:p>
        </w:tc>
        <w:tc>
          <w:tcPr>
            <w:tcW w:w="6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w:t>
            </w:r>
          </w:p>
        </w:tc>
      </w:tr>
      <w:tr>
        <w:trPr>
          <w:trHeight w:val="171"/>
        </w:trPr>
        <w:tc>
          <w:tcPr>
            <w:tcW w:w="6680" w:type="dxa"/>
            <w:vAlign w:val="bottom"/>
            <w:gridSpan w:val="2"/>
          </w:tcPr>
          <w:p>
            <w:pPr>
              <w:ind w:left="160"/>
              <w:spacing w:after="0"/>
              <w:rPr>
                <w:sz w:val="20"/>
                <w:szCs w:val="20"/>
                <w:color w:val="auto"/>
              </w:rPr>
            </w:pPr>
            <w:r>
              <w:rPr>
                <w:rFonts w:ascii="Arial" w:cs="Arial" w:eastAsia="Arial" w:hAnsi="Arial"/>
                <w:sz w:val="14"/>
                <w:szCs w:val="14"/>
                <w:color w:val="auto"/>
              </w:rPr>
              <w:t>Total net sales</w:t>
            </w:r>
          </w:p>
        </w:tc>
        <w:tc>
          <w:tcPr>
            <w:tcW w:w="34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12,091,901</w:t>
            </w:r>
          </w:p>
        </w:tc>
        <w:tc>
          <w:tcPr>
            <w:tcW w:w="100" w:type="dxa"/>
            <w:vAlign w:val="bottom"/>
          </w:tcPr>
          <w:p>
            <w:pPr>
              <w:spacing w:after="0"/>
              <w:rPr>
                <w:sz w:val="14"/>
                <w:szCs w:val="14"/>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682,682</w:t>
            </w:r>
          </w:p>
        </w:tc>
        <w:tc>
          <w:tcPr>
            <w:tcW w:w="6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6.0 %</w:t>
            </w:r>
          </w:p>
        </w:tc>
      </w:tr>
      <w:tr>
        <w:trPr>
          <w:trHeight w:val="20"/>
        </w:trPr>
        <w:tc>
          <w:tcPr>
            <w:tcW w:w="6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117"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4"/>
          <w:szCs w:val="14"/>
          <w:i w:val="1"/>
          <w:iCs w:val="1"/>
          <w:color w:val="auto"/>
        </w:rPr>
        <w:t xml:space="preserve">U.S. Reportable Segment. </w:t>
      </w:r>
      <w:r>
        <w:rPr>
          <w:rFonts w:ascii="Arial" w:cs="Arial" w:eastAsia="Arial" w:hAnsi="Arial"/>
          <w:sz w:val="14"/>
          <w:szCs w:val="14"/>
          <w:color w:val="auto"/>
        </w:rPr>
        <w:t>U.S. net sales generated in 2020 decreased $140.7 million, or 1.8%, from U.S. net sales generated in 2019 primarily because of a decrease in net sales per pound,</w:t>
      </w:r>
      <w:r>
        <w:rPr>
          <w:rFonts w:ascii="Arial" w:cs="Arial" w:eastAsia="Arial" w:hAnsi="Arial"/>
          <w:sz w:val="14"/>
          <w:szCs w:val="14"/>
          <w:i w:val="1"/>
          <w:iCs w:val="1"/>
          <w:color w:val="auto"/>
        </w:rPr>
        <w:t xml:space="preserve"> </w:t>
      </w:r>
      <w:r>
        <w:rPr>
          <w:rFonts w:ascii="Arial" w:cs="Arial" w:eastAsia="Arial" w:hAnsi="Arial"/>
          <w:sz w:val="14"/>
          <w:szCs w:val="14"/>
          <w:color w:val="auto"/>
        </w:rPr>
        <w:t>contributing $188.2 million, or 2.4 percentage points, to the decrease in net sales. This decrease in net sales per pound was partially offset by $47.5 million, or 0.6 percentage points, due to an increase in sales volume.</w:t>
      </w:r>
    </w:p>
    <w:p>
      <w:pPr>
        <w:spacing w:after="0" w:line="99"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4"/>
          <w:szCs w:val="14"/>
          <w:i w:val="1"/>
          <w:iCs w:val="1"/>
          <w:color w:val="auto"/>
        </w:rPr>
        <w:t xml:space="preserve">U.K. and Europe Reportable Segment. </w:t>
      </w:r>
      <w:r>
        <w:rPr>
          <w:rFonts w:ascii="Arial" w:cs="Arial" w:eastAsia="Arial" w:hAnsi="Arial"/>
          <w:sz w:val="14"/>
          <w:szCs w:val="14"/>
          <w:color w:val="auto"/>
        </w:rPr>
        <w:t>U.K. and Europe sales generated in 2020 increased $890.5 million, or 37.4%, from U.K. and Europe sales generated in 2019, primarily because of the</w:t>
      </w:r>
      <w:r>
        <w:rPr>
          <w:rFonts w:ascii="Arial" w:cs="Arial" w:eastAsia="Arial" w:hAnsi="Arial"/>
          <w:sz w:val="14"/>
          <w:szCs w:val="14"/>
          <w:i w:val="1"/>
          <w:iCs w:val="1"/>
          <w:color w:val="auto"/>
        </w:rPr>
        <w:t xml:space="preserve"> </w:t>
      </w:r>
      <w:r>
        <w:rPr>
          <w:rFonts w:ascii="Arial" w:cs="Arial" w:eastAsia="Arial" w:hAnsi="Arial"/>
          <w:sz w:val="14"/>
          <w:szCs w:val="14"/>
          <w:color w:val="auto"/>
        </w:rPr>
        <w:t>recently acquired PPL operations, partially offset by a decrease in net sales by our existing U.K. and Europe operations. The impact of the acquired business contributed $1.1 billion, or 44.3 percentage points, to the increase in net sales. The decrease in our existing U.K. and Europe operations was driven by a decrease in sales volume and a decrease in net sales per pound, contributing $159.6 million, or 6.7 percentage points, and $14.5 million, or 0.6 percentage points, respectively, to the decrease in net sales. These decreases in sales volume and net sales per pound were partially offset by $8.0 million, or 0.4 percentage points, due to the favorable impact of foreign currency translation.</w:t>
      </w:r>
    </w:p>
    <w:p>
      <w:pPr>
        <w:spacing w:after="0" w:line="104"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i w:val="1"/>
          <w:iCs w:val="1"/>
          <w:color w:val="auto"/>
        </w:rPr>
        <w:t xml:space="preserve">Mexico Reportable Segment. </w:t>
      </w:r>
      <w:r>
        <w:rPr>
          <w:rFonts w:ascii="Arial" w:cs="Arial" w:eastAsia="Arial" w:hAnsi="Arial"/>
          <w:sz w:val="14"/>
          <w:szCs w:val="14"/>
          <w:color w:val="auto"/>
        </w:rPr>
        <w:t>Mexico sales generated in 2020 decreased $67.1 million, or 4.8%, from Mexico sales generated in 2019 primarily because of the unfavorable impact of foreign</w:t>
      </w:r>
      <w:r>
        <w:rPr>
          <w:rFonts w:ascii="Arial" w:cs="Arial" w:eastAsia="Arial" w:hAnsi="Arial"/>
          <w:sz w:val="14"/>
          <w:szCs w:val="14"/>
          <w:i w:val="1"/>
          <w:iCs w:val="1"/>
          <w:color w:val="auto"/>
        </w:rPr>
        <w:t xml:space="preserve"> </w:t>
      </w:r>
      <w:r>
        <w:rPr>
          <w:rFonts w:ascii="Arial" w:cs="Arial" w:eastAsia="Arial" w:hAnsi="Arial"/>
          <w:sz w:val="14"/>
          <w:szCs w:val="14"/>
          <w:color w:val="auto"/>
        </w:rPr>
        <w:t>currency remeasurement and a decrease in sales volume, partially offset by an increase in net sales per pound. The impact of the unfavorable impact of foreign currency remeasurement and decreased sales volume contributed $154.9 million, or 11.1 percentage points, and $22.1 million, or 1.6 percentage points, to the decrease in net sales. Partially offsetting these decreases in net sales by $109.9 million, or 7.9 percentage points, was an increase in net sales per pound.</w:t>
      </w:r>
    </w:p>
    <w:p>
      <w:pPr>
        <w:spacing w:after="0" w:line="103" w:lineRule="exact"/>
        <w:rPr>
          <w:sz w:val="20"/>
          <w:szCs w:val="20"/>
          <w:color w:val="auto"/>
        </w:rPr>
      </w:pPr>
    </w:p>
    <w:p>
      <w:pPr>
        <w:jc w:val="both"/>
        <w:ind w:firstLine="509"/>
        <w:spacing w:after="0" w:line="281" w:lineRule="auto"/>
        <w:rPr>
          <w:sz w:val="20"/>
          <w:szCs w:val="20"/>
          <w:color w:val="auto"/>
        </w:rPr>
      </w:pPr>
      <w:r>
        <w:rPr>
          <w:rFonts w:ascii="Arial" w:cs="Arial" w:eastAsia="Arial" w:hAnsi="Arial"/>
          <w:sz w:val="14"/>
          <w:szCs w:val="14"/>
          <w:i w:val="1"/>
          <w:iCs w:val="1"/>
          <w:color w:val="auto"/>
        </w:rPr>
        <w:t xml:space="preserve">Gross profit. </w:t>
      </w:r>
      <w:r>
        <w:rPr>
          <w:rFonts w:ascii="Arial" w:cs="Arial" w:eastAsia="Arial" w:hAnsi="Arial"/>
          <w:sz w:val="14"/>
          <w:szCs w:val="14"/>
          <w:color w:val="auto"/>
        </w:rPr>
        <w:t>Gross profit decreased by $232.2 million, or 21.7%, from $1.1 billion generated in 2019 to $838.2 million generated in 2020. The following tables provide gross profit</w:t>
      </w:r>
      <w:r>
        <w:rPr>
          <w:rFonts w:ascii="Arial" w:cs="Arial" w:eastAsia="Arial" w:hAnsi="Arial"/>
          <w:sz w:val="14"/>
          <w:szCs w:val="14"/>
          <w:i w:val="1"/>
          <w:iCs w:val="1"/>
          <w:color w:val="auto"/>
        </w:rPr>
        <w:t xml:space="preserve"> </w:t>
      </w:r>
      <w:r>
        <w:rPr>
          <w:rFonts w:ascii="Arial" w:cs="Arial" w:eastAsia="Arial" w:hAnsi="Arial"/>
          <w:sz w:val="14"/>
          <w:szCs w:val="14"/>
          <w:color w:val="auto"/>
        </w:rPr>
        <w:t>information:</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4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0" w:type="dxa"/>
            <w:vAlign w:val="bottom"/>
            <w:gridSpan w:val="4"/>
          </w:tcPr>
          <w:p>
            <w:pPr>
              <w:ind w:left="620"/>
              <w:spacing w:after="0"/>
              <w:rPr>
                <w:sz w:val="20"/>
                <w:szCs w:val="20"/>
                <w:color w:val="auto"/>
              </w:rPr>
            </w:pPr>
            <w:r>
              <w:rPr>
                <w:rFonts w:ascii="Arial" w:cs="Arial" w:eastAsia="Arial" w:hAnsi="Arial"/>
                <w:sz w:val="11"/>
                <w:szCs w:val="11"/>
                <w:b w:val="1"/>
                <w:bCs w:val="1"/>
                <w:color w:val="auto"/>
              </w:rPr>
              <w:t>Change from 2019</w:t>
            </w:r>
          </w:p>
        </w:tc>
        <w:tc>
          <w:tcPr>
            <w:tcW w:w="1580" w:type="dxa"/>
            <w:vAlign w:val="bottom"/>
          </w:tcPr>
          <w:p>
            <w:pPr>
              <w:jc w:val="right"/>
              <w:spacing w:after="0"/>
              <w:rPr>
                <w:sz w:val="20"/>
                <w:szCs w:val="20"/>
                <w:color w:val="auto"/>
              </w:rPr>
            </w:pPr>
            <w:r>
              <w:rPr>
                <w:rFonts w:ascii="Arial" w:cs="Arial" w:eastAsia="Arial" w:hAnsi="Arial"/>
                <w:sz w:val="11"/>
                <w:szCs w:val="11"/>
                <w:b w:val="1"/>
                <w:bCs w:val="1"/>
                <w:color w:val="auto"/>
              </w:rPr>
              <w:t>Percent of Net Sales</w:t>
            </w:r>
          </w:p>
        </w:tc>
        <w:tc>
          <w:tcPr>
            <w:tcW w:w="820" w:type="dxa"/>
            <w:vAlign w:val="bottom"/>
          </w:tcPr>
          <w:p>
            <w:pPr>
              <w:spacing w:after="0"/>
              <w:rPr>
                <w:sz w:val="12"/>
                <w:szCs w:val="12"/>
                <w:color w:val="auto"/>
              </w:rPr>
            </w:pPr>
          </w:p>
        </w:tc>
      </w:tr>
      <w:tr>
        <w:trPr>
          <w:trHeight w:val="147"/>
        </w:trPr>
        <w:tc>
          <w:tcPr>
            <w:tcW w:w="4540" w:type="dxa"/>
            <w:vAlign w:val="bottom"/>
            <w:gridSpan w:val="2"/>
          </w:tcPr>
          <w:p>
            <w:pPr>
              <w:ind w:left="20"/>
              <w:spacing w:after="0"/>
              <w:rPr>
                <w:sz w:val="20"/>
                <w:szCs w:val="20"/>
                <w:color w:val="auto"/>
              </w:rPr>
            </w:pPr>
            <w:r>
              <w:rPr>
                <w:rFonts w:ascii="Arial" w:cs="Arial" w:eastAsia="Arial" w:hAnsi="Arial"/>
                <w:sz w:val="11"/>
                <w:szCs w:val="11"/>
                <w:b w:val="1"/>
                <w:bCs w:val="1"/>
                <w:color w:val="auto"/>
              </w:rPr>
              <w:t>Components of gross profit</w:t>
            </w:r>
          </w:p>
        </w:tc>
        <w:tc>
          <w:tcPr>
            <w:tcW w:w="280" w:type="dxa"/>
            <w:vAlign w:val="bottom"/>
          </w:tcPr>
          <w:p>
            <w:pPr>
              <w:spacing w:after="0"/>
              <w:rPr>
                <w:sz w:val="12"/>
                <w:szCs w:val="12"/>
                <w:color w:val="auto"/>
              </w:rPr>
            </w:pPr>
          </w:p>
        </w:tc>
        <w:tc>
          <w:tcPr>
            <w:tcW w:w="920" w:type="dxa"/>
            <w:vAlign w:val="bottom"/>
          </w:tcPr>
          <w:p>
            <w:pPr>
              <w:jc w:val="right"/>
              <w:ind w:right="412"/>
              <w:spacing w:after="0"/>
              <w:rPr>
                <w:sz w:val="20"/>
                <w:szCs w:val="20"/>
                <w:color w:val="auto"/>
              </w:rPr>
            </w:pPr>
            <w:r>
              <w:rPr>
                <w:rFonts w:ascii="Arial" w:cs="Arial" w:eastAsia="Arial" w:hAnsi="Arial"/>
                <w:sz w:val="11"/>
                <w:szCs w:val="11"/>
                <w:b w:val="1"/>
                <w:bCs w:val="1"/>
                <w:color w:val="auto"/>
              </w:rPr>
              <w:t>2020</w:t>
            </w: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ind w:left="160"/>
              <w:spacing w:after="0"/>
              <w:rPr>
                <w:sz w:val="20"/>
                <w:szCs w:val="20"/>
                <w:color w:val="auto"/>
              </w:rPr>
            </w:pPr>
            <w:r>
              <w:rPr>
                <w:rFonts w:ascii="Arial" w:cs="Arial" w:eastAsia="Arial" w:hAnsi="Arial"/>
                <w:sz w:val="11"/>
                <w:szCs w:val="11"/>
                <w:b w:val="1"/>
                <w:bCs w:val="1"/>
                <w:color w:val="auto"/>
              </w:rPr>
              <w:t>Amount</w:t>
            </w:r>
          </w:p>
        </w:tc>
        <w:tc>
          <w:tcPr>
            <w:tcW w:w="1420" w:type="dxa"/>
            <w:vAlign w:val="bottom"/>
            <w:tcBorders>
              <w:top w:val="single" w:sz="8" w:color="auto"/>
            </w:tcBorders>
          </w:tcPr>
          <w:p>
            <w:pPr>
              <w:jc w:val="right"/>
              <w:ind w:right="416"/>
              <w:spacing w:after="0"/>
              <w:rPr>
                <w:sz w:val="20"/>
                <w:szCs w:val="20"/>
                <w:color w:val="auto"/>
              </w:rPr>
            </w:pPr>
            <w:r>
              <w:rPr>
                <w:rFonts w:ascii="Arial" w:cs="Arial" w:eastAsia="Arial" w:hAnsi="Arial"/>
                <w:sz w:val="11"/>
                <w:szCs w:val="11"/>
                <w:b w:val="1"/>
                <w:bCs w:val="1"/>
                <w:color w:val="auto"/>
              </w:rPr>
              <w:t>Percent</w:t>
            </w:r>
          </w:p>
        </w:tc>
        <w:tc>
          <w:tcPr>
            <w:tcW w:w="1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580" w:type="dxa"/>
            <w:vAlign w:val="bottom"/>
            <w:tcBorders>
              <w:top w:val="single" w:sz="8" w:color="auto"/>
            </w:tcBorders>
          </w:tcPr>
          <w:p>
            <w:pPr>
              <w:jc w:val="right"/>
              <w:ind w:right="1075"/>
              <w:spacing w:after="0"/>
              <w:rPr>
                <w:sz w:val="20"/>
                <w:szCs w:val="20"/>
                <w:color w:val="auto"/>
              </w:rPr>
            </w:pPr>
            <w:r>
              <w:rPr>
                <w:rFonts w:ascii="Arial" w:cs="Arial" w:eastAsia="Arial" w:hAnsi="Arial"/>
                <w:sz w:val="11"/>
                <w:szCs w:val="11"/>
                <w:b w:val="1"/>
                <w:bCs w:val="1"/>
                <w:color w:val="auto"/>
              </w:rPr>
              <w:t>2020</w:t>
            </w:r>
          </w:p>
        </w:tc>
        <w:tc>
          <w:tcPr>
            <w:tcW w:w="820" w:type="dxa"/>
            <w:vAlign w:val="bottom"/>
            <w:tcBorders>
              <w:top w:val="single" w:sz="8" w:color="auto"/>
            </w:tcBorders>
          </w:tcPr>
          <w:p>
            <w:pPr>
              <w:jc w:val="right"/>
              <w:ind w:right="473"/>
              <w:spacing w:after="0"/>
              <w:rPr>
                <w:sz w:val="20"/>
                <w:szCs w:val="20"/>
                <w:color w:val="auto"/>
              </w:rPr>
            </w:pPr>
            <w:r>
              <w:rPr>
                <w:rFonts w:ascii="Arial" w:cs="Arial" w:eastAsia="Arial" w:hAnsi="Arial"/>
                <w:sz w:val="11"/>
                <w:szCs w:val="11"/>
                <w:b w:val="1"/>
                <w:bCs w:val="1"/>
                <w:color w:val="auto"/>
              </w:rPr>
              <w:t>2019</w:t>
            </w:r>
          </w:p>
        </w:tc>
      </w:tr>
      <w:tr>
        <w:trPr>
          <w:trHeight w:val="133"/>
        </w:trPr>
        <w:tc>
          <w:tcPr>
            <w:tcW w:w="44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840" w:type="dxa"/>
            <w:vAlign w:val="bottom"/>
            <w:tcBorders>
              <w:top w:val="single" w:sz="8" w:color="auto"/>
            </w:tcBorders>
            <w:gridSpan w:val="3"/>
          </w:tcPr>
          <w:p>
            <w:pPr>
              <w:ind w:left="120"/>
              <w:spacing w:after="0"/>
              <w:rPr>
                <w:sz w:val="20"/>
                <w:szCs w:val="20"/>
                <w:color w:val="auto"/>
              </w:rPr>
            </w:pPr>
            <w:r>
              <w:rPr>
                <w:rFonts w:ascii="Arial" w:cs="Arial" w:eastAsia="Arial" w:hAnsi="Arial"/>
                <w:sz w:val="10"/>
                <w:szCs w:val="10"/>
                <w:b w:val="1"/>
                <w:bCs w:val="1"/>
                <w:color w:val="auto"/>
              </w:rPr>
              <w:t>(In thousands, except percent data)</w:t>
            </w:r>
          </w:p>
        </w:tc>
        <w:tc>
          <w:tcPr>
            <w:tcW w:w="158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r>
      <w:tr>
        <w:trPr>
          <w:trHeight w:val="188"/>
        </w:trPr>
        <w:tc>
          <w:tcPr>
            <w:tcW w:w="45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Net sales</w:t>
            </w:r>
          </w:p>
        </w:tc>
        <w:tc>
          <w:tcPr>
            <w:tcW w:w="2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12,091,901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center"/>
              <w:ind w:left="355"/>
              <w:spacing w:after="0"/>
              <w:rPr>
                <w:sz w:val="20"/>
                <w:szCs w:val="20"/>
                <w:color w:val="auto"/>
              </w:rPr>
            </w:pPr>
            <w:r>
              <w:rPr>
                <w:rFonts w:ascii="Arial" w:cs="Arial" w:eastAsia="Arial" w:hAnsi="Arial"/>
                <w:sz w:val="14"/>
                <w:szCs w:val="14"/>
                <w:color w:val="auto"/>
                <w:w w:val="90"/>
              </w:rPr>
              <w:t>682,682</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6.0 %</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580" w:type="dxa"/>
            <w:vAlign w:val="bottom"/>
            <w:shd w:val="clear" w:color="auto" w:fill="CCEEFF"/>
          </w:tcPr>
          <w:p>
            <w:pPr>
              <w:jc w:val="right"/>
              <w:ind w:right="535"/>
              <w:spacing w:after="0"/>
              <w:rPr>
                <w:sz w:val="20"/>
                <w:szCs w:val="20"/>
                <w:color w:val="auto"/>
              </w:rPr>
            </w:pPr>
            <w:r>
              <w:rPr>
                <w:rFonts w:ascii="Arial" w:cs="Arial" w:eastAsia="Arial" w:hAnsi="Arial"/>
                <w:sz w:val="14"/>
                <w:szCs w:val="14"/>
                <w:color w:val="auto"/>
              </w:rPr>
              <w:t>100.0 %</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100.0 %</w:t>
            </w:r>
          </w:p>
        </w:tc>
      </w:tr>
      <w:tr>
        <w:trPr>
          <w:trHeight w:val="180"/>
        </w:trPr>
        <w:tc>
          <w:tcPr>
            <w:tcW w:w="45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Cost of sales</w:t>
            </w: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11,253,705</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left="355"/>
              <w:spacing w:after="0"/>
              <w:rPr>
                <w:sz w:val="20"/>
                <w:szCs w:val="20"/>
                <w:color w:val="auto"/>
              </w:rPr>
            </w:pPr>
            <w:r>
              <w:rPr>
                <w:rFonts w:ascii="Arial" w:cs="Arial" w:eastAsia="Arial" w:hAnsi="Arial"/>
                <w:sz w:val="14"/>
                <w:szCs w:val="14"/>
                <w:color w:val="auto"/>
                <w:w w:val="90"/>
              </w:rPr>
              <w:t>914,880</w:t>
            </w:r>
          </w:p>
        </w:tc>
        <w:tc>
          <w:tcPr>
            <w:tcW w:w="142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8.8 %</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1580" w:type="dxa"/>
            <w:vAlign w:val="bottom"/>
            <w:tcBorders>
              <w:bottom w:val="single" w:sz="8" w:color="CCEEFF"/>
            </w:tcBorders>
          </w:tcPr>
          <w:p>
            <w:pPr>
              <w:jc w:val="right"/>
              <w:ind w:right="535"/>
              <w:spacing w:after="0"/>
              <w:rPr>
                <w:sz w:val="20"/>
                <w:szCs w:val="20"/>
                <w:color w:val="auto"/>
              </w:rPr>
            </w:pPr>
            <w:r>
              <w:rPr>
                <w:rFonts w:ascii="Arial" w:cs="Arial" w:eastAsia="Arial" w:hAnsi="Arial"/>
                <w:sz w:val="14"/>
                <w:szCs w:val="14"/>
                <w:color w:val="auto"/>
              </w:rPr>
              <w:t>93.1 %</w:t>
            </w:r>
          </w:p>
        </w:tc>
        <w:tc>
          <w:tcPr>
            <w:tcW w:w="82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90.6 %</w:t>
            </w:r>
          </w:p>
        </w:tc>
      </w:tr>
      <w:tr>
        <w:trPr>
          <w:trHeight w:val="196"/>
        </w:trPr>
        <w:tc>
          <w:tcPr>
            <w:tcW w:w="45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color w:val="auto"/>
              </w:rPr>
              <w:t>Gross profit</w:t>
            </w: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838,196</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CEEFF"/>
          </w:tcPr>
          <w:p>
            <w:pPr>
              <w:jc w:val="center"/>
              <w:ind w:left="315"/>
              <w:spacing w:after="0"/>
              <w:rPr>
                <w:sz w:val="20"/>
                <w:szCs w:val="20"/>
                <w:color w:val="auto"/>
              </w:rPr>
            </w:pPr>
            <w:r>
              <w:rPr>
                <w:rFonts w:ascii="Arial" w:cs="Arial" w:eastAsia="Arial" w:hAnsi="Arial"/>
                <w:sz w:val="14"/>
                <w:szCs w:val="14"/>
                <w:color w:val="auto"/>
                <w:w w:val="90"/>
              </w:rPr>
              <w:t>(232,198)</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(21.7)%</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shd w:val="clear" w:color="auto" w:fill="CCEEFF"/>
          </w:tcPr>
          <w:p>
            <w:pPr>
              <w:jc w:val="right"/>
              <w:ind w:right="535"/>
              <w:spacing w:after="0"/>
              <w:rPr>
                <w:sz w:val="20"/>
                <w:szCs w:val="20"/>
                <w:color w:val="auto"/>
              </w:rPr>
            </w:pPr>
            <w:r>
              <w:rPr>
                <w:rFonts w:ascii="Arial" w:cs="Arial" w:eastAsia="Arial" w:hAnsi="Arial"/>
                <w:sz w:val="14"/>
                <w:szCs w:val="14"/>
                <w:color w:val="auto"/>
              </w:rPr>
              <w:t>6.9 %</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9.4 %</w:t>
            </w: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r>
      <w:tr>
        <w:trPr>
          <w:trHeight w:val="567"/>
        </w:trPr>
        <w:tc>
          <w:tcPr>
            <w:tcW w:w="4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87"/>
        </w:trPr>
        <w:tc>
          <w:tcPr>
            <w:tcW w:w="44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14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58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0" w:name="page31"/>
    <w:bookmarkEnd w:id="30"/>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-6985</wp:posOffset>
            </wp:positionV>
            <wp:extent cx="727075" cy="69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7075" cy="6985"/>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tbl>
      <w:tblPr>
        <w:tblLayout w:type="fixed"/>
        <w:tblInd w:w="40" w:type="dxa"/>
        <w:tblCellMar>
          <w:top w:w="0" w:type="dxa"/>
          <w:left w:w="0" w:type="dxa"/>
          <w:bottom w:w="0" w:type="dxa"/>
          <w:right w:w="0" w:type="dxa"/>
        </w:tblCellMar>
      </w:tblPr>
      <w:tr>
        <w:trPr>
          <w:trHeight w:val="151"/>
        </w:trPr>
        <w:tc>
          <w:tcPr>
            <w:tcW w:w="7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3"/>
          </w:tcPr>
          <w:p>
            <w:pPr>
              <w:ind w:left="640"/>
              <w:spacing w:after="0"/>
              <w:rPr>
                <w:sz w:val="20"/>
                <w:szCs w:val="20"/>
                <w:color w:val="auto"/>
              </w:rPr>
            </w:pPr>
            <w:r>
              <w:rPr>
                <w:rFonts w:ascii="Arial" w:cs="Arial" w:eastAsia="Arial" w:hAnsi="Arial"/>
                <w:sz w:val="11"/>
                <w:szCs w:val="11"/>
                <w:b w:val="1"/>
                <w:bCs w:val="1"/>
                <w:color w:val="auto"/>
                <w:w w:val="92"/>
              </w:rPr>
              <w:t>Change from 2019</w:t>
            </w:r>
          </w:p>
        </w:tc>
        <w:tc>
          <w:tcPr>
            <w:tcW w:w="840" w:type="dxa"/>
            <w:vAlign w:val="bottom"/>
            <w:tcBorders>
              <w:bottom w:val="single" w:sz="8" w:color="auto"/>
            </w:tcBorders>
          </w:tcPr>
          <w:p>
            <w:pPr>
              <w:spacing w:after="0"/>
              <w:rPr>
                <w:sz w:val="13"/>
                <w:szCs w:val="13"/>
                <w:color w:val="auto"/>
              </w:rPr>
            </w:pPr>
          </w:p>
        </w:tc>
      </w:tr>
      <w:tr>
        <w:trPr>
          <w:trHeight w:val="192"/>
        </w:trPr>
        <w:tc>
          <w:tcPr>
            <w:tcW w:w="7240" w:type="dxa"/>
            <w:vAlign w:val="bottom"/>
            <w:tcBorders>
              <w:bottom w:val="single" w:sz="8" w:color="auto"/>
            </w:tcBorders>
            <w:gridSpan w:val="2"/>
          </w:tcPr>
          <w:p>
            <w:pPr>
              <w:spacing w:after="0"/>
              <w:rPr>
                <w:sz w:val="20"/>
                <w:szCs w:val="20"/>
                <w:color w:val="auto"/>
              </w:rPr>
            </w:pPr>
            <w:r>
              <w:rPr>
                <w:rFonts w:ascii="Arial" w:cs="Arial" w:eastAsia="Arial" w:hAnsi="Arial"/>
                <w:sz w:val="11"/>
                <w:szCs w:val="11"/>
                <w:b w:val="1"/>
                <w:bCs w:val="1"/>
                <w:color w:val="auto"/>
              </w:rPr>
              <w:t>Sources of gross profit</w:t>
            </w: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73"/>
              <w:spacing w:after="0"/>
              <w:rPr>
                <w:sz w:val="20"/>
                <w:szCs w:val="20"/>
                <w:color w:val="auto"/>
              </w:rPr>
            </w:pPr>
            <w:r>
              <w:rPr>
                <w:rFonts w:ascii="Arial" w:cs="Arial" w:eastAsia="Arial" w:hAnsi="Arial"/>
                <w:sz w:val="11"/>
                <w:szCs w:val="11"/>
                <w:b w:val="1"/>
                <w:bCs w:val="1"/>
                <w:color w:val="auto"/>
              </w:rPr>
              <w:t>2020</w:t>
            </w:r>
          </w:p>
        </w:tc>
        <w:tc>
          <w:tcPr>
            <w:tcW w:w="4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33"/>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12"/>
              <w:spacing w:after="0"/>
              <w:rPr>
                <w:sz w:val="20"/>
                <w:szCs w:val="20"/>
                <w:color w:val="auto"/>
              </w:rPr>
            </w:pPr>
            <w:r>
              <w:rPr>
                <w:rFonts w:ascii="Arial" w:cs="Arial" w:eastAsia="Arial" w:hAnsi="Arial"/>
                <w:sz w:val="11"/>
                <w:szCs w:val="11"/>
                <w:b w:val="1"/>
                <w:bCs w:val="1"/>
                <w:color w:val="auto"/>
                <w:w w:val="84"/>
              </w:rPr>
              <w:t>Percent</w:t>
            </w:r>
          </w:p>
        </w:tc>
      </w:tr>
      <w:tr>
        <w:trPr>
          <w:trHeight w:val="127"/>
        </w:trPr>
        <w:tc>
          <w:tcPr>
            <w:tcW w:w="7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gridSpan w:val="3"/>
          </w:tcPr>
          <w:p>
            <w:pPr>
              <w:spacing w:after="0"/>
              <w:rPr>
                <w:sz w:val="20"/>
                <w:szCs w:val="20"/>
                <w:color w:val="auto"/>
              </w:rPr>
            </w:pPr>
            <w:r>
              <w:rPr>
                <w:rFonts w:ascii="Arial" w:cs="Arial" w:eastAsia="Arial" w:hAnsi="Arial"/>
                <w:sz w:val="10"/>
                <w:szCs w:val="10"/>
                <w:b w:val="1"/>
                <w:bCs w:val="1"/>
                <w:color w:val="auto"/>
                <w:w w:val="97"/>
              </w:rPr>
              <w:t>(In</w:t>
            </w:r>
          </w:p>
        </w:tc>
        <w:tc>
          <w:tcPr>
            <w:tcW w:w="1300" w:type="dxa"/>
            <w:vAlign w:val="bottom"/>
            <w:gridSpan w:val="3"/>
          </w:tcPr>
          <w:p>
            <w:pPr>
              <w:ind w:left="20"/>
              <w:spacing w:after="0"/>
              <w:rPr>
                <w:sz w:val="20"/>
                <w:szCs w:val="20"/>
                <w:color w:val="auto"/>
              </w:rPr>
            </w:pPr>
            <w:r>
              <w:rPr>
                <w:rFonts w:ascii="Arial" w:cs="Arial" w:eastAsia="Arial" w:hAnsi="Arial"/>
                <w:sz w:val="10"/>
                <w:szCs w:val="10"/>
                <w:b w:val="1"/>
                <w:bCs w:val="1"/>
                <w:color w:val="auto"/>
                <w:w w:val="82"/>
              </w:rPr>
              <w:t>thousands, except percent data)</w:t>
            </w:r>
          </w:p>
        </w:tc>
        <w:tc>
          <w:tcPr>
            <w:tcW w:w="46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86"/>
        </w:trPr>
        <w:tc>
          <w:tcPr>
            <w:tcW w:w="72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U.S.</w:t>
            </w:r>
          </w:p>
        </w:tc>
        <w:tc>
          <w:tcPr>
            <w:tcW w:w="340" w:type="dxa"/>
            <w:vAlign w:val="bottom"/>
            <w:gridSpan w:val="2"/>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500,465</w:t>
            </w:r>
          </w:p>
        </w:tc>
        <w:tc>
          <w:tcPr>
            <w:tcW w:w="360" w:type="dxa"/>
            <w:vAlign w:val="bottom"/>
            <w:gridSpan w:val="4"/>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(233,014)</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(31.8)%</w:t>
            </w:r>
          </w:p>
        </w:tc>
      </w:tr>
      <w:tr>
        <w:trPr>
          <w:trHeight w:val="180"/>
        </w:trPr>
        <w:tc>
          <w:tcPr>
            <w:tcW w:w="7240" w:type="dxa"/>
            <w:vAlign w:val="bottom"/>
            <w:gridSpan w:val="2"/>
          </w:tcPr>
          <w:p>
            <w:pPr>
              <w:spacing w:after="0"/>
              <w:rPr>
                <w:sz w:val="20"/>
                <w:szCs w:val="20"/>
                <w:color w:val="auto"/>
              </w:rPr>
            </w:pPr>
            <w:r>
              <w:rPr>
                <w:rFonts w:ascii="Arial" w:cs="Arial" w:eastAsia="Arial" w:hAnsi="Arial"/>
                <w:sz w:val="14"/>
                <w:szCs w:val="14"/>
                <w:color w:val="auto"/>
              </w:rPr>
              <w:t>U.K. and Europe</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218,327</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46,576</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27.1 %</w:t>
            </w:r>
          </w:p>
        </w:tc>
      </w:tr>
      <w:tr>
        <w:trPr>
          <w:trHeight w:val="181"/>
        </w:trPr>
        <w:tc>
          <w:tcPr>
            <w:tcW w:w="72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Mexico</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118,931</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(46,137)</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(28.0)%</w:t>
            </w:r>
          </w:p>
        </w:tc>
      </w:tr>
      <w:tr>
        <w:trPr>
          <w:trHeight w:val="180"/>
        </w:trPr>
        <w:tc>
          <w:tcPr>
            <w:tcW w:w="724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Elimination</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473</w:t>
            </w:r>
          </w:p>
        </w:tc>
        <w:tc>
          <w:tcPr>
            <w:tcW w:w="40" w:type="dxa"/>
            <w:vAlign w:val="bottom"/>
            <w:tcBorders>
              <w:bottom w:val="single" w:sz="8" w:color="auto"/>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377</w:t>
            </w: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CCEEFF"/>
            </w:tcBorders>
          </w:tcPr>
          <w:p>
            <w:pPr>
              <w:spacing w:after="0"/>
              <w:rPr>
                <w:sz w:val="15"/>
                <w:szCs w:val="15"/>
                <w:color w:val="auto"/>
              </w:rPr>
            </w:pPr>
          </w:p>
        </w:tc>
        <w:tc>
          <w:tcPr>
            <w:tcW w:w="8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392.7 %</w:t>
            </w:r>
          </w:p>
        </w:tc>
      </w:tr>
      <w:tr>
        <w:trPr>
          <w:trHeight w:val="196"/>
        </w:trPr>
        <w:tc>
          <w:tcPr>
            <w:tcW w:w="72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4"/>
                <w:szCs w:val="14"/>
                <w:color w:val="auto"/>
              </w:rPr>
              <w:t>Total gross profit</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838,196</w:t>
            </w:r>
          </w:p>
        </w:tc>
        <w:tc>
          <w:tcPr>
            <w:tcW w:w="40" w:type="dxa"/>
            <w:vAlign w:val="bottom"/>
            <w:tcBorders>
              <w:bottom w:val="single" w:sz="8" w:color="auto"/>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(232,198)</w:t>
            </w:r>
          </w:p>
        </w:tc>
        <w:tc>
          <w:tcPr>
            <w:tcW w:w="1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(21.7)%</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r>
      <w:tr>
        <w:trPr>
          <w:trHeight w:val="202"/>
        </w:trPr>
        <w:tc>
          <w:tcPr>
            <w:tcW w:w="7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3"/>
          </w:tcPr>
          <w:p>
            <w:pPr>
              <w:ind w:left="600"/>
              <w:spacing w:after="0"/>
              <w:rPr>
                <w:sz w:val="20"/>
                <w:szCs w:val="20"/>
                <w:color w:val="auto"/>
              </w:rPr>
            </w:pPr>
            <w:r>
              <w:rPr>
                <w:rFonts w:ascii="Arial" w:cs="Arial" w:eastAsia="Arial" w:hAnsi="Arial"/>
                <w:sz w:val="11"/>
                <w:szCs w:val="11"/>
                <w:b w:val="1"/>
                <w:bCs w:val="1"/>
                <w:color w:val="auto"/>
                <w:w w:val="96"/>
              </w:rPr>
              <w:t>Change from 2019</w:t>
            </w:r>
          </w:p>
        </w:tc>
        <w:tc>
          <w:tcPr>
            <w:tcW w:w="840" w:type="dxa"/>
            <w:vAlign w:val="bottom"/>
            <w:tcBorders>
              <w:bottom w:val="single" w:sz="8" w:color="auto"/>
            </w:tcBorders>
          </w:tcPr>
          <w:p>
            <w:pPr>
              <w:spacing w:after="0"/>
              <w:rPr>
                <w:sz w:val="17"/>
                <w:szCs w:val="17"/>
                <w:color w:val="auto"/>
              </w:rPr>
            </w:pPr>
          </w:p>
        </w:tc>
      </w:tr>
      <w:tr>
        <w:trPr>
          <w:trHeight w:val="192"/>
        </w:trPr>
        <w:tc>
          <w:tcPr>
            <w:tcW w:w="714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Sources of cost of sales</w:t>
            </w:r>
          </w:p>
        </w:tc>
        <w:tc>
          <w:tcPr>
            <w:tcW w:w="1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53"/>
              <w:spacing w:after="0"/>
              <w:rPr>
                <w:sz w:val="20"/>
                <w:szCs w:val="20"/>
                <w:color w:val="auto"/>
              </w:rPr>
            </w:pPr>
            <w:r>
              <w:rPr>
                <w:rFonts w:ascii="Arial" w:cs="Arial" w:eastAsia="Arial" w:hAnsi="Arial"/>
                <w:sz w:val="11"/>
                <w:szCs w:val="11"/>
                <w:b w:val="1"/>
                <w:bCs w:val="1"/>
                <w:color w:val="auto"/>
              </w:rPr>
              <w:t>2020</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3"/>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12"/>
              <w:spacing w:after="0"/>
              <w:rPr>
                <w:sz w:val="20"/>
                <w:szCs w:val="20"/>
                <w:color w:val="auto"/>
              </w:rPr>
            </w:pPr>
            <w:r>
              <w:rPr>
                <w:rFonts w:ascii="Arial" w:cs="Arial" w:eastAsia="Arial" w:hAnsi="Arial"/>
                <w:sz w:val="11"/>
                <w:szCs w:val="11"/>
                <w:b w:val="1"/>
                <w:bCs w:val="1"/>
                <w:color w:val="auto"/>
                <w:w w:val="84"/>
              </w:rPr>
              <w:t>Percent</w:t>
            </w:r>
          </w:p>
        </w:tc>
      </w:tr>
      <w:tr>
        <w:trPr>
          <w:trHeight w:val="136"/>
        </w:trPr>
        <w:tc>
          <w:tcPr>
            <w:tcW w:w="7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0" w:type="dxa"/>
            <w:vAlign w:val="bottom"/>
            <w:gridSpan w:val="8"/>
          </w:tcPr>
          <w:p>
            <w:pPr>
              <w:ind w:left="860"/>
              <w:spacing w:after="0"/>
              <w:rPr>
                <w:sz w:val="20"/>
                <w:szCs w:val="20"/>
                <w:color w:val="auto"/>
              </w:rPr>
            </w:pPr>
            <w:r>
              <w:rPr>
                <w:rFonts w:ascii="Arial" w:cs="Arial" w:eastAsia="Arial" w:hAnsi="Arial"/>
                <w:sz w:val="10"/>
                <w:szCs w:val="10"/>
                <w:b w:val="1"/>
                <w:bCs w:val="1"/>
                <w:color w:val="auto"/>
              </w:rPr>
              <w:t>(In thousands, except percent data)</w:t>
            </w:r>
          </w:p>
        </w:tc>
        <w:tc>
          <w:tcPr>
            <w:tcW w:w="840" w:type="dxa"/>
            <w:vAlign w:val="bottom"/>
          </w:tcPr>
          <w:p>
            <w:pPr>
              <w:spacing w:after="0"/>
              <w:rPr>
                <w:sz w:val="11"/>
                <w:szCs w:val="11"/>
                <w:color w:val="auto"/>
              </w:rPr>
            </w:pPr>
          </w:p>
        </w:tc>
      </w:tr>
      <w:tr>
        <w:trPr>
          <w:trHeight w:val="188"/>
        </w:trPr>
        <w:tc>
          <w:tcPr>
            <w:tcW w:w="72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U.S.</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6,995,552</w:t>
            </w:r>
          </w:p>
        </w:tc>
        <w:tc>
          <w:tcPr>
            <w:tcW w:w="360" w:type="dxa"/>
            <w:vAlign w:val="bottom"/>
            <w:gridSpan w:val="4"/>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92,315</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1.3 %</w:t>
            </w:r>
          </w:p>
        </w:tc>
      </w:tr>
      <w:tr>
        <w:trPr>
          <w:trHeight w:val="180"/>
        </w:trPr>
        <w:tc>
          <w:tcPr>
            <w:tcW w:w="7240" w:type="dxa"/>
            <w:vAlign w:val="bottom"/>
            <w:gridSpan w:val="2"/>
          </w:tcPr>
          <w:p>
            <w:pPr>
              <w:spacing w:after="0"/>
              <w:rPr>
                <w:sz w:val="20"/>
                <w:szCs w:val="20"/>
                <w:color w:val="auto"/>
              </w:rPr>
            </w:pPr>
            <w:r>
              <w:rPr>
                <w:rFonts w:ascii="Arial" w:cs="Arial" w:eastAsia="Arial" w:hAnsi="Arial"/>
                <w:sz w:val="14"/>
                <w:szCs w:val="14"/>
                <w:color w:val="auto"/>
              </w:rPr>
              <w:t>U.K. and Europe</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3,055,965</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843,923</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38.2 %</w:t>
            </w:r>
          </w:p>
        </w:tc>
      </w:tr>
      <w:tr>
        <w:trPr>
          <w:trHeight w:val="181"/>
        </w:trPr>
        <w:tc>
          <w:tcPr>
            <w:tcW w:w="72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Mexico</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1,202,661</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(20,981)</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r>
      <w:tr>
        <w:trPr>
          <w:trHeight w:val="180"/>
        </w:trPr>
        <w:tc>
          <w:tcPr>
            <w:tcW w:w="7240" w:type="dxa"/>
            <w:vAlign w:val="bottom"/>
            <w:tcBorders>
              <w:bottom w:val="single" w:sz="8" w:color="CCEEFF"/>
            </w:tcBorders>
            <w:gridSpan w:val="2"/>
          </w:tcPr>
          <w:p>
            <w:pPr>
              <w:spacing w:after="0" w:line="181" w:lineRule="exact"/>
              <w:rPr>
                <w:sz w:val="20"/>
                <w:szCs w:val="20"/>
                <w:color w:val="auto"/>
              </w:rPr>
            </w:pPr>
            <w:r>
              <w:rPr>
                <w:rFonts w:ascii="Arial" w:cs="Arial" w:eastAsia="Arial" w:hAnsi="Arial"/>
                <w:sz w:val="14"/>
                <w:szCs w:val="14"/>
                <w:color w:val="auto"/>
              </w:rPr>
              <w:t>Elimination</w:t>
            </w:r>
            <w:r>
              <w:rPr>
                <w:rFonts w:ascii="Arial" w:cs="Arial" w:eastAsia="Arial" w:hAnsi="Arial"/>
                <w:sz w:val="18"/>
                <w:szCs w:val="18"/>
                <w:color w:val="auto"/>
                <w:vertAlign w:val="superscript"/>
              </w:rPr>
              <w:t>(a)</w:t>
            </w:r>
          </w:p>
        </w:tc>
        <w:tc>
          <w:tcPr>
            <w:tcW w:w="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(473)</w:t>
            </w:r>
          </w:p>
        </w:tc>
        <w:tc>
          <w:tcPr>
            <w:tcW w:w="4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(377)</w:t>
            </w: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CCEEFF"/>
            </w:tcBorders>
          </w:tcPr>
          <w:p>
            <w:pPr>
              <w:spacing w:after="0"/>
              <w:rPr>
                <w:sz w:val="15"/>
                <w:szCs w:val="15"/>
                <w:color w:val="auto"/>
              </w:rPr>
            </w:pPr>
          </w:p>
        </w:tc>
        <w:tc>
          <w:tcPr>
            <w:tcW w:w="8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392.7 %</w:t>
            </w:r>
          </w:p>
        </w:tc>
      </w:tr>
      <w:tr>
        <w:trPr>
          <w:trHeight w:val="196"/>
        </w:trPr>
        <w:tc>
          <w:tcPr>
            <w:tcW w:w="72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4"/>
                <w:szCs w:val="14"/>
                <w:color w:val="auto"/>
              </w:rPr>
              <w:t>Total cost of sales</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2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11,253,705</w:t>
            </w:r>
          </w:p>
        </w:tc>
        <w:tc>
          <w:tcPr>
            <w:tcW w:w="80" w:type="dxa"/>
            <w:vAlign w:val="bottom"/>
            <w:tcBorders>
              <w:bottom w:val="single" w:sz="8" w:color="CCEEFF"/>
            </w:tcBorders>
            <w:gridSpan w:val="2"/>
            <w:shd w:val="clear" w:color="auto" w:fill="CCEEFF"/>
          </w:tcPr>
          <w:p>
            <w:pPr>
              <w:spacing w:after="0"/>
              <w:rPr>
                <w:sz w:val="16"/>
                <w:szCs w:val="16"/>
                <w:color w:val="auto"/>
              </w:rPr>
            </w:pPr>
          </w:p>
        </w:tc>
        <w:tc>
          <w:tcPr>
            <w:tcW w:w="28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914,880</w:t>
            </w:r>
          </w:p>
        </w:tc>
        <w:tc>
          <w:tcPr>
            <w:tcW w:w="1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8.8 %</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r>
    </w:tbl>
    <w:p>
      <w:pPr>
        <w:spacing w:after="0" w:line="6" w:lineRule="exact"/>
        <w:rPr>
          <w:sz w:val="20"/>
          <w:szCs w:val="20"/>
          <w:color w:val="auto"/>
        </w:rPr>
      </w:pPr>
    </w:p>
    <w:p>
      <w:pPr>
        <w:ind w:left="520" w:hanging="515"/>
        <w:spacing w:after="0"/>
        <w:tabs>
          <w:tab w:leader="none" w:pos="520" w:val="left"/>
        </w:tabs>
        <w:numPr>
          <w:ilvl w:val="0"/>
          <w:numId w:val="14"/>
        </w:numPr>
        <w:rPr>
          <w:rFonts w:ascii="Arial" w:cs="Arial" w:eastAsia="Arial" w:hAnsi="Arial"/>
          <w:sz w:val="11"/>
          <w:szCs w:val="11"/>
          <w:color w:val="auto"/>
        </w:rPr>
      </w:pPr>
      <w:r>
        <w:rPr>
          <w:rFonts w:ascii="Arial" w:cs="Arial" w:eastAsia="Arial" w:hAnsi="Arial"/>
          <w:sz w:val="11"/>
          <w:szCs w:val="11"/>
          <w:color w:val="auto"/>
        </w:rPr>
        <w:t>Our Consolidated Financial Statements include the accounts of our company and our majority owned subsidiaries. We eliminate all significant affiliate accounts and transactions upon consolidation.</w:t>
      </w:r>
    </w:p>
    <w:p>
      <w:pPr>
        <w:spacing w:after="0" w:line="133"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4"/>
          <w:szCs w:val="14"/>
          <w:i w:val="1"/>
          <w:iCs w:val="1"/>
          <w:color w:val="auto"/>
        </w:rPr>
        <w:t xml:space="preserve">U.S. Reportable Segment. </w:t>
      </w:r>
      <w:r>
        <w:rPr>
          <w:rFonts w:ascii="Arial" w:cs="Arial" w:eastAsia="Arial" w:hAnsi="Arial"/>
          <w:sz w:val="14"/>
          <w:szCs w:val="14"/>
          <w:color w:val="auto"/>
        </w:rPr>
        <w:t>Cost of sales incurred by our U.S. operations in 2020 increased $92.3 million, or 1.3%, from cost of sales incurred by our U.S. operations in 2019. Cost of sales</w:t>
      </w:r>
      <w:r>
        <w:rPr>
          <w:rFonts w:ascii="Arial" w:cs="Arial" w:eastAsia="Arial" w:hAnsi="Arial"/>
          <w:sz w:val="14"/>
          <w:szCs w:val="14"/>
          <w:i w:val="1"/>
          <w:iCs w:val="1"/>
          <w:color w:val="auto"/>
        </w:rPr>
        <w:t xml:space="preserve"> </w:t>
      </w:r>
      <w:r>
        <w:rPr>
          <w:rFonts w:ascii="Arial" w:cs="Arial" w:eastAsia="Arial" w:hAnsi="Arial"/>
          <w:sz w:val="14"/>
          <w:szCs w:val="14"/>
          <w:color w:val="auto"/>
        </w:rPr>
        <w:t>increased primarily because of increased cost per pound sold and increased poultry sales volume of $49.3 million, or 0.7 percentage points, and $43.0 million, or 0.6 percentage points, respectively. Included in the increase in cost per pound sold and increased sales volume was a $43.4 million increase in live input costs, a $34.6 million increase in benefits costs mainly due to the COVID-19 pandemic, an $18.0 million increase in depreciation costs, a $16.9 million increase in payroll costs due to higher pay rates, a $15.8 million increase in outside service costs from increased outside processing labor and a $15.6 million increase in insurance costs, mainly from higher workers’ compensation costs. Partially offsetting these increases in cost per pound sold and increased sales volume was a decrease in derivative expense of $59.9 million resulting from higher realized losses on commodity derivatives in 2019. Other factors affecting U.S. cost of sales were individually immaterial.</w:t>
      </w:r>
    </w:p>
    <w:p>
      <w:pPr>
        <w:spacing w:after="0" w:line="109" w:lineRule="exact"/>
        <w:rPr>
          <w:sz w:val="20"/>
          <w:szCs w:val="20"/>
          <w:color w:val="auto"/>
        </w:rPr>
      </w:pPr>
    </w:p>
    <w:p>
      <w:pPr>
        <w:jc w:val="both"/>
        <w:ind w:firstLine="509"/>
        <w:spacing w:after="0" w:line="282" w:lineRule="auto"/>
        <w:rPr>
          <w:sz w:val="20"/>
          <w:szCs w:val="20"/>
          <w:color w:val="auto"/>
        </w:rPr>
      </w:pPr>
      <w:r>
        <w:rPr>
          <w:rFonts w:ascii="Arial" w:cs="Arial" w:eastAsia="Arial" w:hAnsi="Arial"/>
          <w:sz w:val="13"/>
          <w:szCs w:val="13"/>
          <w:i w:val="1"/>
          <w:iCs w:val="1"/>
          <w:color w:val="auto"/>
        </w:rPr>
        <w:t xml:space="preserve">U.K. and Europe Reportable Segment. </w:t>
      </w:r>
      <w:r>
        <w:rPr>
          <w:rFonts w:ascii="Arial" w:cs="Arial" w:eastAsia="Arial" w:hAnsi="Arial"/>
          <w:sz w:val="13"/>
          <w:szCs w:val="13"/>
          <w:color w:val="auto"/>
        </w:rPr>
        <w:t>Cost of sales incurred by the U.K. and Europe operations during 2020 increased $843.9 million, or 38.2%, from cost of sales incurred by the U.K. and</w:t>
      </w:r>
      <w:r>
        <w:rPr>
          <w:rFonts w:ascii="Arial" w:cs="Arial" w:eastAsia="Arial" w:hAnsi="Arial"/>
          <w:sz w:val="13"/>
          <w:szCs w:val="13"/>
          <w:i w:val="1"/>
          <w:iCs w:val="1"/>
          <w:color w:val="auto"/>
        </w:rPr>
        <w:t xml:space="preserve"> </w:t>
      </w:r>
      <w:r>
        <w:rPr>
          <w:rFonts w:ascii="Arial" w:cs="Arial" w:eastAsia="Arial" w:hAnsi="Arial"/>
          <w:sz w:val="13"/>
          <w:szCs w:val="13"/>
          <w:color w:val="auto"/>
        </w:rPr>
        <w:t>Europe operations during 2019 primarily because of costs incurred by the acquired PPL operations, partially offset by decreases in cost of sales incurred by our existing U.K. and Europe operations. Cost of sales incurred by the acquired PPL operations contributed $1.0 billion, or 45.9 percentage points, to the increase in cost of sales. Cost of sales related to the existing U.K. and Europe operations decreased $169.7 million, or 7.7 percentage points, due to a decrease in poultry sales volume and a decrease in cost per pound sold of $147.1 million and $29.9 million, respectively. These decreases in cost of sales were partially offset by the $7.3 million unfavorable impact of foreign currency translation. The decrease in cost per pound sold is due to the adjusted product mix from foodservice to retail due to the COVID-19 pandemic. Other factors affecting cost of sales were individually immaterial.</w:t>
      </w:r>
    </w:p>
    <w:p>
      <w:pPr>
        <w:spacing w:after="0" w:line="92"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4"/>
          <w:szCs w:val="14"/>
          <w:i w:val="1"/>
          <w:iCs w:val="1"/>
          <w:color w:val="auto"/>
        </w:rPr>
        <w:t xml:space="preserve">Mexico Reportable Segment. </w:t>
      </w:r>
      <w:r>
        <w:rPr>
          <w:rFonts w:ascii="Arial" w:cs="Arial" w:eastAsia="Arial" w:hAnsi="Arial"/>
          <w:sz w:val="14"/>
          <w:szCs w:val="14"/>
          <w:color w:val="auto"/>
        </w:rPr>
        <w:t>Cost of sales incurred by the Mexico operations during 2020 decreased $21.0 million, or 1.7%, from cost of sales incurred by the Mexico operations during</w:t>
      </w:r>
      <w:r>
        <w:rPr>
          <w:rFonts w:ascii="Arial" w:cs="Arial" w:eastAsia="Arial" w:hAnsi="Arial"/>
          <w:sz w:val="14"/>
          <w:szCs w:val="14"/>
          <w:i w:val="1"/>
          <w:iCs w:val="1"/>
          <w:color w:val="auto"/>
        </w:rPr>
        <w:t xml:space="preserve"> </w:t>
      </w:r>
      <w:r>
        <w:rPr>
          <w:rFonts w:ascii="Arial" w:cs="Arial" w:eastAsia="Arial" w:hAnsi="Arial"/>
          <w:sz w:val="14"/>
          <w:szCs w:val="14"/>
          <w:color w:val="auto"/>
        </w:rPr>
        <w:t>2019 primarily because of the favorable impact of foreign currency remeasurement and decreased poultry sales volume of $141.0 million, or 11.5 percentage points, and $19.4 million, or 1.6 percentage points, respectively. Partially offsetting these decreases in cost of sales was an increase of $139.4 million, or 11.4 percentage points in cost per pound sold. Included in the decreased poultry sales volume and increased cost per pound sold was a $73.7 million increase in poultry input costs due to increased grain and ingredient costs. Other factors affecting cost of sales were individually immaterial.</w:t>
      </w:r>
    </w:p>
    <w:p>
      <w:pPr>
        <w:spacing w:after="0" w:line="104" w:lineRule="exact"/>
        <w:rPr>
          <w:sz w:val="20"/>
          <w:szCs w:val="20"/>
          <w:color w:val="auto"/>
        </w:rPr>
      </w:pPr>
    </w:p>
    <w:p>
      <w:pPr>
        <w:jc w:val="both"/>
        <w:ind w:firstLine="509"/>
        <w:spacing w:after="0" w:line="281" w:lineRule="auto"/>
        <w:rPr>
          <w:sz w:val="20"/>
          <w:szCs w:val="20"/>
          <w:color w:val="auto"/>
        </w:rPr>
      </w:pPr>
      <w:r>
        <w:rPr>
          <w:rFonts w:ascii="Arial" w:cs="Arial" w:eastAsia="Arial" w:hAnsi="Arial"/>
          <w:sz w:val="14"/>
          <w:szCs w:val="14"/>
          <w:i w:val="1"/>
          <w:iCs w:val="1"/>
          <w:color w:val="auto"/>
        </w:rPr>
        <w:t xml:space="preserve">Operating income. </w:t>
      </w:r>
      <w:r>
        <w:rPr>
          <w:rFonts w:ascii="Arial" w:cs="Arial" w:eastAsia="Arial" w:hAnsi="Arial"/>
          <w:sz w:val="14"/>
          <w:szCs w:val="14"/>
          <w:color w:val="auto"/>
        </w:rPr>
        <w:t>Operating income decreased $445.1 million, or 64.5%, from $690.6 million generated for 2019 to $245.5 million generated for 2020. The following tables provide</w:t>
      </w:r>
      <w:r>
        <w:rPr>
          <w:rFonts w:ascii="Arial" w:cs="Arial" w:eastAsia="Arial" w:hAnsi="Arial"/>
          <w:sz w:val="14"/>
          <w:szCs w:val="14"/>
          <w:i w:val="1"/>
          <w:iCs w:val="1"/>
          <w:color w:val="auto"/>
        </w:rPr>
        <w:t xml:space="preserve"> </w:t>
      </w:r>
      <w:r>
        <w:rPr>
          <w:rFonts w:ascii="Arial" w:cs="Arial" w:eastAsia="Arial" w:hAnsi="Arial"/>
          <w:sz w:val="14"/>
          <w:szCs w:val="14"/>
          <w:color w:val="auto"/>
        </w:rPr>
        <w:t>operating income information:</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1" w:name="page32"/>
    <w:bookmarkEnd w:id="31"/>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-6985</wp:posOffset>
            </wp:positionV>
            <wp:extent cx="727075" cy="69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7075" cy="6985"/>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gridSpan w:val="2"/>
          </w:tcPr>
          <w:p>
            <w:pPr>
              <w:ind w:left="660"/>
              <w:spacing w:after="0"/>
              <w:rPr>
                <w:sz w:val="20"/>
                <w:szCs w:val="20"/>
                <w:color w:val="auto"/>
              </w:rPr>
            </w:pPr>
            <w:r>
              <w:rPr>
                <w:rFonts w:ascii="Arial" w:cs="Arial" w:eastAsia="Arial" w:hAnsi="Arial"/>
                <w:sz w:val="11"/>
                <w:szCs w:val="11"/>
                <w:b w:val="1"/>
                <w:bCs w:val="1"/>
                <w:color w:val="auto"/>
                <w:w w:val="94"/>
              </w:rPr>
              <w:t>Change from 2019</w:t>
            </w:r>
          </w:p>
        </w:tc>
        <w:tc>
          <w:tcPr>
            <w:tcW w:w="2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5"/>
          </w:tcPr>
          <w:p>
            <w:pPr>
              <w:ind w:left="60"/>
              <w:spacing w:after="0"/>
              <w:rPr>
                <w:sz w:val="20"/>
                <w:szCs w:val="20"/>
                <w:color w:val="auto"/>
              </w:rPr>
            </w:pPr>
            <w:r>
              <w:rPr>
                <w:rFonts w:ascii="Arial" w:cs="Arial" w:eastAsia="Arial" w:hAnsi="Arial"/>
                <w:sz w:val="11"/>
                <w:szCs w:val="11"/>
                <w:b w:val="1"/>
                <w:bCs w:val="1"/>
                <w:color w:val="auto"/>
                <w:w w:val="95"/>
              </w:rPr>
              <w:t>Percent of Net Sales</w:t>
            </w:r>
          </w:p>
        </w:tc>
        <w:tc>
          <w:tcPr>
            <w:tcW w:w="8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r>
      <w:tr>
        <w:trPr>
          <w:trHeight w:val="147"/>
        </w:trPr>
        <w:tc>
          <w:tcPr>
            <w:tcW w:w="20" w:type="dxa"/>
            <w:vAlign w:val="bottom"/>
          </w:tcPr>
          <w:p>
            <w:pPr>
              <w:spacing w:after="0"/>
              <w:rPr>
                <w:sz w:val="12"/>
                <w:szCs w:val="12"/>
                <w:color w:val="auto"/>
              </w:rPr>
            </w:pPr>
          </w:p>
        </w:tc>
        <w:tc>
          <w:tcPr>
            <w:tcW w:w="4240" w:type="dxa"/>
            <w:vAlign w:val="bottom"/>
            <w:gridSpan w:val="2"/>
          </w:tcPr>
          <w:p>
            <w:pPr>
              <w:spacing w:after="0"/>
              <w:rPr>
                <w:sz w:val="20"/>
                <w:szCs w:val="20"/>
                <w:color w:val="auto"/>
              </w:rPr>
            </w:pPr>
            <w:r>
              <w:rPr>
                <w:rFonts w:ascii="Arial" w:cs="Arial" w:eastAsia="Arial" w:hAnsi="Arial"/>
                <w:sz w:val="11"/>
                <w:szCs w:val="11"/>
                <w:b w:val="1"/>
                <w:bCs w:val="1"/>
                <w:color w:val="auto"/>
              </w:rPr>
              <w:t>Components of operating income</w:t>
            </w:r>
          </w:p>
        </w:tc>
        <w:tc>
          <w:tcPr>
            <w:tcW w:w="300" w:type="dxa"/>
            <w:vAlign w:val="bottom"/>
          </w:tcPr>
          <w:p>
            <w:pPr>
              <w:spacing w:after="0"/>
              <w:rPr>
                <w:sz w:val="12"/>
                <w:szCs w:val="12"/>
                <w:color w:val="auto"/>
              </w:rPr>
            </w:pPr>
          </w:p>
        </w:tc>
        <w:tc>
          <w:tcPr>
            <w:tcW w:w="960" w:type="dxa"/>
            <w:vAlign w:val="bottom"/>
          </w:tcPr>
          <w:p>
            <w:pPr>
              <w:jc w:val="right"/>
              <w:ind w:right="452"/>
              <w:spacing w:after="0"/>
              <w:rPr>
                <w:sz w:val="20"/>
                <w:szCs w:val="20"/>
                <w:color w:val="auto"/>
              </w:rPr>
            </w:pPr>
            <w:r>
              <w:rPr>
                <w:rFonts w:ascii="Arial" w:cs="Arial" w:eastAsia="Arial" w:hAnsi="Arial"/>
                <w:sz w:val="11"/>
                <w:szCs w:val="11"/>
                <w:b w:val="1"/>
                <w:bCs w:val="1"/>
                <w:color w:val="auto"/>
              </w:rPr>
              <w:t>2020</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80" w:type="dxa"/>
            <w:vAlign w:val="bottom"/>
            <w:gridSpan w:val="2"/>
          </w:tcPr>
          <w:p>
            <w:pPr>
              <w:ind w:left="180"/>
              <w:spacing w:after="0"/>
              <w:rPr>
                <w:sz w:val="20"/>
                <w:szCs w:val="20"/>
                <w:color w:val="auto"/>
              </w:rPr>
            </w:pPr>
            <w:r>
              <w:rPr>
                <w:rFonts w:ascii="Arial" w:cs="Arial" w:eastAsia="Arial" w:hAnsi="Arial"/>
                <w:sz w:val="11"/>
                <w:szCs w:val="11"/>
                <w:b w:val="1"/>
                <w:bCs w:val="1"/>
                <w:color w:val="auto"/>
              </w:rPr>
              <w:t>Amount</w:t>
            </w:r>
          </w:p>
        </w:tc>
        <w:tc>
          <w:tcPr>
            <w:tcW w:w="400" w:type="dxa"/>
            <w:vAlign w:val="bottom"/>
            <w:gridSpan w:val="5"/>
          </w:tcPr>
          <w:p>
            <w:pPr>
              <w:jc w:val="right"/>
              <w:spacing w:after="0"/>
              <w:rPr>
                <w:sz w:val="20"/>
                <w:szCs w:val="20"/>
                <w:color w:val="auto"/>
              </w:rPr>
            </w:pPr>
            <w:r>
              <w:rPr>
                <w:rFonts w:ascii="Arial" w:cs="Arial" w:eastAsia="Arial" w:hAnsi="Arial"/>
                <w:sz w:val="11"/>
                <w:szCs w:val="11"/>
                <w:b w:val="1"/>
                <w:bCs w:val="1"/>
                <w:color w:val="auto"/>
                <w:w w:val="89"/>
              </w:rPr>
              <w:t>Percent</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gridSpan w:val="3"/>
          </w:tcPr>
          <w:p>
            <w:pPr>
              <w:jc w:val="center"/>
              <w:spacing w:after="0"/>
              <w:rPr>
                <w:sz w:val="20"/>
                <w:szCs w:val="20"/>
                <w:color w:val="auto"/>
              </w:rPr>
            </w:pPr>
            <w:r>
              <w:rPr>
                <w:rFonts w:ascii="Arial" w:cs="Arial" w:eastAsia="Arial" w:hAnsi="Arial"/>
                <w:sz w:val="11"/>
                <w:szCs w:val="11"/>
                <w:b w:val="1"/>
                <w:bCs w:val="1"/>
                <w:color w:val="auto"/>
                <w:w w:val="89"/>
              </w:rPr>
              <w:t>2020</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ind w:right="492"/>
              <w:spacing w:after="0"/>
              <w:rPr>
                <w:sz w:val="20"/>
                <w:szCs w:val="20"/>
                <w:color w:val="auto"/>
              </w:rPr>
            </w:pPr>
            <w:r>
              <w:rPr>
                <w:rFonts w:ascii="Arial" w:cs="Arial" w:eastAsia="Arial" w:hAnsi="Arial"/>
                <w:sz w:val="11"/>
                <w:szCs w:val="11"/>
                <w:b w:val="1"/>
                <w:bCs w:val="1"/>
                <w:color w:val="auto"/>
              </w:rPr>
              <w:t>2019</w:t>
            </w:r>
          </w:p>
        </w:tc>
        <w:tc>
          <w:tcPr>
            <w:tcW w:w="40" w:type="dxa"/>
            <w:vAlign w:val="bottom"/>
          </w:tcPr>
          <w:p>
            <w:pPr>
              <w:spacing w:after="0"/>
              <w:rPr>
                <w:sz w:val="12"/>
                <w:szCs w:val="12"/>
                <w:color w:val="auto"/>
              </w:rPr>
            </w:pPr>
          </w:p>
        </w:tc>
      </w:tr>
      <w:tr>
        <w:trPr>
          <w:trHeight w:val="133"/>
        </w:trPr>
        <w:tc>
          <w:tcPr>
            <w:tcW w:w="20" w:type="dxa"/>
            <w:vAlign w:val="bottom"/>
            <w:tcBorders>
              <w:top w:val="single" w:sz="8" w:color="auto"/>
            </w:tcBorders>
          </w:tcPr>
          <w:p>
            <w:pPr>
              <w:spacing w:after="0"/>
              <w:rPr>
                <w:sz w:val="11"/>
                <w:szCs w:val="11"/>
                <w:color w:val="auto"/>
              </w:rPr>
            </w:pPr>
          </w:p>
        </w:tc>
        <w:tc>
          <w:tcPr>
            <w:tcW w:w="41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2120" w:type="dxa"/>
            <w:vAlign w:val="bottom"/>
            <w:tcBorders>
              <w:top w:val="single" w:sz="8" w:color="auto"/>
            </w:tcBorders>
            <w:gridSpan w:val="10"/>
          </w:tcPr>
          <w:p>
            <w:pPr>
              <w:ind w:left="180"/>
              <w:spacing w:after="0"/>
              <w:rPr>
                <w:sz w:val="20"/>
                <w:szCs w:val="20"/>
                <w:color w:val="auto"/>
              </w:rPr>
            </w:pPr>
            <w:r>
              <w:rPr>
                <w:rFonts w:ascii="Arial" w:cs="Arial" w:eastAsia="Arial" w:hAnsi="Arial"/>
                <w:sz w:val="10"/>
                <w:szCs w:val="10"/>
                <w:b w:val="1"/>
                <w:bCs w:val="1"/>
                <w:color w:val="auto"/>
              </w:rPr>
              <w:t>(In thousands, except percent data)</w:t>
            </w:r>
          </w:p>
        </w:tc>
        <w:tc>
          <w:tcPr>
            <w:tcW w:w="6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r>
      <w:tr>
        <w:trPr>
          <w:trHeight w:val="188"/>
        </w:trPr>
        <w:tc>
          <w:tcPr>
            <w:tcW w:w="20" w:type="dxa"/>
            <w:vAlign w:val="bottom"/>
            <w:shd w:val="clear" w:color="auto" w:fill="CCEEFF"/>
          </w:tcPr>
          <w:p>
            <w:pPr>
              <w:spacing w:after="0"/>
              <w:rPr>
                <w:sz w:val="16"/>
                <w:szCs w:val="16"/>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Gross profit</w:t>
            </w: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838,196</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(232,198)</w:t>
            </w:r>
          </w:p>
        </w:tc>
        <w:tc>
          <w:tcPr>
            <w:tcW w:w="6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(21.7)%</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6.9 %</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9.4 %</w:t>
            </w:r>
          </w:p>
        </w:tc>
        <w:tc>
          <w:tcPr>
            <w:tcW w:w="40" w:type="dxa"/>
            <w:vAlign w:val="bottom"/>
            <w:tcBorders>
              <w:left w:val="single" w:sz="8" w:color="CCEEFF"/>
            </w:tcBorders>
            <w:shd w:val="clear" w:color="auto" w:fill="CCEEFF"/>
          </w:tcPr>
          <w:p>
            <w:pPr>
              <w:spacing w:after="0"/>
              <w:rPr>
                <w:sz w:val="16"/>
                <w:szCs w:val="16"/>
                <w:color w:val="auto"/>
              </w:rPr>
            </w:pPr>
          </w:p>
        </w:tc>
      </w:tr>
      <w:tr>
        <w:trPr>
          <w:trHeight w:val="180"/>
        </w:trPr>
        <w:tc>
          <w:tcPr>
            <w:tcW w:w="20" w:type="dxa"/>
            <w:vAlign w:val="bottom"/>
          </w:tcPr>
          <w:p>
            <w:pPr>
              <w:spacing w:after="0"/>
              <w:rPr>
                <w:sz w:val="15"/>
                <w:szCs w:val="15"/>
                <w:color w:val="auto"/>
              </w:rPr>
            </w:pPr>
          </w:p>
        </w:tc>
        <w:tc>
          <w:tcPr>
            <w:tcW w:w="4240" w:type="dxa"/>
            <w:vAlign w:val="bottom"/>
            <w:gridSpan w:val="2"/>
          </w:tcPr>
          <w:p>
            <w:pPr>
              <w:spacing w:after="0"/>
              <w:rPr>
                <w:sz w:val="20"/>
                <w:szCs w:val="20"/>
                <w:color w:val="auto"/>
              </w:rPr>
            </w:pPr>
            <w:r>
              <w:rPr>
                <w:rFonts w:ascii="Arial" w:cs="Arial" w:eastAsia="Arial" w:hAnsi="Arial"/>
                <w:sz w:val="14"/>
                <w:szCs w:val="14"/>
                <w:color w:val="auto"/>
              </w:rPr>
              <w:t>SG&amp;A expenses</w:t>
            </w: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592,610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212,700</w:t>
            </w: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56.0 %</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4.9 %</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3.3 %</w:t>
            </w:r>
          </w:p>
        </w:tc>
        <w:tc>
          <w:tcPr>
            <w:tcW w:w="40" w:type="dxa"/>
            <w:vAlign w:val="bottom"/>
          </w:tcPr>
          <w:p>
            <w:pPr>
              <w:spacing w:after="0"/>
              <w:rPr>
                <w:sz w:val="15"/>
                <w:szCs w:val="15"/>
                <w:color w:val="auto"/>
              </w:rPr>
            </w:pPr>
          </w:p>
        </w:tc>
      </w:tr>
      <w:tr>
        <w:trPr>
          <w:trHeight w:val="180"/>
        </w:trPr>
        <w:tc>
          <w:tcPr>
            <w:tcW w:w="20" w:type="dxa"/>
            <w:vAlign w:val="bottom"/>
            <w:shd w:val="clear" w:color="auto" w:fill="CCEEFF"/>
          </w:tcPr>
          <w:p>
            <w:pPr>
              <w:spacing w:after="0"/>
              <w:rPr>
                <w:sz w:val="15"/>
                <w:szCs w:val="15"/>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Administrative restructuring activities</w:t>
            </w: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w:t>
            </w:r>
          </w:p>
        </w:tc>
        <w:tc>
          <w:tcPr>
            <w:tcW w:w="600" w:type="dxa"/>
            <w:vAlign w:val="bottom"/>
            <w:shd w:val="clear" w:color="auto" w:fill="CCEEFF"/>
          </w:tcPr>
          <w:p>
            <w:pPr>
              <w:spacing w:after="0"/>
              <w:rPr>
                <w:sz w:val="15"/>
                <w:szCs w:val="15"/>
                <w:color w:val="auto"/>
              </w:rPr>
            </w:pPr>
          </w:p>
        </w:tc>
        <w:tc>
          <w:tcPr>
            <w:tcW w:w="880" w:type="dxa"/>
            <w:vAlign w:val="bottom"/>
            <w:gridSpan w:val="6"/>
            <w:shd w:val="clear" w:color="auto" w:fill="CCEEFF"/>
          </w:tcPr>
          <w:p>
            <w:pPr>
              <w:jc w:val="right"/>
              <w:spacing w:after="0"/>
              <w:rPr>
                <w:sz w:val="20"/>
                <w:szCs w:val="20"/>
                <w:color w:val="auto"/>
              </w:rPr>
            </w:pPr>
            <w:r>
              <w:rPr>
                <w:rFonts w:ascii="Arial" w:cs="Arial" w:eastAsia="Arial" w:hAnsi="Arial"/>
                <w:sz w:val="14"/>
                <w:szCs w:val="14"/>
                <w:color w:val="auto"/>
              </w:rPr>
              <w:t>(246.4)%</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gridSpan w:val="5"/>
            <w:shd w:val="clear" w:color="auto" w:fill="CCEEFF"/>
          </w:tcPr>
          <w:p>
            <w:pPr>
              <w:jc w:val="right"/>
              <w:ind w:right="620"/>
              <w:spacing w:after="0"/>
              <w:rPr>
                <w:sz w:val="20"/>
                <w:szCs w:val="20"/>
                <w:color w:val="auto"/>
              </w:rPr>
            </w:pPr>
            <w:r>
              <w:rPr>
                <w:rFonts w:ascii="Arial" w:cs="Arial" w:eastAsia="Arial" w:hAnsi="Arial"/>
                <w:sz w:val="14"/>
                <w:szCs w:val="14"/>
                <w:color w:val="auto"/>
              </w:rPr>
              <w:t>— %</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 %</w:t>
            </w:r>
          </w:p>
        </w:tc>
      </w:tr>
      <w:tr>
        <w:trPr>
          <w:trHeight w:val="171"/>
        </w:trPr>
        <w:tc>
          <w:tcPr>
            <w:tcW w:w="20" w:type="dxa"/>
            <w:vAlign w:val="bottom"/>
          </w:tcPr>
          <w:p>
            <w:pPr>
              <w:spacing w:after="0"/>
              <w:rPr>
                <w:sz w:val="14"/>
                <w:szCs w:val="14"/>
                <w:color w:val="auto"/>
              </w:rPr>
            </w:pPr>
          </w:p>
        </w:tc>
        <w:tc>
          <w:tcPr>
            <w:tcW w:w="4240" w:type="dxa"/>
            <w:vAlign w:val="bottom"/>
            <w:gridSpan w:val="2"/>
          </w:tcPr>
          <w:p>
            <w:pPr>
              <w:ind w:left="160"/>
              <w:spacing w:after="0"/>
              <w:rPr>
                <w:sz w:val="20"/>
                <w:szCs w:val="20"/>
                <w:color w:val="auto"/>
              </w:rPr>
            </w:pPr>
            <w:r>
              <w:rPr>
                <w:rFonts w:ascii="Arial" w:cs="Arial" w:eastAsia="Arial" w:hAnsi="Arial"/>
                <w:sz w:val="14"/>
                <w:szCs w:val="14"/>
                <w:color w:val="auto"/>
              </w:rPr>
              <w:t>Operating income</w:t>
            </w:r>
          </w:p>
        </w:tc>
        <w:tc>
          <w:tcPr>
            <w:tcW w:w="300" w:type="dxa"/>
            <w:vAlign w:val="bottom"/>
            <w:tcBorders>
              <w:top w:val="single" w:sz="8" w:color="auto"/>
              <w:bottom w:val="single" w:sz="8" w:color="auto"/>
            </w:tcBorders>
          </w:tcPr>
          <w:p>
            <w:pPr>
              <w:jc w:val="right"/>
              <w:ind w:right="149"/>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245,463</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(445,105)</w:t>
            </w: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w w:val="89"/>
              </w:rPr>
              <w:t>(64.5)%</w:t>
            </w:r>
          </w:p>
        </w:tc>
        <w:tc>
          <w:tcPr>
            <w:tcW w:w="100" w:type="dxa"/>
            <w:vAlign w:val="bottom"/>
          </w:tcPr>
          <w:p>
            <w:pPr>
              <w:spacing w:after="0"/>
              <w:rPr>
                <w:sz w:val="14"/>
                <w:szCs w:val="14"/>
                <w:color w:val="auto"/>
              </w:rPr>
            </w:pPr>
          </w:p>
        </w:tc>
        <w:tc>
          <w:tcPr>
            <w:tcW w:w="500" w:type="dxa"/>
            <w:vAlign w:val="bottom"/>
            <w:tcBorders>
              <w:top w:val="single" w:sz="8" w:color="auto"/>
              <w:bottom w:val="single" w:sz="8" w:color="auto"/>
            </w:tcBorders>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2.0 %</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6.1 %</w:t>
            </w:r>
          </w:p>
        </w:tc>
        <w:tc>
          <w:tcPr>
            <w:tcW w:w="40" w:type="dxa"/>
            <w:vAlign w:val="bottom"/>
            <w:tcBorders>
              <w:top w:val="single" w:sz="8" w:color="auto"/>
              <w:bottom w:val="single" w:sz="8" w:color="auto"/>
            </w:tcBorders>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0" w:type="dxa"/>
            <w:vAlign w:val="bottom"/>
            <w:gridSpan w:val="7"/>
          </w:tcPr>
          <w:p>
            <w:pPr>
              <w:ind w:left="420"/>
              <w:spacing w:after="0"/>
              <w:rPr>
                <w:sz w:val="20"/>
                <w:szCs w:val="20"/>
                <w:color w:val="auto"/>
              </w:rPr>
            </w:pPr>
            <w:r>
              <w:rPr>
                <w:rFonts w:ascii="Arial" w:cs="Arial" w:eastAsia="Arial" w:hAnsi="Arial"/>
                <w:sz w:val="11"/>
                <w:szCs w:val="11"/>
                <w:b w:val="1"/>
                <w:bCs w:val="1"/>
                <w:color w:val="auto"/>
              </w:rPr>
              <w:t>Change from 2019</w:t>
            </w:r>
          </w:p>
        </w:tc>
      </w:tr>
      <w:tr>
        <w:trPr>
          <w:trHeight w:val="147"/>
        </w:trPr>
        <w:tc>
          <w:tcPr>
            <w:tcW w:w="20" w:type="dxa"/>
            <w:vAlign w:val="bottom"/>
          </w:tcPr>
          <w:p>
            <w:pPr>
              <w:spacing w:after="0"/>
              <w:rPr>
                <w:sz w:val="12"/>
                <w:szCs w:val="12"/>
                <w:color w:val="auto"/>
              </w:rPr>
            </w:pPr>
          </w:p>
        </w:tc>
        <w:tc>
          <w:tcPr>
            <w:tcW w:w="4240" w:type="dxa"/>
            <w:vAlign w:val="bottom"/>
            <w:tcBorders>
              <w:bottom w:val="single" w:sz="8" w:color="auto"/>
            </w:tcBorders>
            <w:gridSpan w:val="2"/>
          </w:tcPr>
          <w:p>
            <w:pPr>
              <w:spacing w:after="0"/>
              <w:rPr>
                <w:sz w:val="20"/>
                <w:szCs w:val="20"/>
                <w:color w:val="auto"/>
              </w:rPr>
            </w:pPr>
            <w:r>
              <w:rPr>
                <w:rFonts w:ascii="Arial" w:cs="Arial" w:eastAsia="Arial" w:hAnsi="Arial"/>
                <w:sz w:val="11"/>
                <w:szCs w:val="11"/>
                <w:b w:val="1"/>
                <w:bCs w:val="1"/>
                <w:color w:val="auto"/>
              </w:rPr>
              <w:t>Sources of operating income</w:t>
            </w:r>
          </w:p>
        </w:tc>
        <w:tc>
          <w:tcPr>
            <w:tcW w:w="3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3"/>
          </w:tcPr>
          <w:p>
            <w:pPr>
              <w:jc w:val="right"/>
              <w:ind w:right="411"/>
              <w:spacing w:after="0"/>
              <w:rPr>
                <w:sz w:val="20"/>
                <w:szCs w:val="20"/>
                <w:color w:val="auto"/>
              </w:rPr>
            </w:pPr>
            <w:r>
              <w:rPr>
                <w:rFonts w:ascii="Arial" w:cs="Arial" w:eastAsia="Arial" w:hAnsi="Arial"/>
                <w:sz w:val="11"/>
                <w:szCs w:val="11"/>
                <w:b w:val="1"/>
                <w:bCs w:val="1"/>
                <w:color w:val="auto"/>
              </w:rPr>
              <w:t>2020</w:t>
            </w:r>
          </w:p>
        </w:tc>
        <w:tc>
          <w:tcPr>
            <w:tcW w:w="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gridSpan w:val="5"/>
          </w:tcPr>
          <w:p>
            <w:pPr>
              <w:ind w:left="80"/>
              <w:spacing w:after="0"/>
              <w:rPr>
                <w:sz w:val="20"/>
                <w:szCs w:val="20"/>
                <w:color w:val="auto"/>
              </w:rPr>
            </w:pPr>
            <w:r>
              <w:rPr>
                <w:rFonts w:ascii="Arial" w:cs="Arial" w:eastAsia="Arial" w:hAnsi="Arial"/>
                <w:sz w:val="11"/>
                <w:szCs w:val="11"/>
                <w:b w:val="1"/>
                <w:bCs w:val="1"/>
                <w:color w:val="auto"/>
              </w:rPr>
              <w:t>Amount</w:t>
            </w:r>
          </w:p>
        </w:tc>
        <w:tc>
          <w:tcPr>
            <w:tcW w:w="86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1"/>
                <w:szCs w:val="11"/>
                <w:b w:val="1"/>
                <w:bCs w:val="1"/>
                <w:color w:val="auto"/>
              </w:rPr>
              <w:t>Percent</w:t>
            </w:r>
          </w:p>
        </w:tc>
        <w:tc>
          <w:tcPr>
            <w:tcW w:w="40" w:type="dxa"/>
            <w:vAlign w:val="bottom"/>
          </w:tcPr>
          <w:p>
            <w:pPr>
              <w:spacing w:after="0"/>
              <w:rPr>
                <w:sz w:val="12"/>
                <w:szCs w:val="12"/>
                <w:color w:val="auto"/>
              </w:rPr>
            </w:pPr>
          </w:p>
        </w:tc>
      </w:tr>
      <w:tr>
        <w:trPr>
          <w:trHeight w:val="133"/>
        </w:trPr>
        <w:tc>
          <w:tcPr>
            <w:tcW w:w="20" w:type="dxa"/>
            <w:vAlign w:val="bottom"/>
          </w:tcPr>
          <w:p>
            <w:pPr>
              <w:spacing w:after="0"/>
              <w:rPr>
                <w:sz w:val="11"/>
                <w:szCs w:val="11"/>
                <w:color w:val="auto"/>
              </w:rPr>
            </w:pPr>
          </w:p>
        </w:tc>
        <w:tc>
          <w:tcPr>
            <w:tcW w:w="4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80" w:type="dxa"/>
            <w:vAlign w:val="bottom"/>
            <w:gridSpan w:val="10"/>
          </w:tcPr>
          <w:p>
            <w:pPr>
              <w:ind w:left="340"/>
              <w:spacing w:after="0"/>
              <w:rPr>
                <w:sz w:val="20"/>
                <w:szCs w:val="20"/>
                <w:color w:val="auto"/>
              </w:rPr>
            </w:pPr>
            <w:r>
              <w:rPr>
                <w:rFonts w:ascii="Arial" w:cs="Arial" w:eastAsia="Arial" w:hAnsi="Arial"/>
                <w:sz w:val="10"/>
                <w:szCs w:val="10"/>
                <w:b w:val="1"/>
                <w:bCs w:val="1"/>
                <w:color w:val="auto"/>
                <w:w w:val="96"/>
              </w:rPr>
              <w:t>(In thousands, except percent data)</w:t>
            </w: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88"/>
        </w:trPr>
        <w:tc>
          <w:tcPr>
            <w:tcW w:w="20" w:type="dxa"/>
            <w:vAlign w:val="bottom"/>
          </w:tcPr>
          <w:p>
            <w:pPr>
              <w:spacing w:after="0"/>
              <w:rPr>
                <w:sz w:val="16"/>
                <w:szCs w:val="16"/>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U.S.</w:t>
            </w: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00" w:type="dxa"/>
            <w:vAlign w:val="bottom"/>
            <w:gridSpan w:val="5"/>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69,377</w:t>
            </w:r>
          </w:p>
        </w:tc>
        <w:tc>
          <w:tcPr>
            <w:tcW w:w="40" w:type="dxa"/>
            <w:vAlign w:val="bottom"/>
            <w:shd w:val="clear" w:color="auto" w:fill="CCEEFF"/>
          </w:tcPr>
          <w:p>
            <w:pPr>
              <w:spacing w:after="0"/>
              <w:rPr>
                <w:sz w:val="16"/>
                <w:szCs w:val="16"/>
                <w:color w:val="auto"/>
              </w:rPr>
            </w:pPr>
          </w:p>
        </w:tc>
        <w:tc>
          <w:tcPr>
            <w:tcW w:w="340" w:type="dxa"/>
            <w:vAlign w:val="bottom"/>
            <w:gridSpan w:val="3"/>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(417,898)</w:t>
            </w:r>
          </w:p>
        </w:tc>
        <w:tc>
          <w:tcPr>
            <w:tcW w:w="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(85.8)%</w:t>
            </w:r>
          </w:p>
        </w:tc>
        <w:tc>
          <w:tcPr>
            <w:tcW w:w="40" w:type="dxa"/>
            <w:vAlign w:val="bottom"/>
            <w:tcBorders>
              <w:left w:val="single" w:sz="8" w:color="CCEEFF"/>
            </w:tcBorders>
          </w:tcPr>
          <w:p>
            <w:pPr>
              <w:spacing w:after="0"/>
              <w:rPr>
                <w:sz w:val="16"/>
                <w:szCs w:val="16"/>
                <w:color w:val="auto"/>
              </w:rPr>
            </w:pPr>
          </w:p>
        </w:tc>
      </w:tr>
      <w:tr>
        <w:trPr>
          <w:trHeight w:val="180"/>
        </w:trPr>
        <w:tc>
          <w:tcPr>
            <w:tcW w:w="20" w:type="dxa"/>
            <w:vAlign w:val="bottom"/>
          </w:tcPr>
          <w:p>
            <w:pPr>
              <w:spacing w:after="0"/>
              <w:rPr>
                <w:sz w:val="15"/>
                <w:szCs w:val="15"/>
                <w:color w:val="auto"/>
              </w:rPr>
            </w:pPr>
          </w:p>
        </w:tc>
        <w:tc>
          <w:tcPr>
            <w:tcW w:w="4240" w:type="dxa"/>
            <w:vAlign w:val="bottom"/>
            <w:gridSpan w:val="2"/>
          </w:tcPr>
          <w:p>
            <w:pPr>
              <w:spacing w:after="0"/>
              <w:rPr>
                <w:sz w:val="20"/>
                <w:szCs w:val="20"/>
                <w:color w:val="auto"/>
              </w:rPr>
            </w:pPr>
            <w:r>
              <w:rPr>
                <w:rFonts w:ascii="Arial" w:cs="Arial" w:eastAsia="Arial" w:hAnsi="Arial"/>
                <w:sz w:val="14"/>
                <w:szCs w:val="14"/>
                <w:color w:val="auto"/>
              </w:rPr>
              <w:t>U.K. and Europe</w:t>
            </w: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3"/>
          </w:tcPr>
          <w:p>
            <w:pPr>
              <w:jc w:val="right"/>
              <w:spacing w:after="0"/>
              <w:rPr>
                <w:sz w:val="20"/>
                <w:szCs w:val="20"/>
                <w:color w:val="auto"/>
              </w:rPr>
            </w:pPr>
            <w:r>
              <w:rPr>
                <w:rFonts w:ascii="Arial" w:cs="Arial" w:eastAsia="Arial" w:hAnsi="Arial"/>
                <w:sz w:val="14"/>
                <w:szCs w:val="14"/>
                <w:color w:val="auto"/>
              </w:rPr>
              <w:t>102,734</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gridSpan w:val="3"/>
          </w:tcPr>
          <w:p>
            <w:pPr>
              <w:jc w:val="right"/>
              <w:ind w:right="60"/>
              <w:spacing w:after="0"/>
              <w:rPr>
                <w:sz w:val="20"/>
                <w:szCs w:val="20"/>
                <w:color w:val="auto"/>
              </w:rPr>
            </w:pPr>
            <w:r>
              <w:rPr>
                <w:rFonts w:ascii="Arial" w:cs="Arial" w:eastAsia="Arial" w:hAnsi="Arial"/>
                <w:sz w:val="14"/>
                <w:szCs w:val="14"/>
                <w:color w:val="auto"/>
              </w:rPr>
              <w:t>23,552</w:t>
            </w: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29.7 %</w:t>
            </w:r>
          </w:p>
        </w:tc>
        <w:tc>
          <w:tcPr>
            <w:tcW w:w="4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Mexico</w:t>
            </w: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72,879</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(51,136)</w:t>
            </w:r>
          </w:p>
        </w:tc>
        <w:tc>
          <w:tcPr>
            <w:tcW w:w="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(41.2)%</w:t>
            </w:r>
          </w:p>
        </w:tc>
        <w:tc>
          <w:tcPr>
            <w:tcW w:w="40" w:type="dxa"/>
            <w:vAlign w:val="bottom"/>
            <w:tcBorders>
              <w:left w:val="single" w:sz="8" w:color="CCEEFF"/>
            </w:tcBorders>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424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Elimination</w:t>
            </w:r>
          </w:p>
        </w:tc>
        <w:tc>
          <w:tcPr>
            <w:tcW w:w="300" w:type="dxa"/>
            <w:vAlign w:val="bottom"/>
            <w:tcBorders>
              <w:bottom w:val="single" w:sz="8" w:color="CCEEFF"/>
            </w:tcBorders>
          </w:tcPr>
          <w:p>
            <w:pPr>
              <w:spacing w:after="0"/>
              <w:rPr>
                <w:sz w:val="15"/>
                <w:szCs w:val="15"/>
                <w:color w:val="auto"/>
              </w:rPr>
            </w:pPr>
          </w:p>
        </w:tc>
        <w:tc>
          <w:tcPr>
            <w:tcW w:w="9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980" w:type="dxa"/>
            <w:vAlign w:val="bottom"/>
            <w:tcBorders>
              <w:bottom w:val="single" w:sz="8" w:color="CCEEFF"/>
            </w:tcBorders>
          </w:tcPr>
          <w:p>
            <w:pPr>
              <w:spacing w:after="0"/>
              <w:rPr>
                <w:sz w:val="15"/>
                <w:szCs w:val="15"/>
                <w:color w:val="auto"/>
              </w:rPr>
            </w:pPr>
          </w:p>
        </w:tc>
        <w:tc>
          <w:tcPr>
            <w:tcW w:w="60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473</w:t>
            </w: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color w:val="auto"/>
              </w:rPr>
              <w:t>377</w:t>
            </w:r>
          </w:p>
        </w:tc>
        <w:tc>
          <w:tcPr>
            <w:tcW w:w="4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8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392.7 %</w:t>
            </w:r>
          </w:p>
        </w:tc>
        <w:tc>
          <w:tcPr>
            <w:tcW w:w="40" w:type="dxa"/>
            <w:vAlign w:val="bottom"/>
          </w:tcPr>
          <w:p>
            <w:pPr>
              <w:spacing w:after="0"/>
              <w:rPr>
                <w:sz w:val="15"/>
                <w:szCs w:val="15"/>
                <w:color w:val="auto"/>
              </w:rPr>
            </w:pPr>
          </w:p>
        </w:tc>
      </w:tr>
      <w:tr>
        <w:trPr>
          <w:trHeight w:val="196"/>
        </w:trPr>
        <w:tc>
          <w:tcPr>
            <w:tcW w:w="20" w:type="dxa"/>
            <w:vAlign w:val="bottom"/>
          </w:tcPr>
          <w:p>
            <w:pPr>
              <w:spacing w:after="0"/>
              <w:rPr>
                <w:sz w:val="16"/>
                <w:szCs w:val="16"/>
                <w:color w:val="auto"/>
              </w:rPr>
            </w:pPr>
          </w:p>
        </w:tc>
        <w:tc>
          <w:tcPr>
            <w:tcW w:w="424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4"/>
                <w:szCs w:val="14"/>
                <w:color w:val="auto"/>
              </w:rPr>
              <w:t>Total operating income</w:t>
            </w:r>
          </w:p>
        </w:tc>
        <w:tc>
          <w:tcPr>
            <w:tcW w:w="3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245,463</w:t>
            </w:r>
          </w:p>
        </w:tc>
        <w:tc>
          <w:tcPr>
            <w:tcW w:w="4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center"/>
              <w:ind w:right="89"/>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(445,105)</w:t>
            </w:r>
          </w:p>
        </w:tc>
        <w:tc>
          <w:tcPr>
            <w:tcW w:w="4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(64.5)%</w:t>
            </w:r>
          </w:p>
        </w:tc>
        <w:tc>
          <w:tcPr>
            <w:tcW w:w="40" w:type="dxa"/>
            <w:vAlign w:val="bottom"/>
            <w:tcBorders>
              <w:left w:val="single" w:sz="8" w:color="CCEEFF"/>
            </w:tcBorders>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gridSpan w:val="3"/>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4"/>
        </w:trPr>
        <w:tc>
          <w:tcPr>
            <w:tcW w:w="2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6"/>
          </w:tcPr>
          <w:p>
            <w:pPr>
              <w:jc w:val="right"/>
              <w:ind w:right="612"/>
              <w:spacing w:after="0"/>
              <w:rPr>
                <w:sz w:val="20"/>
                <w:szCs w:val="20"/>
                <w:color w:val="auto"/>
              </w:rPr>
            </w:pPr>
            <w:r>
              <w:rPr>
                <w:rFonts w:ascii="Arial" w:cs="Arial" w:eastAsia="Arial" w:hAnsi="Arial"/>
                <w:sz w:val="11"/>
                <w:szCs w:val="11"/>
                <w:b w:val="1"/>
                <w:bCs w:val="1"/>
                <w:color w:val="auto"/>
              </w:rPr>
              <w:t>Change from 2019</w:t>
            </w:r>
          </w:p>
        </w:tc>
        <w:tc>
          <w:tcPr>
            <w:tcW w:w="40" w:type="dxa"/>
            <w:vAlign w:val="bottom"/>
          </w:tcPr>
          <w:p>
            <w:pPr>
              <w:spacing w:after="0"/>
              <w:rPr>
                <w:sz w:val="20"/>
                <w:szCs w:val="20"/>
                <w:color w:val="auto"/>
              </w:rPr>
            </w:pPr>
          </w:p>
        </w:tc>
      </w:tr>
      <w:tr>
        <w:trPr>
          <w:trHeight w:val="192"/>
        </w:trPr>
        <w:tc>
          <w:tcPr>
            <w:tcW w:w="20" w:type="dxa"/>
            <w:vAlign w:val="bottom"/>
          </w:tcPr>
          <w:p>
            <w:pPr>
              <w:spacing w:after="0"/>
              <w:rPr>
                <w:sz w:val="16"/>
                <w:szCs w:val="16"/>
                <w:color w:val="auto"/>
              </w:rPr>
            </w:pPr>
          </w:p>
        </w:tc>
        <w:tc>
          <w:tcPr>
            <w:tcW w:w="4240" w:type="dxa"/>
            <w:vAlign w:val="bottom"/>
            <w:gridSpan w:val="2"/>
          </w:tcPr>
          <w:p>
            <w:pPr>
              <w:ind w:left="20"/>
              <w:spacing w:after="0"/>
              <w:rPr>
                <w:sz w:val="20"/>
                <w:szCs w:val="20"/>
                <w:color w:val="auto"/>
              </w:rPr>
            </w:pPr>
            <w:r>
              <w:rPr>
                <w:rFonts w:ascii="Arial" w:cs="Arial" w:eastAsia="Arial" w:hAnsi="Arial"/>
                <w:sz w:val="11"/>
                <w:szCs w:val="11"/>
                <w:b w:val="1"/>
                <w:bCs w:val="1"/>
                <w:color w:val="auto"/>
              </w:rPr>
              <w:t>Sources of SG&amp;A expenses</w:t>
            </w: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gridSpan w:val="3"/>
          </w:tcPr>
          <w:p>
            <w:pPr>
              <w:jc w:val="right"/>
              <w:ind w:right="431"/>
              <w:spacing w:after="0"/>
              <w:rPr>
                <w:sz w:val="20"/>
                <w:szCs w:val="20"/>
                <w:color w:val="auto"/>
              </w:rPr>
            </w:pPr>
            <w:r>
              <w:rPr>
                <w:rFonts w:ascii="Arial" w:cs="Arial" w:eastAsia="Arial" w:hAnsi="Arial"/>
                <w:sz w:val="11"/>
                <w:szCs w:val="11"/>
                <w:b w:val="1"/>
                <w:bCs w:val="1"/>
                <w:color w:val="auto"/>
              </w:rPr>
              <w:t>2020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5"/>
          </w:tcPr>
          <w:p>
            <w:pPr>
              <w:ind w:left="80"/>
              <w:spacing w:after="0"/>
              <w:rPr>
                <w:sz w:val="20"/>
                <w:szCs w:val="20"/>
                <w:color w:val="auto"/>
              </w:rPr>
            </w:pPr>
            <w:r>
              <w:rPr>
                <w:rFonts w:ascii="Arial" w:cs="Arial" w:eastAsia="Arial" w:hAnsi="Arial"/>
                <w:sz w:val="11"/>
                <w:szCs w:val="11"/>
                <w:b w:val="1"/>
                <w:bCs w:val="1"/>
                <w:color w:val="auto"/>
              </w:rPr>
              <w:t>Amount</w:t>
            </w:r>
          </w:p>
        </w:tc>
        <w:tc>
          <w:tcPr>
            <w:tcW w:w="900" w:type="dxa"/>
            <w:vAlign w:val="bottom"/>
            <w:gridSpan w:val="2"/>
          </w:tcPr>
          <w:p>
            <w:pPr>
              <w:jc w:val="right"/>
              <w:ind w:right="360"/>
              <w:spacing w:after="0"/>
              <w:rPr>
                <w:sz w:val="20"/>
                <w:szCs w:val="20"/>
                <w:color w:val="auto"/>
              </w:rPr>
            </w:pPr>
            <w:r>
              <w:rPr>
                <w:rFonts w:ascii="Arial" w:cs="Arial" w:eastAsia="Arial" w:hAnsi="Arial"/>
                <w:sz w:val="11"/>
                <w:szCs w:val="11"/>
                <w:b w:val="1"/>
                <w:bCs w:val="1"/>
                <w:color w:val="auto"/>
              </w:rPr>
              <w:t>Percent</w:t>
            </w:r>
          </w:p>
        </w:tc>
      </w:tr>
      <w:tr>
        <w:trPr>
          <w:trHeight w:val="136"/>
        </w:trPr>
        <w:tc>
          <w:tcPr>
            <w:tcW w:w="20" w:type="dxa"/>
            <w:vAlign w:val="bottom"/>
          </w:tcPr>
          <w:p>
            <w:pPr>
              <w:spacing w:after="0"/>
              <w:rPr>
                <w:sz w:val="11"/>
                <w:szCs w:val="11"/>
                <w:color w:val="auto"/>
              </w:rPr>
            </w:pPr>
          </w:p>
        </w:tc>
        <w:tc>
          <w:tcPr>
            <w:tcW w:w="41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980" w:type="dxa"/>
            <w:vAlign w:val="bottom"/>
            <w:tcBorders>
              <w:top w:val="single" w:sz="8" w:color="auto"/>
            </w:tcBorders>
            <w:gridSpan w:val="10"/>
          </w:tcPr>
          <w:p>
            <w:pPr>
              <w:ind w:left="340"/>
              <w:spacing w:after="0"/>
              <w:rPr>
                <w:sz w:val="20"/>
                <w:szCs w:val="20"/>
                <w:color w:val="auto"/>
              </w:rPr>
            </w:pPr>
            <w:r>
              <w:rPr>
                <w:rFonts w:ascii="Arial" w:cs="Arial" w:eastAsia="Arial" w:hAnsi="Arial"/>
                <w:sz w:val="10"/>
                <w:szCs w:val="10"/>
                <w:b w:val="1"/>
                <w:bCs w:val="1"/>
                <w:color w:val="auto"/>
                <w:w w:val="96"/>
              </w:rPr>
              <w:t>(In thousands, except percent data)</w:t>
            </w:r>
          </w:p>
        </w:tc>
        <w:tc>
          <w:tcPr>
            <w:tcW w:w="86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r>
      <w:tr>
        <w:trPr>
          <w:trHeight w:val="188"/>
        </w:trPr>
        <w:tc>
          <w:tcPr>
            <w:tcW w:w="20" w:type="dxa"/>
            <w:vAlign w:val="bottom"/>
          </w:tcPr>
          <w:p>
            <w:pPr>
              <w:spacing w:after="0"/>
              <w:rPr>
                <w:sz w:val="16"/>
                <w:szCs w:val="16"/>
                <w:color w:val="auto"/>
              </w:rPr>
            </w:pPr>
          </w:p>
        </w:tc>
        <w:tc>
          <w:tcPr>
            <w:tcW w:w="42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U.S.</w:t>
            </w: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00" w:type="dxa"/>
            <w:vAlign w:val="bottom"/>
            <w:gridSpan w:val="5"/>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3"/>
            <w:shd w:val="clear" w:color="auto" w:fill="CCEEFF"/>
          </w:tcPr>
          <w:p>
            <w:pPr>
              <w:jc w:val="right"/>
              <w:ind w:right="11"/>
              <w:spacing w:after="0"/>
              <w:rPr>
                <w:sz w:val="20"/>
                <w:szCs w:val="20"/>
                <w:color w:val="auto"/>
              </w:rPr>
            </w:pPr>
            <w:r>
              <w:rPr>
                <w:rFonts w:ascii="Arial" w:cs="Arial" w:eastAsia="Arial" w:hAnsi="Arial"/>
                <w:sz w:val="14"/>
                <w:szCs w:val="14"/>
                <w:color w:val="auto"/>
              </w:rPr>
              <w:t>431,088</w:t>
            </w:r>
          </w:p>
        </w:tc>
        <w:tc>
          <w:tcPr>
            <w:tcW w:w="40" w:type="dxa"/>
            <w:vAlign w:val="bottom"/>
            <w:shd w:val="clear" w:color="auto" w:fill="CCEEFF"/>
          </w:tcPr>
          <w:p>
            <w:pPr>
              <w:spacing w:after="0"/>
              <w:rPr>
                <w:sz w:val="16"/>
                <w:szCs w:val="16"/>
                <w:color w:val="auto"/>
              </w:rPr>
            </w:pPr>
          </w:p>
        </w:tc>
        <w:tc>
          <w:tcPr>
            <w:tcW w:w="340" w:type="dxa"/>
            <w:vAlign w:val="bottom"/>
            <w:gridSpan w:val="3"/>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184,800</w:t>
            </w:r>
          </w:p>
        </w:tc>
        <w:tc>
          <w:tcPr>
            <w:tcW w:w="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75.0 %</w:t>
            </w:r>
          </w:p>
        </w:tc>
        <w:tc>
          <w:tcPr>
            <w:tcW w:w="40" w:type="dxa"/>
            <w:vAlign w:val="bottom"/>
          </w:tcPr>
          <w:p>
            <w:pPr>
              <w:spacing w:after="0"/>
              <w:rPr>
                <w:sz w:val="16"/>
                <w:szCs w:val="16"/>
                <w:color w:val="auto"/>
              </w:rPr>
            </w:pPr>
          </w:p>
        </w:tc>
      </w:tr>
      <w:tr>
        <w:trPr>
          <w:trHeight w:val="180"/>
        </w:trPr>
        <w:tc>
          <w:tcPr>
            <w:tcW w:w="20" w:type="dxa"/>
            <w:vAlign w:val="bottom"/>
          </w:tcPr>
          <w:p>
            <w:pPr>
              <w:spacing w:after="0"/>
              <w:rPr>
                <w:sz w:val="15"/>
                <w:szCs w:val="15"/>
                <w:color w:val="auto"/>
              </w:rPr>
            </w:pPr>
          </w:p>
        </w:tc>
        <w:tc>
          <w:tcPr>
            <w:tcW w:w="4240" w:type="dxa"/>
            <w:vAlign w:val="bottom"/>
            <w:gridSpan w:val="2"/>
          </w:tcPr>
          <w:p>
            <w:pPr>
              <w:ind w:left="20"/>
              <w:spacing w:after="0"/>
              <w:rPr>
                <w:sz w:val="20"/>
                <w:szCs w:val="20"/>
                <w:color w:val="auto"/>
              </w:rPr>
            </w:pPr>
            <w:r>
              <w:rPr>
                <w:rFonts w:ascii="Arial" w:cs="Arial" w:eastAsia="Arial" w:hAnsi="Arial"/>
                <w:sz w:val="14"/>
                <w:szCs w:val="14"/>
                <w:color w:val="auto"/>
              </w:rPr>
              <w:t>U.K. and Europe</w:t>
            </w: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3"/>
          </w:tcPr>
          <w:p>
            <w:pPr>
              <w:jc w:val="right"/>
              <w:ind w:right="11"/>
              <w:spacing w:after="0"/>
              <w:rPr>
                <w:sz w:val="20"/>
                <w:szCs w:val="20"/>
                <w:color w:val="auto"/>
              </w:rPr>
            </w:pPr>
            <w:r>
              <w:rPr>
                <w:rFonts w:ascii="Arial" w:cs="Arial" w:eastAsia="Arial" w:hAnsi="Arial"/>
                <w:sz w:val="14"/>
                <w:szCs w:val="14"/>
                <w:color w:val="auto"/>
              </w:rPr>
              <w:t>115,470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gridSpan w:val="3"/>
          </w:tcPr>
          <w:p>
            <w:pPr>
              <w:jc w:val="right"/>
              <w:spacing w:after="0"/>
              <w:rPr>
                <w:sz w:val="20"/>
                <w:szCs w:val="20"/>
                <w:color w:val="auto"/>
              </w:rPr>
            </w:pPr>
            <w:r>
              <w:rPr>
                <w:rFonts w:ascii="Arial" w:cs="Arial" w:eastAsia="Arial" w:hAnsi="Arial"/>
                <w:sz w:val="14"/>
                <w:szCs w:val="14"/>
                <w:color w:val="auto"/>
              </w:rPr>
              <w:t>22,901</w:t>
            </w: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24.7 %</w:t>
            </w:r>
          </w:p>
        </w:tc>
        <w:tc>
          <w:tcPr>
            <w:tcW w:w="4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42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Mexico</w:t>
            </w: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gridSpan w:val="3"/>
            <w:shd w:val="clear" w:color="auto" w:fill="CCEEFF"/>
          </w:tcPr>
          <w:p>
            <w:pPr>
              <w:jc w:val="right"/>
              <w:ind w:right="11"/>
              <w:spacing w:after="0"/>
              <w:rPr>
                <w:sz w:val="20"/>
                <w:szCs w:val="20"/>
                <w:color w:val="auto"/>
              </w:rPr>
            </w:pPr>
            <w:r>
              <w:rPr>
                <w:rFonts w:ascii="Arial" w:cs="Arial" w:eastAsia="Arial" w:hAnsi="Arial"/>
                <w:sz w:val="14"/>
                <w:szCs w:val="14"/>
                <w:color w:val="auto"/>
              </w:rPr>
              <w:t>46,052</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4,999</w:t>
            </w:r>
          </w:p>
        </w:tc>
        <w:tc>
          <w:tcPr>
            <w:tcW w:w="40" w:type="dxa"/>
            <w:vAlign w:val="bottom"/>
            <w:tcBorders>
              <w:bottom w:val="single" w:sz="8" w:color="auto"/>
            </w:tcBorders>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12.2 %</w:t>
            </w:r>
          </w:p>
        </w:tc>
        <w:tc>
          <w:tcPr>
            <w:tcW w:w="40" w:type="dxa"/>
            <w:vAlign w:val="bottom"/>
          </w:tcPr>
          <w:p>
            <w:pPr>
              <w:spacing w:after="0"/>
              <w:rPr>
                <w:sz w:val="15"/>
                <w:szCs w:val="15"/>
                <w:color w:val="auto"/>
              </w:rPr>
            </w:pPr>
          </w:p>
        </w:tc>
      </w:tr>
      <w:tr>
        <w:trPr>
          <w:trHeight w:val="171"/>
        </w:trPr>
        <w:tc>
          <w:tcPr>
            <w:tcW w:w="20" w:type="dxa"/>
            <w:vAlign w:val="bottom"/>
          </w:tcPr>
          <w:p>
            <w:pPr>
              <w:spacing w:after="0"/>
              <w:rPr>
                <w:sz w:val="14"/>
                <w:szCs w:val="14"/>
                <w:color w:val="auto"/>
              </w:rPr>
            </w:pPr>
          </w:p>
        </w:tc>
        <w:tc>
          <w:tcPr>
            <w:tcW w:w="4240" w:type="dxa"/>
            <w:vAlign w:val="bottom"/>
            <w:gridSpan w:val="2"/>
          </w:tcPr>
          <w:p>
            <w:pPr>
              <w:ind w:left="180"/>
              <w:spacing w:after="0"/>
              <w:rPr>
                <w:sz w:val="20"/>
                <w:szCs w:val="20"/>
                <w:color w:val="auto"/>
              </w:rPr>
            </w:pPr>
            <w:r>
              <w:rPr>
                <w:rFonts w:ascii="Arial" w:cs="Arial" w:eastAsia="Arial" w:hAnsi="Arial"/>
                <w:sz w:val="14"/>
                <w:szCs w:val="14"/>
                <w:color w:val="auto"/>
              </w:rPr>
              <w:t>Total SG&amp;A expense</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gridSpan w:val="2"/>
          </w:tcPr>
          <w:p>
            <w:pPr>
              <w:spacing w:after="0"/>
              <w:rPr>
                <w:sz w:val="14"/>
                <w:szCs w:val="14"/>
                <w:color w:val="auto"/>
              </w:rPr>
            </w:pPr>
          </w:p>
        </w:tc>
        <w:tc>
          <w:tcPr>
            <w:tcW w:w="100" w:type="dxa"/>
            <w:vAlign w:val="bottom"/>
            <w:gridSpan w:val="2"/>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gridSpan w:val="3"/>
          </w:tcPr>
          <w:p>
            <w:pPr>
              <w:jc w:val="right"/>
              <w:ind w:right="11"/>
              <w:spacing w:after="0"/>
              <w:rPr>
                <w:sz w:val="20"/>
                <w:szCs w:val="20"/>
                <w:color w:val="auto"/>
              </w:rPr>
            </w:pPr>
            <w:r>
              <w:rPr>
                <w:rFonts w:ascii="Arial" w:cs="Arial" w:eastAsia="Arial" w:hAnsi="Arial"/>
                <w:sz w:val="14"/>
                <w:szCs w:val="14"/>
                <w:color w:val="auto"/>
              </w:rPr>
              <w:t>592,610</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Borders>
              <w:bottom w:val="single" w:sz="8" w:color="auto"/>
            </w:tcBorders>
            <w:gridSpan w:val="2"/>
          </w:tcPr>
          <w:p>
            <w:pPr>
              <w:jc w:val="right"/>
              <w:ind w:right="129"/>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212,700</w:t>
            </w:r>
          </w:p>
        </w:tc>
        <w:tc>
          <w:tcPr>
            <w:tcW w:w="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56.0 %</w:t>
            </w:r>
          </w:p>
        </w:tc>
        <w:tc>
          <w:tcPr>
            <w:tcW w:w="4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17" w:lineRule="exact"/>
        <w:rPr>
          <w:sz w:val="20"/>
          <w:szCs w:val="20"/>
          <w:color w:val="auto"/>
        </w:rPr>
      </w:pPr>
    </w:p>
    <w:p>
      <w:pPr>
        <w:jc w:val="both"/>
        <w:ind w:firstLine="509"/>
        <w:spacing w:after="0" w:line="319" w:lineRule="auto"/>
        <w:rPr>
          <w:sz w:val="20"/>
          <w:szCs w:val="20"/>
          <w:color w:val="auto"/>
        </w:rPr>
      </w:pPr>
      <w:r>
        <w:rPr>
          <w:rFonts w:ascii="Arial" w:cs="Arial" w:eastAsia="Arial" w:hAnsi="Arial"/>
          <w:sz w:val="12"/>
          <w:szCs w:val="12"/>
          <w:i w:val="1"/>
          <w:iCs w:val="1"/>
          <w:color w:val="auto"/>
        </w:rPr>
        <w:t xml:space="preserve">U.S. Reportable Segment. </w:t>
      </w:r>
      <w:r>
        <w:rPr>
          <w:rFonts w:ascii="Arial" w:cs="Arial" w:eastAsia="Arial" w:hAnsi="Arial"/>
          <w:sz w:val="12"/>
          <w:szCs w:val="12"/>
          <w:color w:val="auto"/>
        </w:rPr>
        <w:t>Selling, general and administrative (“SG&amp;A”) expense incurred by the U.S. operations during 2020 increased $184.8 million, or 75.0%, from SG&amp;A expense</w:t>
      </w:r>
      <w:r>
        <w:rPr>
          <w:rFonts w:ascii="Arial" w:cs="Arial" w:eastAsia="Arial" w:hAnsi="Arial"/>
          <w:sz w:val="12"/>
          <w:szCs w:val="12"/>
          <w:i w:val="1"/>
          <w:iCs w:val="1"/>
          <w:color w:val="auto"/>
        </w:rPr>
        <w:t xml:space="preserve"> </w:t>
      </w:r>
      <w:r>
        <w:rPr>
          <w:rFonts w:ascii="Arial" w:cs="Arial" w:eastAsia="Arial" w:hAnsi="Arial"/>
          <w:sz w:val="12"/>
          <w:szCs w:val="12"/>
          <w:color w:val="auto"/>
        </w:rPr>
        <w:t>incurred by the U.S. operations during 2019 primarily from the $110.5 million DOJ agreement, the $75.0 million Direct Purchaser Plaintiff Class settlement, $15.0 million in incremental donations expense related to the Hometown Strong initiative and a $25.6 million increase in professional fees mainly due to increased legal representation services. These increases in SG&amp;A expense were partially offset by a $20.0 million decrease in payroll and benefit costs due to decreased incentive and stock-based compensation. Other factors affecting SG&amp;A expense were individually immaterial.</w:t>
      </w:r>
    </w:p>
    <w:p>
      <w:pPr>
        <w:spacing w:after="0" w:line="73" w:lineRule="exact"/>
        <w:rPr>
          <w:sz w:val="20"/>
          <w:szCs w:val="20"/>
          <w:color w:val="auto"/>
        </w:rPr>
      </w:pPr>
    </w:p>
    <w:p>
      <w:pPr>
        <w:jc w:val="both"/>
        <w:ind w:firstLine="509"/>
        <w:spacing w:after="0" w:line="288" w:lineRule="auto"/>
        <w:rPr>
          <w:sz w:val="20"/>
          <w:szCs w:val="20"/>
          <w:color w:val="auto"/>
        </w:rPr>
      </w:pPr>
      <w:r>
        <w:rPr>
          <w:rFonts w:ascii="Arial" w:cs="Arial" w:eastAsia="Arial" w:hAnsi="Arial"/>
          <w:sz w:val="13"/>
          <w:szCs w:val="13"/>
          <w:i w:val="1"/>
          <w:iCs w:val="1"/>
          <w:color w:val="auto"/>
        </w:rPr>
        <w:t xml:space="preserve">U.K. and Europe Reportable Segment. </w:t>
      </w:r>
      <w:r>
        <w:rPr>
          <w:rFonts w:ascii="Arial" w:cs="Arial" w:eastAsia="Arial" w:hAnsi="Arial"/>
          <w:sz w:val="13"/>
          <w:szCs w:val="13"/>
          <w:color w:val="auto"/>
        </w:rPr>
        <w:t>SG&amp;A expense incurred by the U.K. and Europe operations during 2020 increased $22.9 million, or 24.7%, from SG&amp;A expense incurred by the U.K.</w:t>
      </w:r>
      <w:r>
        <w:rPr>
          <w:rFonts w:ascii="Arial" w:cs="Arial" w:eastAsia="Arial" w:hAnsi="Arial"/>
          <w:sz w:val="13"/>
          <w:szCs w:val="13"/>
          <w:i w:val="1"/>
          <w:iCs w:val="1"/>
          <w:color w:val="auto"/>
        </w:rPr>
        <w:t xml:space="preserve"> </w:t>
      </w:r>
      <w:r>
        <w:rPr>
          <w:rFonts w:ascii="Arial" w:cs="Arial" w:eastAsia="Arial" w:hAnsi="Arial"/>
          <w:sz w:val="13"/>
          <w:szCs w:val="13"/>
          <w:color w:val="auto"/>
        </w:rPr>
        <w:t>and Europe operations during 2019 primarily because of expenses incurred by the acquired PPL operations of $25.7 million, partially offset by a decrease in SG&amp;A expense incurred from our existing U.K. and Europe operations of $2.8 million. The decrease in SG&amp;A expense in our existing U.K. and Europe was mainly due to a $2.1 million decrease in travel and entertainment expense due to the COVID-19 pandemic and a $2.0 million decrease in legal and other professional fees expense. Other factors affecting SG&amp;A expense were individually immaterial.</w:t>
      </w:r>
    </w:p>
    <w:p>
      <w:pPr>
        <w:spacing w:after="0" w:line="89"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4"/>
          <w:szCs w:val="14"/>
          <w:i w:val="1"/>
          <w:iCs w:val="1"/>
          <w:color w:val="auto"/>
        </w:rPr>
        <w:t xml:space="preserve">Mexico Reportable Segment. </w:t>
      </w:r>
      <w:r>
        <w:rPr>
          <w:rFonts w:ascii="Arial" w:cs="Arial" w:eastAsia="Arial" w:hAnsi="Arial"/>
          <w:sz w:val="14"/>
          <w:szCs w:val="14"/>
          <w:color w:val="auto"/>
        </w:rPr>
        <w:t>SG&amp;A expense incurred by the Mexico operations during 2020 increased $5.0 million, or 12.2%, from SG&amp;A expense incurred by the Mexico operations</w:t>
      </w:r>
      <w:r>
        <w:rPr>
          <w:rFonts w:ascii="Arial" w:cs="Arial" w:eastAsia="Arial" w:hAnsi="Arial"/>
          <w:sz w:val="14"/>
          <w:szCs w:val="14"/>
          <w:i w:val="1"/>
          <w:iCs w:val="1"/>
          <w:color w:val="auto"/>
        </w:rPr>
        <w:t xml:space="preserve"> </w:t>
      </w:r>
      <w:r>
        <w:rPr>
          <w:rFonts w:ascii="Arial" w:cs="Arial" w:eastAsia="Arial" w:hAnsi="Arial"/>
          <w:sz w:val="14"/>
          <w:szCs w:val="14"/>
          <w:color w:val="auto"/>
        </w:rPr>
        <w:t>during 2019 primarily because of a $2.4 million increase in employee relations expenses and a $1.5 million increase in professional fees expense. Other factors affecting SG&amp;A expense were individually immaterial.</w:t>
      </w:r>
    </w:p>
    <w:p>
      <w:pPr>
        <w:spacing w:after="0" w:line="99" w:lineRule="exact"/>
        <w:rPr>
          <w:sz w:val="20"/>
          <w:szCs w:val="20"/>
          <w:color w:val="auto"/>
        </w:rPr>
      </w:pPr>
    </w:p>
    <w:p>
      <w:pPr>
        <w:jc w:val="both"/>
        <w:ind w:firstLine="509"/>
        <w:spacing w:after="0" w:line="281" w:lineRule="auto"/>
        <w:rPr>
          <w:sz w:val="20"/>
          <w:szCs w:val="20"/>
          <w:color w:val="auto"/>
        </w:rPr>
      </w:pPr>
      <w:r>
        <w:rPr>
          <w:rFonts w:ascii="Arial" w:cs="Arial" w:eastAsia="Arial" w:hAnsi="Arial"/>
          <w:sz w:val="14"/>
          <w:szCs w:val="14"/>
          <w:i w:val="1"/>
          <w:iCs w:val="1"/>
          <w:color w:val="auto"/>
        </w:rPr>
        <w:t>Interest expense</w:t>
      </w:r>
      <w:r>
        <w:rPr>
          <w:rFonts w:ascii="Arial" w:cs="Arial" w:eastAsia="Arial" w:hAnsi="Arial"/>
          <w:sz w:val="14"/>
          <w:szCs w:val="14"/>
          <w:color w:val="auto"/>
        </w:rPr>
        <w:t>. Consolidated interest expense decreased 4.9% to $126.1 million in 2020 from $132.6 million in 2019, primarily because of a decrease in weighted average interest rates to</w:t>
      </w:r>
      <w:r>
        <w:rPr>
          <w:rFonts w:ascii="Arial" w:cs="Arial" w:eastAsia="Arial" w:hAnsi="Arial"/>
          <w:sz w:val="14"/>
          <w:szCs w:val="14"/>
          <w:i w:val="1"/>
          <w:iCs w:val="1"/>
          <w:color w:val="auto"/>
        </w:rPr>
        <w:t xml:space="preserve"> </w:t>
      </w:r>
      <w:r>
        <w:rPr>
          <w:rFonts w:ascii="Arial" w:cs="Arial" w:eastAsia="Arial" w:hAnsi="Arial"/>
          <w:sz w:val="14"/>
          <w:szCs w:val="14"/>
          <w:color w:val="auto"/>
        </w:rPr>
        <w:t>4.7% in 2020 from 5.3% in 2019. As a percent of net sales, interest expense in 2020 and 2019 was 1.0% and 1.2%, respectively.</w:t>
      </w:r>
    </w:p>
    <w:p>
      <w:pPr>
        <w:spacing w:after="0" w:line="90" w:lineRule="exact"/>
        <w:rPr>
          <w:sz w:val="20"/>
          <w:szCs w:val="20"/>
          <w:color w:val="auto"/>
        </w:rPr>
      </w:pPr>
    </w:p>
    <w:p>
      <w:pPr>
        <w:jc w:val="both"/>
        <w:ind w:firstLine="509"/>
        <w:spacing w:after="0" w:line="281" w:lineRule="auto"/>
        <w:rPr>
          <w:sz w:val="20"/>
          <w:szCs w:val="20"/>
          <w:color w:val="auto"/>
        </w:rPr>
      </w:pPr>
      <w:r>
        <w:rPr>
          <w:rFonts w:ascii="Arial" w:cs="Arial" w:eastAsia="Arial" w:hAnsi="Arial"/>
          <w:sz w:val="14"/>
          <w:szCs w:val="14"/>
          <w:i w:val="1"/>
          <w:iCs w:val="1"/>
          <w:color w:val="auto"/>
        </w:rPr>
        <w:t xml:space="preserve">Income taxes. </w:t>
      </w:r>
      <w:r>
        <w:rPr>
          <w:rFonts w:ascii="Arial" w:cs="Arial" w:eastAsia="Arial" w:hAnsi="Arial"/>
          <w:sz w:val="14"/>
          <w:szCs w:val="14"/>
          <w:color w:val="auto"/>
        </w:rPr>
        <w:t>Our consolidated income tax expense in 2020 was $66.8 million, compared to income tax expense of $161.0 million in 2019. The decrease in income tax expense in 2020</w:t>
      </w:r>
      <w:r>
        <w:rPr>
          <w:rFonts w:ascii="Arial" w:cs="Arial" w:eastAsia="Arial" w:hAnsi="Arial"/>
          <w:sz w:val="14"/>
          <w:szCs w:val="14"/>
          <w:i w:val="1"/>
          <w:iCs w:val="1"/>
          <w:color w:val="auto"/>
        </w:rPr>
        <w:t xml:space="preserve"> </w:t>
      </w:r>
      <w:r>
        <w:rPr>
          <w:rFonts w:ascii="Arial" w:cs="Arial" w:eastAsia="Arial" w:hAnsi="Arial"/>
          <w:sz w:val="14"/>
          <w:szCs w:val="14"/>
          <w:color w:val="auto"/>
        </w:rPr>
        <w:t>resulted from a decrease in pre-tax income during 2020.</w:t>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140" w:lineRule="exact"/>
        <w:rPr>
          <w:sz w:val="20"/>
          <w:szCs w:val="20"/>
          <w:color w:val="auto"/>
        </w:rPr>
      </w:pPr>
    </w:p>
    <w:p>
      <w:pPr>
        <w:ind w:left="520"/>
        <w:spacing w:after="0"/>
        <w:rPr>
          <w:sz w:val="20"/>
          <w:szCs w:val="20"/>
          <w:color w:val="auto"/>
        </w:rPr>
      </w:pPr>
      <w:r>
        <w:rPr>
          <w:rFonts w:ascii="Arial" w:cs="Arial" w:eastAsia="Arial" w:hAnsi="Arial"/>
          <w:sz w:val="12"/>
          <w:szCs w:val="12"/>
          <w:color w:val="auto"/>
        </w:rPr>
        <w:t>Our principal sources of liquidity are cash generated from operations, funds from borrowings, and existing cash on hand. The following table presents our available sources of liquidity as of</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December 26, 2021:</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2" w:name="page33"/>
    <w:bookmarkEnd w:id="32"/>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-6985</wp:posOffset>
            </wp:positionV>
            <wp:extent cx="727075" cy="69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7075" cy="698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710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Sources of Liquidity</w:t>
            </w:r>
            <w:r>
              <w:rPr>
                <w:rFonts w:ascii="Arial" w:cs="Arial" w:eastAsia="Arial" w:hAnsi="Arial"/>
                <w:sz w:val="14"/>
                <w:szCs w:val="14"/>
                <w:b w:val="1"/>
                <w:bCs w:val="1"/>
                <w:color w:val="auto"/>
                <w:vertAlign w:val="superscript"/>
              </w:rPr>
              <w:t>(a)</w:t>
            </w:r>
          </w:p>
        </w:tc>
        <w:tc>
          <w:tcPr>
            <w:tcW w:w="900" w:type="dxa"/>
            <w:vAlign w:val="bottom"/>
          </w:tcPr>
          <w:p>
            <w:pPr>
              <w:ind w:left="480"/>
              <w:spacing w:after="0"/>
              <w:rPr>
                <w:sz w:val="20"/>
                <w:szCs w:val="20"/>
                <w:color w:val="auto"/>
              </w:rPr>
            </w:pPr>
            <w:r>
              <w:rPr>
                <w:rFonts w:ascii="Arial" w:cs="Arial" w:eastAsia="Arial" w:hAnsi="Arial"/>
                <w:sz w:val="11"/>
                <w:szCs w:val="11"/>
                <w:b w:val="1"/>
                <w:bCs w:val="1"/>
                <w:color w:val="auto"/>
              </w:rPr>
              <w:t>Facility</w:t>
            </w:r>
          </w:p>
        </w:tc>
        <w:tc>
          <w:tcPr>
            <w:tcW w:w="740" w:type="dxa"/>
            <w:vAlign w:val="bottom"/>
          </w:tcPr>
          <w:p>
            <w:pPr>
              <w:spacing w:after="0"/>
              <w:rPr>
                <w:sz w:val="10"/>
                <w:szCs w:val="10"/>
                <w:color w:val="auto"/>
              </w:rPr>
            </w:pPr>
          </w:p>
        </w:tc>
        <w:tc>
          <w:tcPr>
            <w:tcW w:w="1440" w:type="dxa"/>
            <w:vAlign w:val="bottom"/>
          </w:tcPr>
          <w:p>
            <w:pPr>
              <w:jc w:val="center"/>
              <w:ind w:right="495"/>
              <w:spacing w:after="0"/>
              <w:rPr>
                <w:sz w:val="20"/>
                <w:szCs w:val="20"/>
                <w:color w:val="auto"/>
              </w:rPr>
            </w:pPr>
            <w:r>
              <w:rPr>
                <w:rFonts w:ascii="Arial" w:cs="Arial" w:eastAsia="Arial" w:hAnsi="Arial"/>
                <w:sz w:val="11"/>
                <w:szCs w:val="11"/>
                <w:b w:val="1"/>
                <w:bCs w:val="1"/>
                <w:color w:val="auto"/>
                <w:w w:val="96"/>
              </w:rPr>
              <w:t>Amount</w:t>
            </w:r>
          </w:p>
        </w:tc>
        <w:tc>
          <w:tcPr>
            <w:tcW w:w="1060" w:type="dxa"/>
            <w:vAlign w:val="bottom"/>
            <w:vMerge w:val="restart"/>
          </w:tcPr>
          <w:p>
            <w:pPr>
              <w:jc w:val="right"/>
              <w:ind w:right="372"/>
              <w:spacing w:after="0"/>
              <w:rPr>
                <w:sz w:val="20"/>
                <w:szCs w:val="20"/>
                <w:color w:val="auto"/>
              </w:rPr>
            </w:pPr>
            <w:r>
              <w:rPr>
                <w:rFonts w:ascii="Arial" w:cs="Arial" w:eastAsia="Arial" w:hAnsi="Arial"/>
                <w:sz w:val="11"/>
                <w:szCs w:val="11"/>
                <w:b w:val="1"/>
                <w:bCs w:val="1"/>
                <w:color w:val="auto"/>
              </w:rPr>
              <w:t>Available</w:t>
            </w:r>
          </w:p>
        </w:tc>
        <w:tc>
          <w:tcPr>
            <w:tcW w:w="0" w:type="dxa"/>
            <w:vAlign w:val="bottom"/>
          </w:tcPr>
          <w:p>
            <w:pPr>
              <w:spacing w:after="0"/>
              <w:rPr>
                <w:sz w:val="1"/>
                <w:szCs w:val="1"/>
                <w:color w:val="auto"/>
              </w:rPr>
            </w:pPr>
          </w:p>
        </w:tc>
      </w:tr>
      <w:tr>
        <w:trPr>
          <w:trHeight w:val="149"/>
        </w:trPr>
        <w:tc>
          <w:tcPr>
            <w:tcW w:w="7100" w:type="dxa"/>
            <w:vAlign w:val="bottom"/>
            <w:gridSpan w:val="2"/>
            <w:vMerge w:val="continue"/>
          </w:tcPr>
          <w:p>
            <w:pPr>
              <w:spacing w:after="0"/>
              <w:rPr>
                <w:sz w:val="12"/>
                <w:szCs w:val="12"/>
                <w:color w:val="auto"/>
              </w:rPr>
            </w:pPr>
          </w:p>
        </w:tc>
        <w:tc>
          <w:tcPr>
            <w:tcW w:w="900" w:type="dxa"/>
            <w:vAlign w:val="bottom"/>
          </w:tcPr>
          <w:p>
            <w:pPr>
              <w:ind w:left="460"/>
              <w:spacing w:after="0"/>
              <w:rPr>
                <w:sz w:val="20"/>
                <w:szCs w:val="20"/>
                <w:color w:val="auto"/>
              </w:rPr>
            </w:pPr>
            <w:r>
              <w:rPr>
                <w:rFonts w:ascii="Arial" w:cs="Arial" w:eastAsia="Arial" w:hAnsi="Arial"/>
                <w:sz w:val="11"/>
                <w:szCs w:val="11"/>
                <w:b w:val="1"/>
                <w:bCs w:val="1"/>
                <w:color w:val="auto"/>
              </w:rPr>
              <w:t>Amount</w:t>
            </w:r>
          </w:p>
        </w:tc>
        <w:tc>
          <w:tcPr>
            <w:tcW w:w="740" w:type="dxa"/>
            <w:vAlign w:val="bottom"/>
          </w:tcPr>
          <w:p>
            <w:pPr>
              <w:spacing w:after="0"/>
              <w:rPr>
                <w:sz w:val="12"/>
                <w:szCs w:val="12"/>
                <w:color w:val="auto"/>
              </w:rPr>
            </w:pPr>
          </w:p>
        </w:tc>
        <w:tc>
          <w:tcPr>
            <w:tcW w:w="1440" w:type="dxa"/>
            <w:vAlign w:val="bottom"/>
          </w:tcPr>
          <w:p>
            <w:pPr>
              <w:jc w:val="center"/>
              <w:ind w:right="495"/>
              <w:spacing w:after="0"/>
              <w:rPr>
                <w:sz w:val="20"/>
                <w:szCs w:val="20"/>
                <w:color w:val="auto"/>
              </w:rPr>
            </w:pPr>
            <w:r>
              <w:rPr>
                <w:rFonts w:ascii="Arial" w:cs="Arial" w:eastAsia="Arial" w:hAnsi="Arial"/>
                <w:sz w:val="11"/>
                <w:szCs w:val="11"/>
                <w:b w:val="1"/>
                <w:bCs w:val="1"/>
                <w:color w:val="auto"/>
                <w:w w:val="92"/>
              </w:rPr>
              <w:t>Outstanding</w:t>
            </w: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70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440" w:type="dxa"/>
            <w:vAlign w:val="bottom"/>
            <w:tcBorders>
              <w:top w:val="single" w:sz="8" w:color="auto"/>
            </w:tcBorders>
          </w:tcPr>
          <w:p>
            <w:pPr>
              <w:jc w:val="center"/>
              <w:ind w:right="495"/>
              <w:spacing w:after="0"/>
              <w:rPr>
                <w:sz w:val="20"/>
                <w:szCs w:val="20"/>
                <w:color w:val="auto"/>
              </w:rPr>
            </w:pPr>
            <w:r>
              <w:rPr>
                <w:rFonts w:ascii="Arial" w:cs="Arial" w:eastAsia="Arial" w:hAnsi="Arial"/>
                <w:sz w:val="10"/>
                <w:szCs w:val="10"/>
                <w:b w:val="1"/>
                <w:bCs w:val="1"/>
                <w:color w:val="auto"/>
                <w:w w:val="92"/>
              </w:rPr>
              <w:t>(In millions)</w:t>
            </w:r>
          </w:p>
        </w:tc>
        <w:tc>
          <w:tcPr>
            <w:tcW w:w="10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71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900" w:type="dxa"/>
            <w:vAlign w:val="bottom"/>
            <w:shd w:val="clear" w:color="auto" w:fill="CCEEFF"/>
          </w:tcPr>
          <w:p>
            <w:pPr>
              <w:jc w:val="right"/>
              <w:ind w:right="759"/>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   $</w:t>
            </w:r>
          </w:p>
        </w:tc>
        <w:tc>
          <w:tcPr>
            <w:tcW w:w="1440" w:type="dxa"/>
            <w:vAlign w:val="bottom"/>
            <w:shd w:val="clear" w:color="auto" w:fill="CCEEFF"/>
          </w:tcPr>
          <w:p>
            <w:pPr>
              <w:jc w:val="right"/>
              <w:ind w:right="95"/>
              <w:spacing w:after="0"/>
              <w:rPr>
                <w:sz w:val="20"/>
                <w:szCs w:val="20"/>
                <w:color w:val="auto"/>
              </w:rPr>
            </w:pPr>
            <w:r>
              <w:rPr>
                <w:rFonts w:ascii="Arial" w:cs="Arial" w:eastAsia="Arial" w:hAnsi="Arial"/>
                <w:sz w:val="14"/>
                <w:szCs w:val="14"/>
                <w:color w:val="auto"/>
              </w:rPr>
              <w:t>—   $</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450.1</w:t>
            </w:r>
          </w:p>
        </w:tc>
        <w:tc>
          <w:tcPr>
            <w:tcW w:w="0" w:type="dxa"/>
            <w:vAlign w:val="bottom"/>
          </w:tcPr>
          <w:p>
            <w:pPr>
              <w:spacing w:after="0"/>
              <w:rPr>
                <w:sz w:val="1"/>
                <w:szCs w:val="1"/>
                <w:color w:val="auto"/>
              </w:rPr>
            </w:pPr>
          </w:p>
        </w:tc>
      </w:tr>
      <w:tr>
        <w:trPr>
          <w:trHeight w:val="180"/>
        </w:trPr>
        <w:tc>
          <w:tcPr>
            <w:tcW w:w="7100" w:type="dxa"/>
            <w:vAlign w:val="bottom"/>
            <w:gridSpan w:val="2"/>
          </w:tcPr>
          <w:p>
            <w:pPr>
              <w:ind w:left="20"/>
              <w:spacing w:after="0"/>
              <w:rPr>
                <w:sz w:val="20"/>
                <w:szCs w:val="20"/>
                <w:color w:val="auto"/>
              </w:rPr>
            </w:pPr>
            <w:r>
              <w:rPr>
                <w:rFonts w:ascii="Arial" w:cs="Arial" w:eastAsia="Arial" w:hAnsi="Arial"/>
                <w:sz w:val="14"/>
                <w:szCs w:val="14"/>
                <w:color w:val="auto"/>
              </w:rPr>
              <w:t>Borrowing arrangements:</w:t>
            </w:r>
          </w:p>
        </w:tc>
        <w:tc>
          <w:tcPr>
            <w:tcW w:w="9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100" w:type="dxa"/>
            <w:vAlign w:val="bottom"/>
            <w:gridSpan w:val="2"/>
            <w:shd w:val="clear" w:color="auto" w:fill="CCEEFF"/>
          </w:tcPr>
          <w:p>
            <w:pPr>
              <w:ind w:left="120"/>
              <w:spacing w:after="0" w:line="181" w:lineRule="exact"/>
              <w:rPr>
                <w:sz w:val="20"/>
                <w:szCs w:val="20"/>
                <w:color w:val="auto"/>
              </w:rPr>
            </w:pPr>
            <w:r>
              <w:rPr>
                <w:rFonts w:ascii="Arial" w:cs="Arial" w:eastAsia="Arial" w:hAnsi="Arial"/>
                <w:sz w:val="14"/>
                <w:szCs w:val="14"/>
                <w:color w:val="auto"/>
              </w:rPr>
              <w:t>U.S. Credit Facility</w:t>
            </w:r>
            <w:r>
              <w:rPr>
                <w:rFonts w:ascii="Arial" w:cs="Arial" w:eastAsia="Arial" w:hAnsi="Arial"/>
                <w:sz w:val="18"/>
                <w:szCs w:val="18"/>
                <w:color w:val="auto"/>
                <w:vertAlign w:val="superscript"/>
              </w:rPr>
              <w:t>(a)</w:t>
            </w:r>
          </w:p>
        </w:tc>
        <w:tc>
          <w:tcPr>
            <w:tcW w:w="9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100" w:type="dxa"/>
            <w:vAlign w:val="bottom"/>
            <w:gridSpan w:val="2"/>
          </w:tcPr>
          <w:p>
            <w:pPr>
              <w:ind w:left="280"/>
              <w:spacing w:after="0"/>
              <w:rPr>
                <w:sz w:val="20"/>
                <w:szCs w:val="20"/>
                <w:color w:val="auto"/>
              </w:rPr>
            </w:pPr>
            <w:r>
              <w:rPr>
                <w:rFonts w:ascii="Arial" w:cs="Arial" w:eastAsia="Arial" w:hAnsi="Arial"/>
                <w:sz w:val="14"/>
                <w:szCs w:val="14"/>
                <w:color w:val="auto"/>
              </w:rPr>
              <w:t>Revolving credit</w:t>
            </w:r>
          </w:p>
        </w:tc>
        <w:tc>
          <w:tcPr>
            <w:tcW w:w="900" w:type="dxa"/>
            <w:vAlign w:val="bottom"/>
          </w:tcPr>
          <w:p>
            <w:pPr>
              <w:spacing w:after="0"/>
              <w:rPr>
                <w:sz w:val="15"/>
                <w:szCs w:val="15"/>
                <w:color w:val="auto"/>
              </w:rPr>
            </w:pPr>
          </w:p>
        </w:tc>
        <w:tc>
          <w:tcPr>
            <w:tcW w:w="740" w:type="dxa"/>
            <w:vAlign w:val="bottom"/>
          </w:tcPr>
          <w:p>
            <w:pPr>
              <w:jc w:val="right"/>
              <w:ind w:right="309"/>
              <w:spacing w:after="0"/>
              <w:rPr>
                <w:sz w:val="20"/>
                <w:szCs w:val="20"/>
                <w:color w:val="auto"/>
              </w:rPr>
            </w:pPr>
            <w:r>
              <w:rPr>
                <w:rFonts w:ascii="Arial" w:cs="Arial" w:eastAsia="Arial" w:hAnsi="Arial"/>
                <w:sz w:val="14"/>
                <w:szCs w:val="14"/>
                <w:color w:val="auto"/>
                <w:w w:val="96"/>
              </w:rPr>
              <w:t>800.0</w:t>
            </w:r>
          </w:p>
        </w:tc>
        <w:tc>
          <w:tcPr>
            <w:tcW w:w="1440" w:type="dxa"/>
            <w:vAlign w:val="bottom"/>
          </w:tcPr>
          <w:p>
            <w:pPr>
              <w:jc w:val="right"/>
              <w:ind w:right="335"/>
              <w:spacing w:after="0"/>
              <w:rPr>
                <w:sz w:val="20"/>
                <w:szCs w:val="20"/>
                <w:color w:val="auto"/>
              </w:rPr>
            </w:pPr>
            <w:r>
              <w:rPr>
                <w:rFonts w:ascii="Arial" w:cs="Arial" w:eastAsia="Arial" w:hAnsi="Arial"/>
                <w:sz w:val="14"/>
                <w:szCs w:val="14"/>
                <w:color w:val="auto"/>
              </w:rPr>
              <w:t>36.1</w:t>
            </w:r>
          </w:p>
        </w:tc>
        <w:tc>
          <w:tcPr>
            <w:tcW w:w="1060" w:type="dxa"/>
            <w:vAlign w:val="bottom"/>
          </w:tcPr>
          <w:p>
            <w:pPr>
              <w:jc w:val="right"/>
              <w:spacing w:after="0"/>
              <w:rPr>
                <w:sz w:val="20"/>
                <w:szCs w:val="20"/>
                <w:color w:val="auto"/>
              </w:rPr>
            </w:pPr>
            <w:r>
              <w:rPr>
                <w:rFonts w:ascii="Arial" w:cs="Arial" w:eastAsia="Arial" w:hAnsi="Arial"/>
                <w:sz w:val="14"/>
                <w:szCs w:val="14"/>
                <w:color w:val="auto"/>
              </w:rPr>
              <w:t>763.9</w:t>
            </w:r>
          </w:p>
        </w:tc>
        <w:tc>
          <w:tcPr>
            <w:tcW w:w="0" w:type="dxa"/>
            <w:vAlign w:val="bottom"/>
          </w:tcPr>
          <w:p>
            <w:pPr>
              <w:spacing w:after="0"/>
              <w:rPr>
                <w:sz w:val="1"/>
                <w:szCs w:val="1"/>
                <w:color w:val="auto"/>
              </w:rPr>
            </w:pPr>
          </w:p>
        </w:tc>
      </w:tr>
      <w:tr>
        <w:trPr>
          <w:trHeight w:val="181"/>
        </w:trPr>
        <w:tc>
          <w:tcPr>
            <w:tcW w:w="710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Term loan</w:t>
            </w:r>
          </w:p>
        </w:tc>
        <w:tc>
          <w:tcPr>
            <w:tcW w:w="90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309"/>
              <w:spacing w:after="0"/>
              <w:rPr>
                <w:sz w:val="20"/>
                <w:szCs w:val="20"/>
                <w:color w:val="auto"/>
              </w:rPr>
            </w:pPr>
            <w:r>
              <w:rPr>
                <w:rFonts w:ascii="Arial" w:cs="Arial" w:eastAsia="Arial" w:hAnsi="Arial"/>
                <w:sz w:val="14"/>
                <w:szCs w:val="14"/>
                <w:color w:val="auto"/>
                <w:w w:val="96"/>
              </w:rPr>
              <w:t>700.0</w:t>
            </w:r>
          </w:p>
        </w:tc>
        <w:tc>
          <w:tcPr>
            <w:tcW w:w="1440" w:type="dxa"/>
            <w:vAlign w:val="bottom"/>
            <w:shd w:val="clear" w:color="auto" w:fill="CCEEFF"/>
          </w:tcPr>
          <w:p>
            <w:pPr>
              <w:jc w:val="right"/>
              <w:ind w:right="335"/>
              <w:spacing w:after="0"/>
              <w:rPr>
                <w:sz w:val="20"/>
                <w:szCs w:val="20"/>
                <w:color w:val="auto"/>
              </w:rPr>
            </w:pPr>
            <w:r>
              <w:rPr>
                <w:rFonts w:ascii="Arial" w:cs="Arial" w:eastAsia="Arial" w:hAnsi="Arial"/>
                <w:sz w:val="14"/>
                <w:szCs w:val="14"/>
                <w:color w:val="auto"/>
              </w:rPr>
              <w:t>506.3</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193.7</w:t>
            </w:r>
          </w:p>
        </w:tc>
        <w:tc>
          <w:tcPr>
            <w:tcW w:w="0" w:type="dxa"/>
            <w:vAlign w:val="bottom"/>
          </w:tcPr>
          <w:p>
            <w:pPr>
              <w:spacing w:after="0"/>
              <w:rPr>
                <w:sz w:val="1"/>
                <w:szCs w:val="1"/>
                <w:color w:val="auto"/>
              </w:rPr>
            </w:pPr>
          </w:p>
        </w:tc>
      </w:tr>
      <w:tr>
        <w:trPr>
          <w:trHeight w:val="180"/>
        </w:trPr>
        <w:tc>
          <w:tcPr>
            <w:tcW w:w="7100" w:type="dxa"/>
            <w:vAlign w:val="bottom"/>
            <w:gridSpan w:val="2"/>
          </w:tcPr>
          <w:p>
            <w:pPr>
              <w:ind w:left="120"/>
              <w:spacing w:after="0" w:line="181" w:lineRule="exact"/>
              <w:rPr>
                <w:sz w:val="20"/>
                <w:szCs w:val="20"/>
                <w:color w:val="auto"/>
              </w:rPr>
            </w:pPr>
            <w:r>
              <w:rPr>
                <w:rFonts w:ascii="Arial" w:cs="Arial" w:eastAsia="Arial" w:hAnsi="Arial"/>
                <w:sz w:val="14"/>
                <w:szCs w:val="14"/>
                <w:color w:val="auto"/>
              </w:rPr>
              <w:t>Mexico Credit Facility</w:t>
            </w:r>
            <w:r>
              <w:rPr>
                <w:rFonts w:ascii="Arial" w:cs="Arial" w:eastAsia="Arial" w:hAnsi="Arial"/>
                <w:sz w:val="18"/>
                <w:szCs w:val="18"/>
                <w:color w:val="auto"/>
                <w:vertAlign w:val="superscript"/>
              </w:rPr>
              <w:t>(b)</w:t>
            </w:r>
          </w:p>
        </w:tc>
        <w:tc>
          <w:tcPr>
            <w:tcW w:w="900" w:type="dxa"/>
            <w:vAlign w:val="bottom"/>
          </w:tcPr>
          <w:p>
            <w:pPr>
              <w:spacing w:after="0"/>
              <w:rPr>
                <w:sz w:val="15"/>
                <w:szCs w:val="15"/>
                <w:color w:val="auto"/>
              </w:rPr>
            </w:pPr>
          </w:p>
        </w:tc>
        <w:tc>
          <w:tcPr>
            <w:tcW w:w="740" w:type="dxa"/>
            <w:vAlign w:val="bottom"/>
          </w:tcPr>
          <w:p>
            <w:pPr>
              <w:jc w:val="right"/>
              <w:ind w:right="309"/>
              <w:spacing w:after="0"/>
              <w:rPr>
                <w:sz w:val="20"/>
                <w:szCs w:val="20"/>
                <w:color w:val="auto"/>
              </w:rPr>
            </w:pPr>
            <w:r>
              <w:rPr>
                <w:rFonts w:ascii="Arial" w:cs="Arial" w:eastAsia="Arial" w:hAnsi="Arial"/>
                <w:sz w:val="14"/>
                <w:szCs w:val="14"/>
                <w:color w:val="auto"/>
              </w:rPr>
              <w:t>72.8</w:t>
            </w:r>
          </w:p>
        </w:tc>
        <w:tc>
          <w:tcPr>
            <w:tcW w:w="1440" w:type="dxa"/>
            <w:vAlign w:val="bottom"/>
          </w:tcPr>
          <w:p>
            <w:pPr>
              <w:jc w:val="right"/>
              <w:ind w:right="335"/>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72.8</w:t>
            </w:r>
          </w:p>
        </w:tc>
        <w:tc>
          <w:tcPr>
            <w:tcW w:w="0" w:type="dxa"/>
            <w:vAlign w:val="bottom"/>
          </w:tcPr>
          <w:p>
            <w:pPr>
              <w:spacing w:after="0"/>
              <w:rPr>
                <w:sz w:val="1"/>
                <w:szCs w:val="1"/>
                <w:color w:val="auto"/>
              </w:rPr>
            </w:pPr>
          </w:p>
        </w:tc>
      </w:tr>
      <w:tr>
        <w:trPr>
          <w:trHeight w:val="180"/>
        </w:trPr>
        <w:tc>
          <w:tcPr>
            <w:tcW w:w="7100" w:type="dxa"/>
            <w:vAlign w:val="bottom"/>
            <w:gridSpan w:val="2"/>
            <w:shd w:val="clear" w:color="auto" w:fill="CCEEFF"/>
          </w:tcPr>
          <w:p>
            <w:pPr>
              <w:ind w:left="120"/>
              <w:spacing w:after="0" w:line="181" w:lineRule="exact"/>
              <w:rPr>
                <w:sz w:val="20"/>
                <w:szCs w:val="20"/>
                <w:color w:val="auto"/>
              </w:rPr>
            </w:pPr>
            <w:r>
              <w:rPr>
                <w:rFonts w:ascii="Arial" w:cs="Arial" w:eastAsia="Arial" w:hAnsi="Arial"/>
                <w:sz w:val="14"/>
                <w:szCs w:val="14"/>
                <w:color w:val="auto"/>
              </w:rPr>
              <w:t>U.K. and Europe Credit Facilities</w:t>
            </w:r>
            <w:r>
              <w:rPr>
                <w:rFonts w:ascii="Arial" w:cs="Arial" w:eastAsia="Arial" w:hAnsi="Arial"/>
                <w:sz w:val="18"/>
                <w:szCs w:val="18"/>
                <w:color w:val="auto"/>
                <w:vertAlign w:val="superscript"/>
              </w:rPr>
              <w:t>(c)</w:t>
            </w:r>
          </w:p>
        </w:tc>
        <w:tc>
          <w:tcPr>
            <w:tcW w:w="90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309"/>
              <w:spacing w:after="0"/>
              <w:rPr>
                <w:sz w:val="20"/>
                <w:szCs w:val="20"/>
                <w:color w:val="auto"/>
              </w:rPr>
            </w:pPr>
            <w:r>
              <w:rPr>
                <w:rFonts w:ascii="Arial" w:cs="Arial" w:eastAsia="Arial" w:hAnsi="Arial"/>
                <w:sz w:val="14"/>
                <w:szCs w:val="14"/>
                <w:color w:val="auto"/>
                <w:w w:val="96"/>
              </w:rPr>
              <w:t>134.1</w:t>
            </w:r>
          </w:p>
        </w:tc>
        <w:tc>
          <w:tcPr>
            <w:tcW w:w="1440" w:type="dxa"/>
            <w:vAlign w:val="bottom"/>
            <w:shd w:val="clear" w:color="auto" w:fill="CCEEFF"/>
          </w:tcPr>
          <w:p>
            <w:pPr>
              <w:jc w:val="right"/>
              <w:ind w:right="335"/>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134.1</w:t>
            </w:r>
          </w:p>
        </w:tc>
        <w:tc>
          <w:tcPr>
            <w:tcW w:w="0" w:type="dxa"/>
            <w:vAlign w:val="bottom"/>
          </w:tcPr>
          <w:p>
            <w:pPr>
              <w:spacing w:after="0"/>
              <w:rPr>
                <w:sz w:val="1"/>
                <w:szCs w:val="1"/>
                <w:color w:val="auto"/>
              </w:rPr>
            </w:pPr>
          </w:p>
        </w:tc>
      </w:tr>
    </w:tbl>
    <w:p>
      <w:pPr>
        <w:ind w:left="520" w:hanging="515"/>
        <w:spacing w:after="0"/>
        <w:tabs>
          <w:tab w:leader="none" w:pos="520" w:val="left"/>
        </w:tabs>
        <w:numPr>
          <w:ilvl w:val="0"/>
          <w:numId w:val="15"/>
        </w:numPr>
        <w:rPr>
          <w:rFonts w:ascii="Arial" w:cs="Arial" w:eastAsia="Arial" w:hAnsi="Arial"/>
          <w:sz w:val="11"/>
          <w:szCs w:val="11"/>
          <w:color w:val="auto"/>
        </w:rPr>
      </w:pPr>
      <w:r>
        <w:rPr>
          <w:rFonts w:ascii="Arial" w:cs="Arial" w:eastAsia="Arial" w:hAnsi="Arial"/>
          <w:sz w:val="11"/>
          <w:szCs w:val="11"/>
          <w:color w:val="auto"/>
        </w:rPr>
        <w:t>Availability under the U.S. Credit Facility is also reduced by our outstanding standby letters of credit. Standby letters of credit outstanding at December 26, 2021 totaled $36.1 million.</w:t>
      </w:r>
    </w:p>
    <w:p>
      <w:pPr>
        <w:spacing w:after="0" w:line="6" w:lineRule="exact"/>
        <w:rPr>
          <w:rFonts w:ascii="Arial" w:cs="Arial" w:eastAsia="Arial" w:hAnsi="Arial"/>
          <w:sz w:val="11"/>
          <w:szCs w:val="11"/>
          <w:color w:val="auto"/>
        </w:rPr>
      </w:pPr>
    </w:p>
    <w:p>
      <w:pPr>
        <w:ind w:left="500" w:hanging="495"/>
        <w:spacing w:after="0"/>
        <w:tabs>
          <w:tab w:leader="none" w:pos="500" w:val="left"/>
        </w:tabs>
        <w:numPr>
          <w:ilvl w:val="0"/>
          <w:numId w:val="15"/>
        </w:numPr>
        <w:rPr>
          <w:rFonts w:ascii="Arial" w:cs="Arial" w:eastAsia="Arial" w:hAnsi="Arial"/>
          <w:sz w:val="11"/>
          <w:szCs w:val="11"/>
          <w:color w:val="auto"/>
        </w:rPr>
      </w:pPr>
      <w:r>
        <w:rPr>
          <w:rFonts w:ascii="Arial" w:cs="Arial" w:eastAsia="Arial" w:hAnsi="Arial"/>
          <w:sz w:val="11"/>
          <w:szCs w:val="11"/>
          <w:color w:val="auto"/>
        </w:rPr>
        <w:t>As of December 26, 2021, the U.S. dollar-equivalent of the amount available under the Mexican Credit Facility was $72.8 million ($1.5 billion Mexican pesos).</w:t>
      </w:r>
    </w:p>
    <w:p>
      <w:pPr>
        <w:ind w:left="520" w:hanging="515"/>
        <w:spacing w:after="0"/>
        <w:tabs>
          <w:tab w:leader="none" w:pos="520" w:val="left"/>
        </w:tabs>
        <w:numPr>
          <w:ilvl w:val="0"/>
          <w:numId w:val="15"/>
        </w:numPr>
        <w:rPr>
          <w:rFonts w:ascii="Arial" w:cs="Arial" w:eastAsia="Arial" w:hAnsi="Arial"/>
          <w:sz w:val="11"/>
          <w:szCs w:val="11"/>
          <w:color w:val="auto"/>
        </w:rPr>
      </w:pPr>
      <w:r>
        <w:rPr>
          <w:rFonts w:ascii="Arial" w:cs="Arial" w:eastAsia="Arial" w:hAnsi="Arial"/>
          <w:sz w:val="11"/>
          <w:szCs w:val="11"/>
          <w:color w:val="auto"/>
        </w:rPr>
        <w:t>As of December 26, 2021, the U.S. dollar-equivalent of the amount available under the U.K. and Europe Credit Facilities are $134.1 million (£100.0 million).</w:t>
      </w:r>
    </w:p>
    <w:p>
      <w:pPr>
        <w:spacing w:after="0" w:line="123" w:lineRule="exact"/>
        <w:rPr>
          <w:sz w:val="20"/>
          <w:szCs w:val="20"/>
          <w:color w:val="auto"/>
        </w:rPr>
      </w:pPr>
    </w:p>
    <w:p>
      <w:pPr>
        <w:ind w:left="520"/>
        <w:spacing w:after="0"/>
        <w:rPr>
          <w:sz w:val="20"/>
          <w:szCs w:val="20"/>
          <w:color w:val="auto"/>
        </w:rPr>
      </w:pPr>
      <w:r>
        <w:rPr>
          <w:rFonts w:ascii="Arial" w:cs="Arial" w:eastAsia="Arial" w:hAnsi="Arial"/>
          <w:sz w:val="14"/>
          <w:szCs w:val="14"/>
          <w:color w:val="auto"/>
        </w:rPr>
        <w:t>On February 8, 2022, we borrowed the remaining $193.7 million of the delayed draw commitment on the term loan under the U.S. Credit Facility.</w:t>
      </w:r>
    </w:p>
    <w:p>
      <w:pPr>
        <w:spacing w:after="0" w:line="136"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4"/>
          <w:szCs w:val="14"/>
          <w:color w:val="auto"/>
        </w:rPr>
        <w:t>In July 2021, one of our Mexican subsidiaries received an observation letter from the Mexican Tax Authority (the “MTA”) asserting a withholding tax liability due in connection with our 2015 acquisition of Provemex Holding LLC and its subsidiaries. Although we do not expect any claims or assessments set forth in the observation letter to result in future cash outlays, we are currently evaluating the claims and assessments as set forth in the observation letter. We responded to the observation letter in August 2021 and in November 2021, we received notice that the MTA ratified their assertions contained in the observation letter without acknowledging our arguments. The MTA now has six months to issue a formal assessment, at which time we plan to file an administrative appeal against any formal assessment received.</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7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780" w:type="dxa"/>
            <w:vAlign w:val="bottom"/>
            <w:tcBorders>
              <w:bottom w:val="single" w:sz="8" w:color="auto"/>
            </w:tcBorders>
            <w:gridSpan w:val="3"/>
          </w:tcPr>
          <w:p>
            <w:pPr>
              <w:ind w:left="1140"/>
              <w:spacing w:after="0"/>
              <w:rPr>
                <w:sz w:val="20"/>
                <w:szCs w:val="20"/>
                <w:color w:val="auto"/>
              </w:rPr>
            </w:pPr>
            <w:r>
              <w:rPr>
                <w:rFonts w:ascii="Arial" w:cs="Arial" w:eastAsia="Arial" w:hAnsi="Arial"/>
                <w:sz w:val="11"/>
                <w:szCs w:val="11"/>
                <w:b w:val="1"/>
                <w:bCs w:val="1"/>
                <w:color w:val="auto"/>
              </w:rPr>
              <w:t>Year Ended</w:t>
            </w:r>
          </w:p>
        </w:tc>
        <w:tc>
          <w:tcPr>
            <w:tcW w:w="1300" w:type="dxa"/>
            <w:vAlign w:val="bottom"/>
            <w:tcBorders>
              <w:bottom w:val="single" w:sz="8" w:color="auto"/>
            </w:tcBorders>
          </w:tcPr>
          <w:p>
            <w:pPr>
              <w:spacing w:after="0"/>
              <w:rPr>
                <w:sz w:val="12"/>
                <w:szCs w:val="12"/>
                <w:color w:val="auto"/>
              </w:rPr>
            </w:pPr>
          </w:p>
        </w:tc>
      </w:tr>
      <w:tr>
        <w:trPr>
          <w:trHeight w:val="147"/>
        </w:trPr>
        <w:tc>
          <w:tcPr>
            <w:tcW w:w="7980" w:type="dxa"/>
            <w:vAlign w:val="bottom"/>
            <w:gridSpan w:val="2"/>
          </w:tcPr>
          <w:p>
            <w:pPr>
              <w:ind w:left="20"/>
              <w:spacing w:after="0"/>
              <w:rPr>
                <w:sz w:val="20"/>
                <w:szCs w:val="20"/>
                <w:color w:val="auto"/>
              </w:rPr>
            </w:pPr>
            <w:r>
              <w:rPr>
                <w:rFonts w:ascii="Arial" w:cs="Arial" w:eastAsia="Arial" w:hAnsi="Arial"/>
                <w:sz w:val="11"/>
                <w:szCs w:val="11"/>
                <w:b w:val="1"/>
                <w:bCs w:val="1"/>
                <w:color w:val="auto"/>
              </w:rPr>
              <w:t>Cash Flows from Operating Activities</w:t>
            </w:r>
          </w:p>
        </w:tc>
        <w:tc>
          <w:tcPr>
            <w:tcW w:w="220" w:type="dxa"/>
            <w:vAlign w:val="bottom"/>
          </w:tcPr>
          <w:p>
            <w:pPr>
              <w:spacing w:after="0"/>
              <w:rPr>
                <w:sz w:val="12"/>
                <w:szCs w:val="12"/>
                <w:color w:val="auto"/>
              </w:rPr>
            </w:pPr>
          </w:p>
        </w:tc>
        <w:tc>
          <w:tcPr>
            <w:tcW w:w="1480" w:type="dxa"/>
            <w:vAlign w:val="bottom"/>
            <w:gridSpan w:val="2"/>
          </w:tcPr>
          <w:p>
            <w:pPr>
              <w:ind w:left="120"/>
              <w:spacing w:after="0"/>
              <w:rPr>
                <w:sz w:val="20"/>
                <w:szCs w:val="20"/>
                <w:color w:val="auto"/>
              </w:rPr>
            </w:pPr>
            <w:r>
              <w:rPr>
                <w:rFonts w:ascii="Arial" w:cs="Arial" w:eastAsia="Arial" w:hAnsi="Arial"/>
                <w:sz w:val="11"/>
                <w:szCs w:val="11"/>
                <w:b w:val="1"/>
                <w:bCs w:val="1"/>
                <w:color w:val="auto"/>
              </w:rPr>
              <w:t>December 26, 2021</w:t>
            </w:r>
          </w:p>
        </w:tc>
        <w:tc>
          <w:tcPr>
            <w:tcW w:w="300" w:type="dxa"/>
            <w:vAlign w:val="bottom"/>
          </w:tcPr>
          <w:p>
            <w:pPr>
              <w:spacing w:after="0"/>
              <w:rPr>
                <w:sz w:val="12"/>
                <w:szCs w:val="12"/>
                <w:color w:val="auto"/>
              </w:rPr>
            </w:pPr>
          </w:p>
        </w:tc>
        <w:tc>
          <w:tcPr>
            <w:tcW w:w="1300" w:type="dxa"/>
            <w:vAlign w:val="bottom"/>
          </w:tcPr>
          <w:p>
            <w:pPr>
              <w:jc w:val="right"/>
              <w:ind w:right="271"/>
              <w:spacing w:after="0"/>
              <w:rPr>
                <w:sz w:val="20"/>
                <w:szCs w:val="20"/>
                <w:color w:val="auto"/>
              </w:rPr>
            </w:pPr>
            <w:r>
              <w:rPr>
                <w:rFonts w:ascii="Arial" w:cs="Arial" w:eastAsia="Arial" w:hAnsi="Arial"/>
                <w:sz w:val="11"/>
                <w:szCs w:val="11"/>
                <w:b w:val="1"/>
                <w:bCs w:val="1"/>
                <w:color w:val="auto"/>
                <w:w w:val="94"/>
              </w:rPr>
              <w:t>December 27, 2020</w:t>
            </w:r>
          </w:p>
        </w:tc>
      </w:tr>
      <w:tr>
        <w:trPr>
          <w:trHeight w:val="133"/>
        </w:trPr>
        <w:tc>
          <w:tcPr>
            <w:tcW w:w="78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780" w:type="dxa"/>
            <w:vAlign w:val="bottom"/>
            <w:tcBorders>
              <w:top w:val="single" w:sz="8" w:color="auto"/>
            </w:tcBorders>
            <w:gridSpan w:val="3"/>
          </w:tcPr>
          <w:p>
            <w:pPr>
              <w:ind w:left="1180"/>
              <w:spacing w:after="0"/>
              <w:rPr>
                <w:sz w:val="20"/>
                <w:szCs w:val="20"/>
                <w:color w:val="auto"/>
              </w:rPr>
            </w:pPr>
            <w:r>
              <w:rPr>
                <w:rFonts w:ascii="Arial" w:cs="Arial" w:eastAsia="Arial" w:hAnsi="Arial"/>
                <w:sz w:val="10"/>
                <w:szCs w:val="10"/>
                <w:b w:val="1"/>
                <w:bCs w:val="1"/>
                <w:color w:val="auto"/>
              </w:rPr>
              <w:t>(In millions)</w:t>
            </w:r>
          </w:p>
        </w:tc>
        <w:tc>
          <w:tcPr>
            <w:tcW w:w="1300" w:type="dxa"/>
            <w:vAlign w:val="bottom"/>
            <w:tcBorders>
              <w:top w:val="single" w:sz="8" w:color="auto"/>
            </w:tcBorders>
          </w:tcPr>
          <w:p>
            <w:pPr>
              <w:spacing w:after="0"/>
              <w:rPr>
                <w:sz w:val="11"/>
                <w:szCs w:val="11"/>
                <w:color w:val="auto"/>
              </w:rPr>
            </w:pPr>
          </w:p>
        </w:tc>
      </w:tr>
      <w:tr>
        <w:trPr>
          <w:trHeight w:val="188"/>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380" w:type="dxa"/>
            <w:vAlign w:val="bottom"/>
            <w:shd w:val="clear" w:color="auto" w:fill="CCEEFF"/>
          </w:tcPr>
          <w:p>
            <w:pPr>
              <w:ind w:left="1080"/>
              <w:spacing w:after="0"/>
              <w:rPr>
                <w:sz w:val="20"/>
                <w:szCs w:val="20"/>
                <w:color w:val="auto"/>
              </w:rPr>
            </w:pPr>
            <w:r>
              <w:rPr>
                <w:rFonts w:ascii="Arial" w:cs="Arial" w:eastAsia="Arial" w:hAnsi="Arial"/>
                <w:sz w:val="14"/>
                <w:szCs w:val="14"/>
                <w:color w:val="auto"/>
              </w:rPr>
              <w:t>31.3</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95.1</w:t>
            </w:r>
          </w:p>
        </w:tc>
      </w:tr>
      <w:tr>
        <w:trPr>
          <w:trHeight w:val="180"/>
        </w:trPr>
        <w:tc>
          <w:tcPr>
            <w:tcW w:w="7980" w:type="dxa"/>
            <w:vAlign w:val="bottom"/>
            <w:gridSpan w:val="2"/>
          </w:tcPr>
          <w:p>
            <w:pPr>
              <w:ind w:left="20"/>
              <w:spacing w:after="0"/>
              <w:rPr>
                <w:sz w:val="20"/>
                <w:szCs w:val="20"/>
                <w:color w:val="auto"/>
              </w:rPr>
            </w:pPr>
            <w:r>
              <w:rPr>
                <w:rFonts w:ascii="Arial" w:cs="Arial" w:eastAsia="Arial" w:hAnsi="Arial"/>
                <w:sz w:val="14"/>
                <w:szCs w:val="14"/>
                <w:color w:val="auto"/>
              </w:rPr>
              <w:t>Net noncash expenses</w:t>
            </w:r>
          </w:p>
        </w:tc>
        <w:tc>
          <w:tcPr>
            <w:tcW w:w="220" w:type="dxa"/>
            <w:vAlign w:val="bottom"/>
          </w:tcPr>
          <w:p>
            <w:pPr>
              <w:spacing w:after="0"/>
              <w:rPr>
                <w:sz w:val="15"/>
                <w:szCs w:val="15"/>
                <w:color w:val="auto"/>
              </w:rPr>
            </w:pPr>
          </w:p>
        </w:tc>
        <w:tc>
          <w:tcPr>
            <w:tcW w:w="1380" w:type="dxa"/>
            <w:vAlign w:val="bottom"/>
          </w:tcPr>
          <w:p>
            <w:pPr>
              <w:ind w:left="1020"/>
              <w:spacing w:after="0"/>
              <w:rPr>
                <w:sz w:val="20"/>
                <w:szCs w:val="20"/>
                <w:color w:val="auto"/>
              </w:rPr>
            </w:pPr>
            <w:r>
              <w:rPr>
                <w:rFonts w:ascii="Arial" w:cs="Arial" w:eastAsia="Arial" w:hAnsi="Arial"/>
                <w:sz w:val="14"/>
                <w:szCs w:val="14"/>
                <w:color w:val="auto"/>
                <w:w w:val="96"/>
              </w:rPr>
              <w:t>335.8</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369.7</w:t>
            </w:r>
          </w:p>
        </w:tc>
      </w:tr>
      <w:tr>
        <w:trPr>
          <w:trHeight w:val="181"/>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Changes in operating assets and liabilities:</w:t>
            </w:r>
          </w:p>
        </w:tc>
        <w:tc>
          <w:tcPr>
            <w:tcW w:w="2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180"/>
        </w:trPr>
        <w:tc>
          <w:tcPr>
            <w:tcW w:w="7980" w:type="dxa"/>
            <w:vAlign w:val="bottom"/>
            <w:gridSpan w:val="2"/>
          </w:tcPr>
          <w:p>
            <w:pPr>
              <w:ind w:left="180"/>
              <w:spacing w:after="0"/>
              <w:rPr>
                <w:sz w:val="20"/>
                <w:szCs w:val="20"/>
                <w:color w:val="auto"/>
              </w:rPr>
            </w:pPr>
            <w:r>
              <w:rPr>
                <w:rFonts w:ascii="Arial" w:cs="Arial" w:eastAsia="Arial" w:hAnsi="Arial"/>
                <w:sz w:val="14"/>
                <w:szCs w:val="14"/>
                <w:color w:val="auto"/>
              </w:rPr>
              <w:t>Trade accounts and other receivables</w:t>
            </w:r>
          </w:p>
        </w:tc>
        <w:tc>
          <w:tcPr>
            <w:tcW w:w="2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(259.4)</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29.1</w:t>
            </w:r>
          </w:p>
        </w:tc>
      </w:tr>
      <w:tr>
        <w:trPr>
          <w:trHeight w:val="181"/>
        </w:trPr>
        <w:tc>
          <w:tcPr>
            <w:tcW w:w="79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Inventories</w:t>
            </w:r>
          </w:p>
        </w:tc>
        <w:tc>
          <w:tcPr>
            <w:tcW w:w="22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(177.9)</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w:t>
            </w:r>
          </w:p>
        </w:tc>
      </w:tr>
      <w:tr>
        <w:trPr>
          <w:trHeight w:val="180"/>
        </w:trPr>
        <w:tc>
          <w:tcPr>
            <w:tcW w:w="7980" w:type="dxa"/>
            <w:vAlign w:val="bottom"/>
            <w:gridSpan w:val="2"/>
          </w:tcPr>
          <w:p>
            <w:pPr>
              <w:ind w:left="180"/>
              <w:spacing w:after="0"/>
              <w:rPr>
                <w:sz w:val="20"/>
                <w:szCs w:val="20"/>
                <w:color w:val="auto"/>
              </w:rPr>
            </w:pPr>
            <w:r>
              <w:rPr>
                <w:rFonts w:ascii="Arial" w:cs="Arial" w:eastAsia="Arial" w:hAnsi="Arial"/>
                <w:sz w:val="14"/>
                <w:szCs w:val="14"/>
                <w:color w:val="auto"/>
              </w:rPr>
              <w:t>Prepaid expenses and other current assets</w:t>
            </w:r>
          </w:p>
        </w:tc>
        <w:tc>
          <w:tcPr>
            <w:tcW w:w="220" w:type="dxa"/>
            <w:vAlign w:val="bottom"/>
          </w:tcPr>
          <w:p>
            <w:pPr>
              <w:spacing w:after="0"/>
              <w:rPr>
                <w:sz w:val="15"/>
                <w:szCs w:val="15"/>
                <w:color w:val="auto"/>
              </w:rPr>
            </w:pPr>
          </w:p>
        </w:tc>
        <w:tc>
          <w:tcPr>
            <w:tcW w:w="1380" w:type="dxa"/>
            <w:vAlign w:val="bottom"/>
          </w:tcPr>
          <w:p>
            <w:pPr>
              <w:ind w:left="1020"/>
              <w:spacing w:after="0"/>
              <w:rPr>
                <w:sz w:val="20"/>
                <w:szCs w:val="20"/>
                <w:color w:val="auto"/>
              </w:rPr>
            </w:pPr>
            <w:r>
              <w:rPr>
                <w:rFonts w:ascii="Arial" w:cs="Arial" w:eastAsia="Arial" w:hAnsi="Arial"/>
                <w:sz w:val="14"/>
                <w:szCs w:val="14"/>
                <w:color w:val="auto"/>
                <w:w w:val="92"/>
              </w:rPr>
              <w:t>(53.8)</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(50.3)</w:t>
            </w:r>
          </w:p>
        </w:tc>
      </w:tr>
      <w:tr>
        <w:trPr>
          <w:trHeight w:val="181"/>
        </w:trPr>
        <w:tc>
          <w:tcPr>
            <w:tcW w:w="79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Accounts payable and accrued expenses</w:t>
            </w:r>
          </w:p>
        </w:tc>
        <w:tc>
          <w:tcPr>
            <w:tcW w:w="220" w:type="dxa"/>
            <w:vAlign w:val="bottom"/>
            <w:shd w:val="clear" w:color="auto" w:fill="CCEEFF"/>
          </w:tcPr>
          <w:p>
            <w:pPr>
              <w:spacing w:after="0"/>
              <w:rPr>
                <w:sz w:val="15"/>
                <w:szCs w:val="15"/>
                <w:color w:val="auto"/>
              </w:rPr>
            </w:pPr>
          </w:p>
        </w:tc>
        <w:tc>
          <w:tcPr>
            <w:tcW w:w="1380" w:type="dxa"/>
            <w:vAlign w:val="bottom"/>
            <w:shd w:val="clear" w:color="auto" w:fill="CCEEFF"/>
          </w:tcPr>
          <w:p>
            <w:pPr>
              <w:ind w:left="1020"/>
              <w:spacing w:after="0"/>
              <w:rPr>
                <w:sz w:val="20"/>
                <w:szCs w:val="20"/>
                <w:color w:val="auto"/>
              </w:rPr>
            </w:pPr>
            <w:r>
              <w:rPr>
                <w:rFonts w:ascii="Arial" w:cs="Arial" w:eastAsia="Arial" w:hAnsi="Arial"/>
                <w:sz w:val="14"/>
                <w:szCs w:val="14"/>
                <w:color w:val="auto"/>
                <w:w w:val="96"/>
              </w:rPr>
              <w:t>359.6</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295.3</w:t>
            </w:r>
          </w:p>
        </w:tc>
      </w:tr>
      <w:tr>
        <w:trPr>
          <w:trHeight w:val="180"/>
        </w:trPr>
        <w:tc>
          <w:tcPr>
            <w:tcW w:w="7980" w:type="dxa"/>
            <w:vAlign w:val="bottom"/>
            <w:gridSpan w:val="2"/>
          </w:tcPr>
          <w:p>
            <w:pPr>
              <w:ind w:left="180"/>
              <w:spacing w:after="0"/>
              <w:rPr>
                <w:sz w:val="20"/>
                <w:szCs w:val="20"/>
                <w:color w:val="auto"/>
              </w:rPr>
            </w:pPr>
            <w:r>
              <w:rPr>
                <w:rFonts w:ascii="Arial" w:cs="Arial" w:eastAsia="Arial" w:hAnsi="Arial"/>
                <w:sz w:val="14"/>
                <w:szCs w:val="14"/>
                <w:color w:val="auto"/>
              </w:rPr>
              <w:t>Income taxes</w:t>
            </w:r>
          </w:p>
        </w:tc>
        <w:tc>
          <w:tcPr>
            <w:tcW w:w="220" w:type="dxa"/>
            <w:vAlign w:val="bottom"/>
          </w:tcPr>
          <w:p>
            <w:pPr>
              <w:spacing w:after="0"/>
              <w:rPr>
                <w:sz w:val="15"/>
                <w:szCs w:val="15"/>
                <w:color w:val="auto"/>
              </w:rPr>
            </w:pPr>
          </w:p>
        </w:tc>
        <w:tc>
          <w:tcPr>
            <w:tcW w:w="1380" w:type="dxa"/>
            <w:vAlign w:val="bottom"/>
          </w:tcPr>
          <w:p>
            <w:pPr>
              <w:ind w:left="1020"/>
              <w:spacing w:after="0"/>
              <w:rPr>
                <w:sz w:val="20"/>
                <w:szCs w:val="20"/>
                <w:color w:val="auto"/>
              </w:rPr>
            </w:pPr>
            <w:r>
              <w:rPr>
                <w:rFonts w:ascii="Arial" w:cs="Arial" w:eastAsia="Arial" w:hAnsi="Arial"/>
                <w:sz w:val="14"/>
                <w:szCs w:val="14"/>
                <w:color w:val="auto"/>
                <w:w w:val="96"/>
              </w:rPr>
              <w:t>115.2</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(39.4)</w:t>
            </w:r>
          </w:p>
        </w:tc>
      </w:tr>
      <w:tr>
        <w:trPr>
          <w:trHeight w:val="181"/>
        </w:trPr>
        <w:tc>
          <w:tcPr>
            <w:tcW w:w="79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Long-term pension and other postretirement obligations</w:t>
            </w:r>
          </w:p>
        </w:tc>
        <w:tc>
          <w:tcPr>
            <w:tcW w:w="220" w:type="dxa"/>
            <w:vAlign w:val="bottom"/>
            <w:shd w:val="clear" w:color="auto" w:fill="CCEEFF"/>
          </w:tcPr>
          <w:p>
            <w:pPr>
              <w:spacing w:after="0"/>
              <w:rPr>
                <w:sz w:val="15"/>
                <w:szCs w:val="15"/>
                <w:color w:val="auto"/>
              </w:rPr>
            </w:pPr>
          </w:p>
        </w:tc>
        <w:tc>
          <w:tcPr>
            <w:tcW w:w="1380" w:type="dxa"/>
            <w:vAlign w:val="bottom"/>
            <w:shd w:val="clear" w:color="auto" w:fill="CCEEFF"/>
          </w:tcPr>
          <w:p>
            <w:pPr>
              <w:ind w:left="1020"/>
              <w:spacing w:after="0"/>
              <w:rPr>
                <w:sz w:val="20"/>
                <w:szCs w:val="20"/>
                <w:color w:val="auto"/>
              </w:rPr>
            </w:pPr>
            <w:r>
              <w:rPr>
                <w:rFonts w:ascii="Arial" w:cs="Arial" w:eastAsia="Arial" w:hAnsi="Arial"/>
                <w:sz w:val="14"/>
                <w:szCs w:val="14"/>
                <w:color w:val="auto"/>
                <w:w w:val="92"/>
              </w:rPr>
              <w:t>(18.5)</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w:t>
            </w:r>
          </w:p>
        </w:tc>
      </w:tr>
      <w:tr>
        <w:trPr>
          <w:trHeight w:val="180"/>
        </w:trPr>
        <w:tc>
          <w:tcPr>
            <w:tcW w:w="798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Other operating assets and liabilities</w:t>
            </w:r>
          </w:p>
        </w:tc>
        <w:tc>
          <w:tcPr>
            <w:tcW w:w="2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w:t>
            </w:r>
          </w:p>
        </w:tc>
      </w:tr>
      <w:tr>
        <w:trPr>
          <w:trHeight w:val="196"/>
        </w:trPr>
        <w:tc>
          <w:tcPr>
            <w:tcW w:w="79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4"/>
                <w:szCs w:val="14"/>
                <w:color w:val="auto"/>
              </w:rPr>
              <w:t>Cash provided by operating activities</w:t>
            </w: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380" w:type="dxa"/>
            <w:vAlign w:val="bottom"/>
            <w:tcBorders>
              <w:bottom w:val="single" w:sz="8" w:color="auto"/>
            </w:tcBorders>
            <w:shd w:val="clear" w:color="auto" w:fill="CCEEFF"/>
          </w:tcPr>
          <w:p>
            <w:pPr>
              <w:ind w:left="1020"/>
              <w:spacing w:after="0"/>
              <w:rPr>
                <w:sz w:val="20"/>
                <w:szCs w:val="20"/>
                <w:color w:val="auto"/>
              </w:rPr>
            </w:pPr>
            <w:r>
              <w:rPr>
                <w:rFonts w:ascii="Arial" w:cs="Arial" w:eastAsia="Arial" w:hAnsi="Arial"/>
                <w:sz w:val="14"/>
                <w:szCs w:val="14"/>
                <w:color w:val="auto"/>
                <w:w w:val="96"/>
              </w:rPr>
              <w:t>326.5</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724.2</w:t>
            </w:r>
          </w:p>
        </w:tc>
      </w:tr>
      <w:tr>
        <w:trPr>
          <w:trHeight w:val="20"/>
        </w:trPr>
        <w:tc>
          <w:tcPr>
            <w:tcW w:w="7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Net Noncash Expenses</w:t>
      </w:r>
    </w:p>
    <w:p>
      <w:pPr>
        <w:spacing w:after="0" w:line="140"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color w:val="auto"/>
        </w:rPr>
        <w:t>Items necessary to reconcile from net income to cash flow provided by operating activities included net noncash expenses of $335.8 million for the year ended December 26, 2021. Net noncash expense items included $380.8 million of depreciation and amortization, a $24.7 million loss on early extinguishment of debt, $11.7 million of stock-based compensation expense and loan cost amortization of $5.1 million. Partially offsetting the net noncash expenses was $86.4 million of deferred income tax benefit and a $1.5 million gain on property disposals. Other items affecting net noncash expenses were individually immaterial.</w:t>
      </w:r>
    </w:p>
    <w:p>
      <w:pPr>
        <w:spacing w:after="0" w:line="103"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4"/>
          <w:szCs w:val="14"/>
          <w:color w:val="auto"/>
        </w:rPr>
        <w:t>Items necessary to reconcile from net income to cash flow provided by operating activities included net noncash expenses of $369.7 million for the year ended December 27, 2020. Net noncash expense items included $337.1 million of depreciation and amortization, $37.3 million of deferred income tax expense, loan cost amortization of $4.8 million, and a $3.7 million negative adjustment to a previously recognized gain on bargain purchase from the PPL acquisition. Partially offsetting</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3" w:name="page34"/>
    <w:bookmarkEnd w:id="33"/>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-6985</wp:posOffset>
            </wp:positionV>
            <wp:extent cx="727075" cy="69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7075" cy="6985"/>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4"/>
          <w:szCs w:val="14"/>
          <w:color w:val="auto"/>
        </w:rPr>
        <w:t>the net noncash expenses was a $13.8 million gain on property disposals. Other items affecting net noncash expenses were individually immaterial.</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Changes in Operating Assets and Liabilities</w:t>
      </w:r>
    </w:p>
    <w:p>
      <w:pPr>
        <w:spacing w:after="0" w:line="140"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color w:val="auto"/>
        </w:rPr>
        <w:t>Accounts payable and accrued expenses, including accounts payable to related parties, represented a $359.6 million source of cash in 2021. This change resulted primarily from the timing of payments as well as increased prices for feed and grain, transportation costs and packaging materials. Accounts payable and accrued expenses, including accounts payable to related parties, represented a $295.3 million source of cash in 2020. This change resulted primarily from the accrual of the $110.5 million DOJ agreement, the accrual of the $75.0 million Direct Purchaser Plaintiff Class settlement and the timing of payments.</w:t>
      </w:r>
    </w:p>
    <w:p>
      <w:pPr>
        <w:spacing w:after="0" w:line="103" w:lineRule="exact"/>
        <w:rPr>
          <w:sz w:val="20"/>
          <w:szCs w:val="20"/>
          <w:color w:val="auto"/>
        </w:rPr>
      </w:pPr>
    </w:p>
    <w:p>
      <w:pPr>
        <w:jc w:val="both"/>
        <w:ind w:firstLine="509"/>
        <w:spacing w:after="0" w:line="281" w:lineRule="auto"/>
        <w:rPr>
          <w:sz w:val="20"/>
          <w:szCs w:val="20"/>
          <w:color w:val="auto"/>
        </w:rPr>
      </w:pPr>
      <w:r>
        <w:rPr>
          <w:rFonts w:ascii="Arial" w:cs="Arial" w:eastAsia="Arial" w:hAnsi="Arial"/>
          <w:sz w:val="14"/>
          <w:szCs w:val="14"/>
          <w:color w:val="auto"/>
        </w:rPr>
        <w:t>The change in inventories represented a $177.9 million use of cash in 2021. The change in cash resulted from an increase in our raw materials and work-in-process inventory. The change in inventories represented a $26.0 million source of cash in 2020. The change in cash resulted from a decrease in our finished products inventory.</w:t>
      </w:r>
    </w:p>
    <w:p>
      <w:pPr>
        <w:spacing w:after="0" w:line="90"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4"/>
          <w:szCs w:val="14"/>
          <w:color w:val="auto"/>
        </w:rPr>
        <w:t>The change in trade accounts and other receivables, including accounts receivable from related parties, represented a $259.4 million use of cash in 2021. The change in cash is primarily due to the timing of customer payments. The change in trade accounts and other receivables, including accounts receivable from related parties, represented a $29.1 million use of cash in 2020. The change in cash is primarily due to the timing of customer payments and receipt of insurance claims.</w:t>
      </w:r>
    </w:p>
    <w:p>
      <w:pPr>
        <w:spacing w:after="0" w:line="99"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4"/>
          <w:szCs w:val="14"/>
          <w:color w:val="auto"/>
        </w:rPr>
        <w:t>The change in prepaid expenses and other current assets represented a $53.8 million use of cash in 2021. This change resulted primarily from a net increase in value-added tax receivables and prepaid property insurance. The change in prepaid expenses and other current assets represented a $50.3 million use of cash in 2020. This change resulted primarily from a net increase in both commodity derivatives and value-added tax receivables.</w:t>
      </w:r>
    </w:p>
    <w:p>
      <w:pPr>
        <w:spacing w:after="0" w:line="99" w:lineRule="exact"/>
        <w:rPr>
          <w:sz w:val="20"/>
          <w:szCs w:val="20"/>
          <w:color w:val="auto"/>
        </w:rPr>
      </w:pPr>
    </w:p>
    <w:p>
      <w:pPr>
        <w:jc w:val="both"/>
        <w:ind w:firstLine="509"/>
        <w:spacing w:after="0" w:line="288" w:lineRule="auto"/>
        <w:rPr>
          <w:sz w:val="20"/>
          <w:szCs w:val="20"/>
          <w:color w:val="auto"/>
        </w:rPr>
      </w:pPr>
      <w:r>
        <w:rPr>
          <w:rFonts w:ascii="Arial" w:cs="Arial" w:eastAsia="Arial" w:hAnsi="Arial"/>
          <w:sz w:val="13"/>
          <w:szCs w:val="13"/>
          <w:color w:val="auto"/>
        </w:rPr>
        <w:t>The change in income taxes, which includes income taxes receivables, income taxes payable, deferred tax assets, deferred tax liabilities, reserves for uncertain tax positions and the tax components within accumulated other comprehensive loss, represented a $115.2 million source of cash in 2021. This change resulted primarily from the timing of estimated tax payments. The change in income taxes, which includes income taxes receivables, income taxes payable, deferred tax assets, deferred tax liabilities, reserves for uncertain tax positions and the tax components within accumulated other comprehensive loss, represented a $39.4 million use of cash in 2020. This change resulted primarily from the timing of estimated tax payments.</w:t>
      </w:r>
    </w:p>
    <w:p>
      <w:pPr>
        <w:sectPr>
          <w:pgSz w:w="11900" w:h="16838" w:orient="portrait"/>
          <w:cols w:equalWidth="0" w:num="1">
            <w:col w:w="11280"/>
          </w:cols>
          <w:pgMar w:left="300" w:top="129" w:right="319" w:bottom="1440" w:gutter="0" w:footer="0" w:header="0"/>
        </w:sectPr>
      </w:pPr>
    </w:p>
    <w:p>
      <w:pPr>
        <w:spacing w:after="0" w:line="188"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wp:posOffset>
            </wp:positionV>
            <wp:extent cx="5005705" cy="69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005705" cy="6985"/>
                    </a:xfrm>
                    <a:prstGeom prst="rect">
                      <a:avLst/>
                    </a:prstGeom>
                    <a:noFill/>
                  </pic:spPr>
                </pic:pic>
              </a:graphicData>
            </a:graphic>
          </wp:anchor>
        </w:drawing>
      </w:r>
    </w:p>
    <w:p>
      <w:pPr>
        <w:spacing w:after="0" w:line="200" w:lineRule="exact"/>
        <w:rPr>
          <w:sz w:val="20"/>
          <w:szCs w:val="20"/>
          <w:color w:val="auto"/>
        </w:rPr>
      </w:pPr>
    </w:p>
    <w:p>
      <w:pPr>
        <w:ind w:left="20"/>
        <w:spacing w:after="0"/>
        <w:rPr>
          <w:sz w:val="20"/>
          <w:szCs w:val="20"/>
          <w:color w:val="auto"/>
        </w:rPr>
      </w:pPr>
      <w:r>
        <w:rPr>
          <w:rFonts w:ascii="Arial" w:cs="Arial" w:eastAsia="Arial" w:hAnsi="Arial"/>
          <w:sz w:val="12"/>
          <w:szCs w:val="12"/>
          <w:color w:val="auto"/>
        </w:rPr>
        <w:t>Purchase of acquired businesses, net of cash acquired</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Acquisitions of property, plant and equipment</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color w:val="auto"/>
        </w:rPr>
        <w:t>Proceeds from property disposals</w:t>
      </w:r>
    </w:p>
    <w:p>
      <w:pPr>
        <w:spacing w:after="0" w:line="51" w:lineRule="exact"/>
        <w:rPr>
          <w:sz w:val="20"/>
          <w:szCs w:val="20"/>
          <w:color w:val="auto"/>
        </w:rPr>
      </w:pPr>
    </w:p>
    <w:p>
      <w:pPr>
        <w:ind w:left="180"/>
        <w:spacing w:after="0"/>
        <w:rPr>
          <w:sz w:val="20"/>
          <w:szCs w:val="20"/>
          <w:color w:val="auto"/>
        </w:rPr>
      </w:pPr>
      <w:r>
        <w:rPr>
          <w:rFonts w:ascii="Arial" w:cs="Arial" w:eastAsia="Arial" w:hAnsi="Arial"/>
          <w:sz w:val="14"/>
          <w:szCs w:val="14"/>
          <w:color w:val="auto"/>
        </w:rPr>
        <w:t>Cash used in investing activities</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1360"/>
        <w:spacing w:after="0"/>
        <w:rPr>
          <w:sz w:val="20"/>
          <w:szCs w:val="20"/>
          <w:color w:val="auto"/>
        </w:rPr>
      </w:pPr>
      <w:r>
        <w:rPr>
          <w:rFonts w:ascii="Arial" w:cs="Arial" w:eastAsia="Arial" w:hAnsi="Arial"/>
          <w:sz w:val="11"/>
          <w:szCs w:val="11"/>
          <w:b w:val="1"/>
          <w:bCs w:val="1"/>
          <w:color w:val="auto"/>
        </w:rPr>
        <w:t>Year Ended</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220" w:type="dxa"/>
            <w:vAlign w:val="bottom"/>
            <w:tcBorders>
              <w:top w:val="single" w:sz="8" w:color="auto"/>
              <w:bottom w:val="single" w:sz="8" w:color="auto"/>
            </w:tcBorders>
          </w:tcPr>
          <w:p>
            <w:pPr>
              <w:spacing w:after="0"/>
              <w:rPr>
                <w:sz w:val="12"/>
                <w:szCs w:val="12"/>
                <w:color w:val="auto"/>
              </w:rPr>
            </w:pPr>
          </w:p>
        </w:tc>
        <w:tc>
          <w:tcPr>
            <w:tcW w:w="1480" w:type="dxa"/>
            <w:vAlign w:val="bottom"/>
            <w:tcBorders>
              <w:top w:val="single" w:sz="8" w:color="auto"/>
              <w:bottom w:val="single" w:sz="8" w:color="auto"/>
            </w:tcBorders>
            <w:gridSpan w:val="2"/>
          </w:tcPr>
          <w:p>
            <w:pPr>
              <w:ind w:left="120"/>
              <w:spacing w:after="0"/>
              <w:rPr>
                <w:sz w:val="20"/>
                <w:szCs w:val="20"/>
                <w:color w:val="auto"/>
              </w:rPr>
            </w:pPr>
            <w:r>
              <w:rPr>
                <w:rFonts w:ascii="Arial" w:cs="Arial" w:eastAsia="Arial" w:hAnsi="Arial"/>
                <w:sz w:val="11"/>
                <w:szCs w:val="11"/>
                <w:b w:val="1"/>
                <w:bCs w:val="1"/>
                <w:color w:val="auto"/>
              </w:rPr>
              <w:t>December 26, 2021</w:t>
            </w:r>
          </w:p>
        </w:tc>
        <w:tc>
          <w:tcPr>
            <w:tcW w:w="280" w:type="dxa"/>
            <w:vAlign w:val="bottom"/>
            <w:tcBorders>
              <w:top w:val="single" w:sz="8" w:color="auto"/>
              <w:bottom w:val="single" w:sz="8" w:color="auto"/>
            </w:tcBorders>
          </w:tcPr>
          <w:p>
            <w:pPr>
              <w:spacing w:after="0"/>
              <w:rPr>
                <w:sz w:val="12"/>
                <w:szCs w:val="12"/>
                <w:color w:val="auto"/>
              </w:rPr>
            </w:pPr>
          </w:p>
        </w:tc>
        <w:tc>
          <w:tcPr>
            <w:tcW w:w="132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1"/>
                <w:szCs w:val="11"/>
                <w:b w:val="1"/>
                <w:bCs w:val="1"/>
                <w:color w:val="auto"/>
                <w:w w:val="96"/>
              </w:rPr>
              <w:t>December 27, 2020</w:t>
            </w:r>
          </w:p>
        </w:tc>
      </w:tr>
      <w:tr>
        <w:trPr>
          <w:trHeight w:val="157"/>
        </w:trPr>
        <w:tc>
          <w:tcPr>
            <w:tcW w:w="220" w:type="dxa"/>
            <w:vAlign w:val="bottom"/>
          </w:tcPr>
          <w:p>
            <w:pPr>
              <w:spacing w:after="0"/>
              <w:rPr>
                <w:sz w:val="13"/>
                <w:szCs w:val="13"/>
                <w:color w:val="auto"/>
              </w:rPr>
            </w:pPr>
          </w:p>
        </w:tc>
        <w:tc>
          <w:tcPr>
            <w:tcW w:w="1760" w:type="dxa"/>
            <w:vAlign w:val="bottom"/>
            <w:gridSpan w:val="3"/>
          </w:tcPr>
          <w:p>
            <w:pPr>
              <w:jc w:val="right"/>
              <w:spacing w:after="0"/>
              <w:rPr>
                <w:sz w:val="20"/>
                <w:szCs w:val="20"/>
                <w:color w:val="auto"/>
              </w:rPr>
            </w:pPr>
            <w:r>
              <w:rPr>
                <w:rFonts w:ascii="Arial" w:cs="Arial" w:eastAsia="Arial" w:hAnsi="Arial"/>
                <w:sz w:val="10"/>
                <w:szCs w:val="10"/>
                <w:b w:val="1"/>
                <w:bCs w:val="1"/>
                <w:color w:val="auto"/>
              </w:rPr>
              <w:t>(In millions)</w:t>
            </w:r>
          </w:p>
        </w:tc>
        <w:tc>
          <w:tcPr>
            <w:tcW w:w="1320" w:type="dxa"/>
            <w:vAlign w:val="bottom"/>
          </w:tcPr>
          <w:p>
            <w:pPr>
              <w:spacing w:after="0"/>
              <w:rPr>
                <w:sz w:val="13"/>
                <w:szCs w:val="13"/>
                <w:color w:val="auto"/>
              </w:rPr>
            </w:pPr>
          </w:p>
        </w:tc>
      </w:tr>
      <w:tr>
        <w:trPr>
          <w:trHeight w:val="194"/>
        </w:trPr>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(966.8)</w:t>
            </w:r>
          </w:p>
        </w:tc>
        <w:tc>
          <w:tcPr>
            <w:tcW w:w="100" w:type="dxa"/>
            <w:vAlign w:val="bottom"/>
          </w:tcPr>
          <w:p>
            <w:pPr>
              <w:spacing w:after="0"/>
              <w:rPr>
                <w:sz w:val="16"/>
                <w:szCs w:val="16"/>
                <w:color w:val="auto"/>
              </w:rPr>
            </w:pPr>
          </w:p>
        </w:tc>
        <w:tc>
          <w:tcPr>
            <w:tcW w:w="280" w:type="dxa"/>
            <w:vAlign w:val="bottom"/>
          </w:tcPr>
          <w:p>
            <w:pPr>
              <w:jc w:val="right"/>
              <w:ind w:right="129"/>
              <w:spacing w:after="0"/>
              <w:rPr>
                <w:sz w:val="20"/>
                <w:szCs w:val="20"/>
                <w:color w:val="auto"/>
              </w:rPr>
            </w:pPr>
            <w:r>
              <w:rPr>
                <w:rFonts w:ascii="Arial" w:cs="Arial" w:eastAsia="Arial" w:hAnsi="Arial"/>
                <w:sz w:val="14"/>
                <w:szCs w:val="14"/>
                <w:color w:val="auto"/>
                <w:w w:val="76"/>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(4.2)</w:t>
            </w:r>
          </w:p>
        </w:tc>
      </w:tr>
      <w:tr>
        <w:trPr>
          <w:trHeight w:val="180"/>
        </w:trPr>
        <w:tc>
          <w:tcPr>
            <w:tcW w:w="2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(381.7)</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(354.8)</w:t>
            </w:r>
          </w:p>
        </w:tc>
      </w:tr>
      <w:tr>
        <w:trPr>
          <w:trHeight w:val="181"/>
        </w:trPr>
        <w:tc>
          <w:tcPr>
            <w:tcW w:w="2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24.7</w:t>
            </w: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32.0</w:t>
            </w:r>
          </w:p>
        </w:tc>
      </w:tr>
      <w:tr>
        <w:trPr>
          <w:trHeight w:val="171"/>
        </w:trPr>
        <w:tc>
          <w:tcPr>
            <w:tcW w:w="2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w w:val="76"/>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(1,323.7)</w:t>
            </w:r>
          </w:p>
        </w:tc>
        <w:tc>
          <w:tcPr>
            <w:tcW w:w="100" w:type="dxa"/>
            <w:vAlign w:val="bottom"/>
          </w:tcPr>
          <w:p>
            <w:pPr>
              <w:spacing w:after="0"/>
              <w:rPr>
                <w:sz w:val="14"/>
                <w:szCs w:val="14"/>
                <w:color w:val="auto"/>
              </w:rPr>
            </w:pPr>
          </w:p>
        </w:tc>
        <w:tc>
          <w:tcPr>
            <w:tcW w:w="2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(327.0)</w:t>
            </w: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-5063490</wp:posOffset>
            </wp:positionH>
            <wp:positionV relativeFrom="paragraph">
              <wp:posOffset>-491490</wp:posOffset>
            </wp:positionV>
            <wp:extent cx="7161530" cy="1143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1530" cy="114300"/>
                    </a:xfrm>
                    <a:prstGeom prst="rect">
                      <a:avLst/>
                    </a:prstGeom>
                    <a:noFill/>
                  </pic:spPr>
                </pic:pic>
              </a:graphicData>
            </a:graphic>
          </wp:anchor>
        </w:drawing>
        <w:drawing>
          <wp:anchor simplePos="0" relativeHeight="251657728" behindDoc="1" locked="0" layoutInCell="0" allowOverlap="1">
            <wp:simplePos x="0" y="0"/>
            <wp:positionH relativeFrom="column">
              <wp:posOffset>-5063490</wp:posOffset>
            </wp:positionH>
            <wp:positionV relativeFrom="paragraph">
              <wp:posOffset>-262255</wp:posOffset>
            </wp:positionV>
            <wp:extent cx="7161530" cy="1143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pacing w:after="0" w:line="117" w:lineRule="exact"/>
        <w:rPr>
          <w:sz w:val="20"/>
          <w:szCs w:val="20"/>
          <w:color w:val="auto"/>
        </w:rPr>
      </w:pPr>
    </w:p>
    <w:p>
      <w:pPr>
        <w:sectPr>
          <w:pgSz w:w="11900" w:h="16838" w:orient="portrait"/>
          <w:cols w:equalWidth="0" w:num="2">
            <w:col w:w="7260" w:space="720"/>
            <w:col w:w="3300"/>
          </w:cols>
          <w:pgMar w:left="300" w:top="129" w:right="319" w:bottom="1440" w:gutter="0" w:footer="0" w:header="0"/>
          <w:type w:val="continuous"/>
        </w:sectPr>
      </w:pPr>
    </w:p>
    <w:p>
      <w:pPr>
        <w:ind w:firstLine="509"/>
        <w:spacing w:after="0" w:line="354" w:lineRule="auto"/>
        <w:rPr>
          <w:sz w:val="20"/>
          <w:szCs w:val="20"/>
          <w:color w:val="auto"/>
        </w:rPr>
      </w:pPr>
      <w:r>
        <w:rPr>
          <w:rFonts w:ascii="Arial" w:cs="Arial" w:eastAsia="Arial" w:hAnsi="Arial"/>
          <w:sz w:val="12"/>
          <w:szCs w:val="12"/>
          <w:color w:val="auto"/>
        </w:rPr>
        <w:t>Purchase of acquired businesses represents cash used to acquire Pilgrim’s Food Masters (formerly Kerry Consumer Foods’ Meats and Ready Meals businesses) and Randall Parker Foods which totaled $966.8 million. Capital expenditures were primarily incurred to improve operational efficiencies and reduce costs for the years ended December 26, 2021 and December 27, 2020.</w:t>
      </w:r>
    </w:p>
    <w:tbl>
      <w:tblPr>
        <w:tblLayout w:type="fixed"/>
        <w:tblInd w:w="0" w:type="dxa"/>
        <w:tblCellMar>
          <w:top w:w="0" w:type="dxa"/>
          <w:left w:w="0" w:type="dxa"/>
          <w:bottom w:w="0" w:type="dxa"/>
          <w:right w:w="0" w:type="dxa"/>
        </w:tblCellMar>
      </w:tblPr>
      <w:tr>
        <w:trPr>
          <w:trHeight w:val="147"/>
        </w:trPr>
        <w:tc>
          <w:tcPr>
            <w:tcW w:w="528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Year Ended</w:t>
            </w:r>
          </w:p>
        </w:tc>
        <w:tc>
          <w:tcPr>
            <w:tcW w:w="13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28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Cash Flows from Financing Activities</w:t>
            </w:r>
          </w:p>
        </w:tc>
        <w:tc>
          <w:tcPr>
            <w:tcW w:w="26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gridSpan w:val="2"/>
          </w:tcPr>
          <w:p>
            <w:pPr>
              <w:ind w:left="120"/>
              <w:spacing w:after="0"/>
              <w:rPr>
                <w:sz w:val="20"/>
                <w:szCs w:val="20"/>
                <w:color w:val="auto"/>
              </w:rPr>
            </w:pPr>
            <w:r>
              <w:rPr>
                <w:rFonts w:ascii="Arial" w:cs="Arial" w:eastAsia="Arial" w:hAnsi="Arial"/>
                <w:sz w:val="11"/>
                <w:szCs w:val="11"/>
                <w:b w:val="1"/>
                <w:bCs w:val="1"/>
                <w:color w:val="auto"/>
              </w:rPr>
              <w:t>December 26, 2021</w:t>
            </w:r>
          </w:p>
        </w:tc>
        <w:tc>
          <w:tcPr>
            <w:tcW w:w="30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271"/>
              <w:spacing w:after="0"/>
              <w:rPr>
                <w:sz w:val="20"/>
                <w:szCs w:val="20"/>
                <w:color w:val="auto"/>
              </w:rPr>
            </w:pPr>
            <w:r>
              <w:rPr>
                <w:rFonts w:ascii="Arial" w:cs="Arial" w:eastAsia="Arial" w:hAnsi="Arial"/>
                <w:sz w:val="11"/>
                <w:szCs w:val="11"/>
                <w:b w:val="1"/>
                <w:bCs w:val="1"/>
                <w:color w:val="auto"/>
                <w:w w:val="94"/>
              </w:rPr>
              <w:t>December 27, 2020</w:t>
            </w:r>
          </w:p>
        </w:tc>
        <w:tc>
          <w:tcPr>
            <w:tcW w:w="0" w:type="dxa"/>
            <w:vAlign w:val="bottom"/>
          </w:tcPr>
          <w:p>
            <w:pPr>
              <w:spacing w:after="0"/>
              <w:rPr>
                <w:sz w:val="1"/>
                <w:szCs w:val="1"/>
                <w:color w:val="auto"/>
              </w:rPr>
            </w:pPr>
          </w:p>
        </w:tc>
      </w:tr>
      <w:tr>
        <w:trPr>
          <w:trHeight w:val="133"/>
        </w:trPr>
        <w:tc>
          <w:tcPr>
            <w:tcW w:w="528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80" w:type="dxa"/>
            <w:vAlign w:val="bottom"/>
            <w:gridSpan w:val="3"/>
          </w:tcPr>
          <w:p>
            <w:pPr>
              <w:jc w:val="right"/>
              <w:ind w:right="9"/>
              <w:spacing w:after="0"/>
              <w:rPr>
                <w:sz w:val="20"/>
                <w:szCs w:val="20"/>
                <w:color w:val="auto"/>
              </w:rPr>
            </w:pPr>
            <w:r>
              <w:rPr>
                <w:rFonts w:ascii="Arial" w:cs="Arial" w:eastAsia="Arial" w:hAnsi="Arial"/>
                <w:sz w:val="10"/>
                <w:szCs w:val="10"/>
                <w:b w:val="1"/>
                <w:bCs w:val="1"/>
                <w:color w:val="auto"/>
              </w:rPr>
              <w:t>(In millions)</w:t>
            </w: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5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Payments on revolving line of credit and long-term borrowings</w:t>
            </w:r>
          </w:p>
        </w:tc>
        <w:tc>
          <w:tcPr>
            <w:tcW w:w="2920" w:type="dxa"/>
            <w:vAlign w:val="bottom"/>
            <w:gridSpan w:val="3"/>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(2,006.2)</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(431.0)</w:t>
            </w:r>
          </w:p>
        </w:tc>
        <w:tc>
          <w:tcPr>
            <w:tcW w:w="0" w:type="dxa"/>
            <w:vAlign w:val="bottom"/>
          </w:tcPr>
          <w:p>
            <w:pPr>
              <w:spacing w:after="0"/>
              <w:rPr>
                <w:sz w:val="1"/>
                <w:szCs w:val="1"/>
                <w:color w:val="auto"/>
              </w:rPr>
            </w:pPr>
          </w:p>
        </w:tc>
      </w:tr>
      <w:tr>
        <w:trPr>
          <w:trHeight w:val="180"/>
        </w:trPr>
        <w:tc>
          <w:tcPr>
            <w:tcW w:w="5280" w:type="dxa"/>
            <w:vAlign w:val="bottom"/>
          </w:tcPr>
          <w:p>
            <w:pPr>
              <w:ind w:left="20"/>
              <w:spacing w:after="0"/>
              <w:rPr>
                <w:sz w:val="20"/>
                <w:szCs w:val="20"/>
                <w:color w:val="auto"/>
              </w:rPr>
            </w:pPr>
            <w:r>
              <w:rPr>
                <w:rFonts w:ascii="Arial" w:cs="Arial" w:eastAsia="Arial" w:hAnsi="Arial"/>
                <w:sz w:val="14"/>
                <w:szCs w:val="14"/>
                <w:color w:val="auto"/>
              </w:rPr>
              <w:t>Proceeds from revolving line of credit and long-term borrowings</w:t>
            </w:r>
          </w:p>
        </w:tc>
        <w:tc>
          <w:tcPr>
            <w:tcW w:w="2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2,951.7</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404.5</w:t>
            </w:r>
          </w:p>
        </w:tc>
        <w:tc>
          <w:tcPr>
            <w:tcW w:w="0" w:type="dxa"/>
            <w:vAlign w:val="bottom"/>
          </w:tcPr>
          <w:p>
            <w:pPr>
              <w:spacing w:after="0"/>
              <w:rPr>
                <w:sz w:val="1"/>
                <w:szCs w:val="1"/>
                <w:color w:val="auto"/>
              </w:rPr>
            </w:pPr>
          </w:p>
        </w:tc>
      </w:tr>
      <w:tr>
        <w:trPr>
          <w:trHeight w:val="181"/>
        </w:trPr>
        <w:tc>
          <w:tcPr>
            <w:tcW w:w="5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Payment of capitalized loan costs</w:t>
            </w:r>
          </w:p>
        </w:tc>
        <w:tc>
          <w:tcPr>
            <w:tcW w:w="2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5280" w:type="dxa"/>
            <w:vAlign w:val="bottom"/>
          </w:tcPr>
          <w:p>
            <w:pPr>
              <w:ind w:left="20"/>
              <w:spacing w:after="0"/>
              <w:rPr>
                <w:sz w:val="20"/>
                <w:szCs w:val="20"/>
                <w:color w:val="auto"/>
              </w:rPr>
            </w:pPr>
            <w:r>
              <w:rPr>
                <w:rFonts w:ascii="Arial" w:cs="Arial" w:eastAsia="Arial" w:hAnsi="Arial"/>
                <w:sz w:val="14"/>
                <w:szCs w:val="14"/>
                <w:color w:val="auto"/>
              </w:rPr>
              <w:t>Payment on early extinguishment of debt</w:t>
            </w:r>
          </w:p>
        </w:tc>
        <w:tc>
          <w:tcPr>
            <w:tcW w:w="2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(21.3)</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5280" w:type="dxa"/>
            <w:vAlign w:val="bottom"/>
            <w:shd w:val="clear" w:color="auto" w:fill="CCEEFF"/>
          </w:tcPr>
          <w:p>
            <w:pPr>
              <w:ind w:left="20"/>
              <w:spacing w:after="0" w:line="138" w:lineRule="exact"/>
              <w:rPr>
                <w:sz w:val="20"/>
                <w:szCs w:val="20"/>
                <w:color w:val="auto"/>
              </w:rPr>
            </w:pPr>
            <w:r>
              <w:rPr>
                <w:rFonts w:ascii="Arial" w:cs="Arial" w:eastAsia="Arial" w:hAnsi="Arial"/>
                <w:sz w:val="14"/>
                <w:szCs w:val="14"/>
                <w:color w:val="auto"/>
                <w:w w:val="97"/>
              </w:rPr>
              <w:t>Distribution of equity under Tax Sharing Agreement between JBS USA Food Company</w:t>
            </w:r>
          </w:p>
        </w:tc>
        <w:tc>
          <w:tcPr>
            <w:tcW w:w="2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52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Holdings and Pilgrim's Pride Corporation</w:t>
            </w:r>
          </w:p>
        </w:tc>
        <w:tc>
          <w:tcPr>
            <w:tcW w:w="2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280" w:type="dxa"/>
            <w:vAlign w:val="bottom"/>
          </w:tcPr>
          <w:p>
            <w:pPr>
              <w:ind w:left="20"/>
              <w:spacing w:after="0"/>
              <w:rPr>
                <w:sz w:val="20"/>
                <w:szCs w:val="20"/>
                <w:color w:val="auto"/>
              </w:rPr>
            </w:pPr>
            <w:r>
              <w:rPr>
                <w:rFonts w:ascii="Arial" w:cs="Arial" w:eastAsia="Arial" w:hAnsi="Arial"/>
                <w:sz w:val="14"/>
                <w:szCs w:val="14"/>
                <w:color w:val="auto"/>
              </w:rPr>
              <w:t>Purchase of common stock under share repurchase program</w:t>
            </w:r>
          </w:p>
        </w:tc>
        <w:tc>
          <w:tcPr>
            <w:tcW w:w="2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(110.2)</w:t>
            </w:r>
          </w:p>
        </w:tc>
        <w:tc>
          <w:tcPr>
            <w:tcW w:w="0" w:type="dxa"/>
            <w:vAlign w:val="bottom"/>
          </w:tcPr>
          <w:p>
            <w:pPr>
              <w:spacing w:after="0"/>
              <w:rPr>
                <w:sz w:val="1"/>
                <w:szCs w:val="1"/>
                <w:color w:val="auto"/>
              </w:rPr>
            </w:pPr>
          </w:p>
        </w:tc>
      </w:tr>
      <w:tr>
        <w:trPr>
          <w:trHeight w:val="196"/>
        </w:trPr>
        <w:tc>
          <w:tcPr>
            <w:tcW w:w="52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Cash used in financing activities</w:t>
            </w:r>
          </w:p>
        </w:tc>
        <w:tc>
          <w:tcPr>
            <w:tcW w:w="26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901.3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(136.7)</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2600" w:type="dxa"/>
            <w:vAlign w:val="bottom"/>
            <w:tcBorders>
              <w:top w:val="single" w:sz="8" w:color="CCEEFF"/>
              <w:bottom w:val="single" w:sz="8" w:color="CCEEFF"/>
            </w:tcBorders>
            <w:vMerge w:val="restart"/>
          </w:tcPr>
          <w:p>
            <w:pPr>
              <w:jc w:val="right"/>
              <w:ind w:right="2089"/>
              <w:spacing w:after="0"/>
              <w:rPr>
                <w:sz w:val="20"/>
                <w:szCs w:val="20"/>
                <w:color w:val="auto"/>
              </w:rPr>
            </w:pPr>
            <w:r>
              <w:rPr>
                <w:rFonts w:ascii="Arial" w:cs="Arial" w:eastAsia="Arial" w:hAnsi="Arial"/>
                <w:sz w:val="14"/>
                <w:szCs w:val="14"/>
                <w:color w:val="auto"/>
              </w:rPr>
              <w:t>32</w:t>
            </w: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7"/>
        </w:trPr>
        <w:tc>
          <w:tcPr>
            <w:tcW w:w="5280" w:type="dxa"/>
            <w:vAlign w:val="bottom"/>
          </w:tcPr>
          <w:p>
            <w:pPr>
              <w:spacing w:after="0"/>
              <w:rPr>
                <w:sz w:val="24"/>
                <w:szCs w:val="24"/>
                <w:color w:val="auto"/>
              </w:rPr>
            </w:pPr>
          </w:p>
        </w:tc>
        <w:tc>
          <w:tcPr>
            <w:tcW w:w="26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5280" w:type="dxa"/>
            <w:vAlign w:val="bottom"/>
            <w:tcBorders>
              <w:bottom w:val="single" w:sz="8" w:color="9A9A9A"/>
            </w:tcBorders>
          </w:tcPr>
          <w:p>
            <w:pPr>
              <w:spacing w:after="0"/>
              <w:rPr>
                <w:sz w:val="7"/>
                <w:szCs w:val="7"/>
                <w:color w:val="auto"/>
              </w:rPr>
            </w:pPr>
          </w:p>
        </w:tc>
        <w:tc>
          <w:tcPr>
            <w:tcW w:w="26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3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3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type w:val="continuous"/>
        </w:sectPr>
      </w:pPr>
    </w:p>
    <w:bookmarkStart w:id="34" w:name="page35"/>
    <w:bookmarkEnd w:id="34"/>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-6985</wp:posOffset>
            </wp:positionV>
            <wp:extent cx="727075" cy="69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7075" cy="6985"/>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4"/>
          <w:szCs w:val="14"/>
          <w:color w:val="auto"/>
        </w:rPr>
        <w:t>Proceeds from revolving line of credit and long-term borrowings and payments on revolving line of credit and long-term borrowings are mainly due to borrowings and payments on our U.S. Credit Facility and Mexico Credit Facility. The payment on early extinguishment of debt is primarily due to the early tender consideration paid as a result of the redemption of the senior notes due 2025. The payment of capitalized loan costs were those loan costs incurred as a part of the sale of the senior notes due 2031, the sale of the senior notes due 2032 and the refinancing of the U.S. Credit Facility. Shares repurchased under the share repurchase program during the year ended December 27, 2020 totaled 6.3 million. For further information on the share repurchase program, refer to Part II, Item 8, Notes to Consolidated Financial Statements, “Note 14. Stockholders’ Equity.”</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Long-Term Debt and Other Borrowing Arrangements</w:t>
      </w:r>
    </w:p>
    <w:p>
      <w:pPr>
        <w:spacing w:after="0" w:line="140" w:lineRule="exact"/>
        <w:rPr>
          <w:sz w:val="20"/>
          <w:szCs w:val="20"/>
          <w:color w:val="auto"/>
        </w:rPr>
      </w:pPr>
    </w:p>
    <w:p>
      <w:pPr>
        <w:ind w:right="100" w:firstLine="509"/>
        <w:spacing w:after="0" w:line="281" w:lineRule="auto"/>
        <w:rPr>
          <w:sz w:val="20"/>
          <w:szCs w:val="20"/>
          <w:color w:val="auto"/>
        </w:rPr>
      </w:pPr>
      <w:r>
        <w:rPr>
          <w:rFonts w:ascii="Arial" w:cs="Arial" w:eastAsia="Arial" w:hAnsi="Arial"/>
          <w:sz w:val="14"/>
          <w:szCs w:val="14"/>
          <w:color w:val="auto"/>
        </w:rPr>
        <w:t>Our long-term debt and other borrowing arrangements consist of senior notes, revolving credit facilities and and other term loan agreements. For a description, refer to Part II, Item 8, Notes to Consolidated Financial Statements, “Note 13. Debt.”</w:t>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Collateral</w:t>
      </w:r>
    </w:p>
    <w:p>
      <w:pPr>
        <w:spacing w:after="0" w:line="14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Substantially all of our domestic inventories and domestic fixed assets are pledged as collateral to secure the obligations under the U.S. Credit Facility.</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Capital Expenditures</w:t>
      </w:r>
    </w:p>
    <w:p>
      <w:pPr>
        <w:spacing w:after="0" w:line="140" w:lineRule="exact"/>
        <w:rPr>
          <w:sz w:val="20"/>
          <w:szCs w:val="20"/>
          <w:color w:val="auto"/>
        </w:rPr>
      </w:pPr>
    </w:p>
    <w:p>
      <w:pPr>
        <w:jc w:val="both"/>
        <w:ind w:firstLine="509"/>
        <w:spacing w:after="0" w:line="321" w:lineRule="auto"/>
        <w:rPr>
          <w:sz w:val="20"/>
          <w:szCs w:val="20"/>
          <w:color w:val="auto"/>
        </w:rPr>
      </w:pPr>
      <w:r>
        <w:rPr>
          <w:rFonts w:ascii="Arial" w:cs="Arial" w:eastAsia="Arial" w:hAnsi="Arial"/>
          <w:sz w:val="13"/>
          <w:szCs w:val="13"/>
          <w:color w:val="auto"/>
        </w:rPr>
        <w:t>We anticipate spending between $400 million and $425 million on the acquisition of property, plant and equipment in 2022. Capital expenditures will primarily be incurred to improve efficiencies and reduce costs. We expect to fund these capital expenditures with cash flow from operations and proceeds from the revolving lines of credit under our various debt facilities.</w:t>
      </w:r>
    </w:p>
    <w:p>
      <w:pPr>
        <w:spacing w:after="0" w:line="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Contractual Obligations</w:t>
      </w:r>
    </w:p>
    <w:p>
      <w:pPr>
        <w:spacing w:after="0" w:line="140"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4"/>
          <w:szCs w:val="14"/>
          <w:color w:val="auto"/>
        </w:rPr>
        <w:t>In addition to our debt commitments at December 26, 2021, we had other commitments and contractual obligations that require us to make specified payments in the future. The following table summarizes the total amounts due as of December 26, 2021 under all debt agreements, commitments and other contractual obligations. The table indicates the years in which payments are due under the contractual obligations.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3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3"/>
          </w:tcPr>
          <w:p>
            <w:pPr>
              <w:ind w:left="20"/>
              <w:spacing w:after="0"/>
              <w:rPr>
                <w:sz w:val="20"/>
                <w:szCs w:val="20"/>
                <w:color w:val="auto"/>
              </w:rPr>
            </w:pPr>
            <w:r>
              <w:rPr>
                <w:rFonts w:ascii="Arial" w:cs="Arial" w:eastAsia="Arial" w:hAnsi="Arial"/>
                <w:sz w:val="11"/>
                <w:szCs w:val="11"/>
                <w:b w:val="1"/>
                <w:bCs w:val="1"/>
                <w:color w:val="auto"/>
              </w:rPr>
              <w:t>Payments Due By Period</w:t>
            </w:r>
          </w:p>
        </w:tc>
        <w:tc>
          <w:tcPr>
            <w:tcW w:w="2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1"/>
        </w:trPr>
        <w:tc>
          <w:tcPr>
            <w:tcW w:w="39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Contractual Obligations</w:t>
            </w:r>
            <w:r>
              <w:rPr>
                <w:rFonts w:ascii="Arial" w:cs="Arial" w:eastAsia="Arial" w:hAnsi="Arial"/>
                <w:sz w:val="14"/>
                <w:szCs w:val="14"/>
                <w:color w:val="auto"/>
                <w:vertAlign w:val="superscript"/>
              </w:rPr>
              <w:t>(a)</w:t>
            </w:r>
          </w:p>
        </w:tc>
        <w:tc>
          <w:tcPr>
            <w:tcW w:w="340" w:type="dxa"/>
            <w:vAlign w:val="bottom"/>
          </w:tcPr>
          <w:p>
            <w:pPr>
              <w:spacing w:after="0"/>
              <w:rPr>
                <w:sz w:val="8"/>
                <w:szCs w:val="8"/>
                <w:color w:val="auto"/>
              </w:rPr>
            </w:pPr>
          </w:p>
        </w:tc>
        <w:tc>
          <w:tcPr>
            <w:tcW w:w="1180" w:type="dxa"/>
            <w:vAlign w:val="bottom"/>
            <w:gridSpan w:val="2"/>
            <w:vMerge w:val="restart"/>
          </w:tcPr>
          <w:p>
            <w:pPr>
              <w:ind w:left="240"/>
              <w:spacing w:after="0"/>
              <w:rPr>
                <w:sz w:val="20"/>
                <w:szCs w:val="20"/>
                <w:color w:val="auto"/>
              </w:rPr>
            </w:pPr>
            <w:r>
              <w:rPr>
                <w:rFonts w:ascii="Arial" w:cs="Arial" w:eastAsia="Arial" w:hAnsi="Arial"/>
                <w:sz w:val="11"/>
                <w:szCs w:val="11"/>
                <w:b w:val="1"/>
                <w:bCs w:val="1"/>
                <w:color w:val="auto"/>
              </w:rPr>
              <w:t>Total</w:t>
            </w:r>
          </w:p>
        </w:tc>
        <w:tc>
          <w:tcPr>
            <w:tcW w:w="280" w:type="dxa"/>
            <w:vAlign w:val="bottom"/>
          </w:tcPr>
          <w:p>
            <w:pPr>
              <w:spacing w:after="0"/>
              <w:rPr>
                <w:sz w:val="8"/>
                <w:szCs w:val="8"/>
                <w:color w:val="auto"/>
              </w:rPr>
            </w:pPr>
          </w:p>
        </w:tc>
        <w:tc>
          <w:tcPr>
            <w:tcW w:w="1220" w:type="dxa"/>
            <w:vAlign w:val="bottom"/>
            <w:gridSpan w:val="2"/>
          </w:tcPr>
          <w:p>
            <w:pPr>
              <w:jc w:val="center"/>
              <w:ind w:right="400"/>
              <w:spacing w:after="0" w:line="101" w:lineRule="exact"/>
              <w:rPr>
                <w:sz w:val="20"/>
                <w:szCs w:val="20"/>
                <w:color w:val="auto"/>
              </w:rPr>
            </w:pPr>
            <w:r>
              <w:rPr>
                <w:rFonts w:ascii="Arial" w:cs="Arial" w:eastAsia="Arial" w:hAnsi="Arial"/>
                <w:sz w:val="11"/>
                <w:szCs w:val="11"/>
                <w:b w:val="1"/>
                <w:bCs w:val="1"/>
                <w:color w:val="auto"/>
                <w:w w:val="89"/>
              </w:rPr>
              <w:t>Less than</w:t>
            </w:r>
          </w:p>
        </w:tc>
        <w:tc>
          <w:tcPr>
            <w:tcW w:w="200" w:type="dxa"/>
            <w:vAlign w:val="bottom"/>
          </w:tcPr>
          <w:p>
            <w:pPr>
              <w:spacing w:after="0"/>
              <w:rPr>
                <w:sz w:val="8"/>
                <w:szCs w:val="8"/>
                <w:color w:val="auto"/>
              </w:rPr>
            </w:pPr>
          </w:p>
        </w:tc>
        <w:tc>
          <w:tcPr>
            <w:tcW w:w="1320" w:type="dxa"/>
            <w:vAlign w:val="bottom"/>
            <w:gridSpan w:val="2"/>
          </w:tcPr>
          <w:p>
            <w:pPr>
              <w:jc w:val="center"/>
              <w:ind w:right="280"/>
              <w:spacing w:after="0" w:line="101" w:lineRule="exact"/>
              <w:rPr>
                <w:sz w:val="20"/>
                <w:szCs w:val="20"/>
                <w:color w:val="auto"/>
              </w:rPr>
            </w:pPr>
            <w:r>
              <w:rPr>
                <w:rFonts w:ascii="Arial" w:cs="Arial" w:eastAsia="Arial" w:hAnsi="Arial"/>
                <w:sz w:val="11"/>
                <w:szCs w:val="11"/>
                <w:b w:val="1"/>
                <w:bCs w:val="1"/>
                <w:color w:val="auto"/>
                <w:w w:val="91"/>
              </w:rPr>
              <w:t>One to</w:t>
            </w:r>
          </w:p>
        </w:tc>
        <w:tc>
          <w:tcPr>
            <w:tcW w:w="220" w:type="dxa"/>
            <w:vAlign w:val="bottom"/>
          </w:tcPr>
          <w:p>
            <w:pPr>
              <w:spacing w:after="0"/>
              <w:rPr>
                <w:sz w:val="8"/>
                <w:szCs w:val="8"/>
                <w:color w:val="auto"/>
              </w:rPr>
            </w:pPr>
          </w:p>
        </w:tc>
        <w:tc>
          <w:tcPr>
            <w:tcW w:w="1120" w:type="dxa"/>
            <w:vAlign w:val="bottom"/>
            <w:gridSpan w:val="2"/>
          </w:tcPr>
          <w:p>
            <w:pPr>
              <w:jc w:val="center"/>
              <w:ind w:right="340"/>
              <w:spacing w:after="0" w:line="101" w:lineRule="exact"/>
              <w:rPr>
                <w:sz w:val="20"/>
                <w:szCs w:val="20"/>
                <w:color w:val="auto"/>
              </w:rPr>
            </w:pPr>
            <w:r>
              <w:rPr>
                <w:rFonts w:ascii="Arial" w:cs="Arial" w:eastAsia="Arial" w:hAnsi="Arial"/>
                <w:sz w:val="11"/>
                <w:szCs w:val="11"/>
                <w:b w:val="1"/>
                <w:bCs w:val="1"/>
                <w:color w:val="auto"/>
                <w:w w:val="96"/>
              </w:rPr>
              <w:t>Three to</w:t>
            </w:r>
          </w:p>
        </w:tc>
        <w:tc>
          <w:tcPr>
            <w:tcW w:w="240" w:type="dxa"/>
            <w:vAlign w:val="bottom"/>
          </w:tcPr>
          <w:p>
            <w:pPr>
              <w:spacing w:after="0"/>
              <w:rPr>
                <w:sz w:val="8"/>
                <w:szCs w:val="8"/>
                <w:color w:val="auto"/>
              </w:rPr>
            </w:pPr>
          </w:p>
        </w:tc>
        <w:tc>
          <w:tcPr>
            <w:tcW w:w="1180" w:type="dxa"/>
            <w:vAlign w:val="bottom"/>
          </w:tcPr>
          <w:p>
            <w:pPr>
              <w:jc w:val="right"/>
              <w:ind w:right="332"/>
              <w:spacing w:after="0" w:line="101" w:lineRule="exact"/>
              <w:rPr>
                <w:sz w:val="20"/>
                <w:szCs w:val="20"/>
                <w:color w:val="auto"/>
              </w:rPr>
            </w:pPr>
            <w:r>
              <w:rPr>
                <w:rFonts w:ascii="Arial" w:cs="Arial" w:eastAsia="Arial" w:hAnsi="Arial"/>
                <w:sz w:val="11"/>
                <w:szCs w:val="11"/>
                <w:b w:val="1"/>
                <w:bCs w:val="1"/>
                <w:color w:val="auto"/>
              </w:rPr>
              <w:t>Greater than</w:t>
            </w:r>
          </w:p>
        </w:tc>
        <w:tc>
          <w:tcPr>
            <w:tcW w:w="0" w:type="dxa"/>
            <w:vAlign w:val="bottom"/>
          </w:tcPr>
          <w:p>
            <w:pPr>
              <w:spacing w:after="0"/>
              <w:rPr>
                <w:sz w:val="1"/>
                <w:szCs w:val="1"/>
                <w:color w:val="auto"/>
              </w:rPr>
            </w:pPr>
          </w:p>
        </w:tc>
      </w:tr>
      <w:tr>
        <w:trPr>
          <w:trHeight w:val="149"/>
        </w:trPr>
        <w:tc>
          <w:tcPr>
            <w:tcW w:w="398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1"/>
                <w:szCs w:val="11"/>
                <w:b w:val="1"/>
                <w:bCs w:val="1"/>
                <w:color w:val="auto"/>
                <w:w w:val="90"/>
              </w:rPr>
              <w:t>One Year</w:t>
            </w:r>
          </w:p>
        </w:tc>
        <w:tc>
          <w:tcPr>
            <w:tcW w:w="200" w:type="dxa"/>
            <w:vAlign w:val="bottom"/>
          </w:tcPr>
          <w:p>
            <w:pPr>
              <w:spacing w:after="0"/>
              <w:rPr>
                <w:sz w:val="12"/>
                <w:szCs w:val="12"/>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92"/>
              </w:rPr>
              <w:t>Three Years</w:t>
            </w:r>
          </w:p>
        </w:tc>
        <w:tc>
          <w:tcPr>
            <w:tcW w:w="220" w:type="dxa"/>
            <w:vAlign w:val="bottom"/>
          </w:tcPr>
          <w:p>
            <w:pPr>
              <w:spacing w:after="0"/>
              <w:rPr>
                <w:sz w:val="12"/>
                <w:szCs w:val="12"/>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94"/>
              </w:rPr>
              <w:t>Five Years</w:t>
            </w:r>
          </w:p>
        </w:tc>
        <w:tc>
          <w:tcPr>
            <w:tcW w:w="240" w:type="dxa"/>
            <w:vAlign w:val="bottom"/>
          </w:tcPr>
          <w:p>
            <w:pPr>
              <w:spacing w:after="0"/>
              <w:rPr>
                <w:sz w:val="12"/>
                <w:szCs w:val="12"/>
                <w:color w:val="auto"/>
              </w:rPr>
            </w:pPr>
          </w:p>
        </w:tc>
        <w:tc>
          <w:tcPr>
            <w:tcW w:w="1180" w:type="dxa"/>
            <w:vAlign w:val="bottom"/>
          </w:tcPr>
          <w:p>
            <w:pPr>
              <w:jc w:val="right"/>
              <w:ind w:right="392"/>
              <w:spacing w:after="0"/>
              <w:rPr>
                <w:sz w:val="20"/>
                <w:szCs w:val="20"/>
                <w:color w:val="auto"/>
              </w:rPr>
            </w:pPr>
            <w:r>
              <w:rPr>
                <w:rFonts w:ascii="Arial" w:cs="Arial" w:eastAsia="Arial" w:hAnsi="Arial"/>
                <w:sz w:val="11"/>
                <w:szCs w:val="11"/>
                <w:b w:val="1"/>
                <w:bCs w:val="1"/>
                <w:color w:val="auto"/>
              </w:rPr>
              <w:t>Five Years</w:t>
            </w:r>
          </w:p>
        </w:tc>
        <w:tc>
          <w:tcPr>
            <w:tcW w:w="0" w:type="dxa"/>
            <w:vAlign w:val="bottom"/>
          </w:tcPr>
          <w:p>
            <w:pPr>
              <w:spacing w:after="0"/>
              <w:rPr>
                <w:sz w:val="1"/>
                <w:szCs w:val="1"/>
                <w:color w:val="auto"/>
              </w:rPr>
            </w:pPr>
          </w:p>
        </w:tc>
      </w:tr>
      <w:tr>
        <w:trPr>
          <w:trHeight w:val="132"/>
        </w:trPr>
        <w:tc>
          <w:tcPr>
            <w:tcW w:w="38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gridSpan w:val="2"/>
          </w:tcPr>
          <w:p>
            <w:pPr>
              <w:ind w:left="120"/>
              <w:spacing w:after="0"/>
              <w:rPr>
                <w:sz w:val="20"/>
                <w:szCs w:val="20"/>
                <w:color w:val="auto"/>
              </w:rPr>
            </w:pPr>
            <w:r>
              <w:rPr>
                <w:rFonts w:ascii="Arial" w:cs="Arial" w:eastAsia="Arial" w:hAnsi="Arial"/>
                <w:sz w:val="10"/>
                <w:szCs w:val="10"/>
                <w:b w:val="1"/>
                <w:bCs w:val="1"/>
                <w:color w:val="auto"/>
              </w:rPr>
              <w:t>(In thousands)</w:t>
            </w:r>
          </w:p>
        </w:tc>
        <w:tc>
          <w:tcPr>
            <w:tcW w:w="2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93"/>
        </w:trPr>
        <w:tc>
          <w:tcPr>
            <w:tcW w:w="39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Long-term debt</w:t>
            </w:r>
            <w:r>
              <w:rPr>
                <w:rFonts w:ascii="Arial" w:cs="Arial" w:eastAsia="Arial" w:hAnsi="Arial"/>
                <w:sz w:val="7"/>
                <w:szCs w:val="7"/>
                <w:color w:val="auto"/>
              </w:rPr>
              <w:t>(b)</w:t>
            </w:r>
          </w:p>
        </w:tc>
        <w:tc>
          <w:tcPr>
            <w:tcW w:w="340" w:type="dxa"/>
            <w:vAlign w:val="bottom"/>
            <w:vMerge w:val="restart"/>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3,256,254</w:t>
            </w:r>
          </w:p>
        </w:tc>
        <w:tc>
          <w:tcPr>
            <w:tcW w:w="100" w:type="dxa"/>
            <w:vAlign w:val="bottom"/>
            <w:shd w:val="clear" w:color="auto" w:fill="CCEEFF"/>
          </w:tcPr>
          <w:p>
            <w:pPr>
              <w:spacing w:after="0"/>
              <w:rPr>
                <w:sz w:val="24"/>
                <w:szCs w:val="24"/>
                <w:color w:val="auto"/>
              </w:rPr>
            </w:pPr>
          </w:p>
        </w:tc>
        <w:tc>
          <w:tcPr>
            <w:tcW w:w="280" w:type="dxa"/>
            <w:vAlign w:val="bottom"/>
            <w:vMerge w:val="restart"/>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18,988</w:t>
            </w:r>
          </w:p>
        </w:tc>
        <w:tc>
          <w:tcPr>
            <w:tcW w:w="100" w:type="dxa"/>
            <w:vAlign w:val="bottom"/>
            <w:shd w:val="clear" w:color="auto" w:fill="CCEEFF"/>
          </w:tcPr>
          <w:p>
            <w:pPr>
              <w:spacing w:after="0"/>
              <w:rPr>
                <w:sz w:val="24"/>
                <w:szCs w:val="24"/>
                <w:color w:val="auto"/>
              </w:rPr>
            </w:pPr>
          </w:p>
        </w:tc>
        <w:tc>
          <w:tcPr>
            <w:tcW w:w="2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50,625</w:t>
            </w:r>
          </w:p>
        </w:tc>
        <w:tc>
          <w:tcPr>
            <w:tcW w:w="100" w:type="dxa"/>
            <w:vAlign w:val="bottom"/>
            <w:shd w:val="clear" w:color="auto" w:fill="CCEEFF"/>
          </w:tcPr>
          <w:p>
            <w:pPr>
              <w:spacing w:after="0"/>
              <w:rPr>
                <w:sz w:val="24"/>
                <w:szCs w:val="24"/>
                <w:color w:val="auto"/>
              </w:rPr>
            </w:pPr>
          </w:p>
        </w:tc>
        <w:tc>
          <w:tcPr>
            <w:tcW w:w="220" w:type="dxa"/>
            <w:vAlign w:val="bottom"/>
            <w:vMerge w:val="restart"/>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436,641</w:t>
            </w:r>
          </w:p>
        </w:tc>
        <w:tc>
          <w:tcPr>
            <w:tcW w:w="100" w:type="dxa"/>
            <w:vAlign w:val="bottom"/>
            <w:shd w:val="clear" w:color="auto" w:fill="CCEEFF"/>
          </w:tcPr>
          <w:p>
            <w:pPr>
              <w:spacing w:after="0"/>
              <w:rPr>
                <w:sz w:val="24"/>
                <w:szCs w:val="24"/>
                <w:color w:val="auto"/>
              </w:rPr>
            </w:pPr>
          </w:p>
        </w:tc>
        <w:tc>
          <w:tcPr>
            <w:tcW w:w="240" w:type="dxa"/>
            <w:vAlign w:val="bottom"/>
            <w:vMerge w:val="restart"/>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2,750,000</w:t>
            </w:r>
          </w:p>
        </w:tc>
        <w:tc>
          <w:tcPr>
            <w:tcW w:w="0" w:type="dxa"/>
            <w:vAlign w:val="bottom"/>
          </w:tcPr>
          <w:p>
            <w:pPr>
              <w:spacing w:after="0"/>
              <w:rPr>
                <w:sz w:val="1"/>
                <w:szCs w:val="1"/>
                <w:color w:val="auto"/>
              </w:rPr>
            </w:pPr>
          </w:p>
        </w:tc>
      </w:tr>
      <w:tr>
        <w:trPr>
          <w:trHeight w:val="117"/>
        </w:trPr>
        <w:tc>
          <w:tcPr>
            <w:tcW w:w="3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vMerge w:val="continue"/>
            <w:shd w:val="clear" w:color="auto" w:fill="CCEEFF"/>
          </w:tcPr>
          <w:p>
            <w:pPr>
              <w:spacing w:after="0"/>
              <w:rPr>
                <w:sz w:val="10"/>
                <w:szCs w:val="10"/>
                <w:color w:val="auto"/>
              </w:rPr>
            </w:pPr>
          </w:p>
        </w:tc>
        <w:tc>
          <w:tcPr>
            <w:tcW w:w="108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vMerge w:val="continue"/>
            <w:shd w:val="clear" w:color="auto" w:fill="CCEEFF"/>
          </w:tcPr>
          <w:p>
            <w:pPr>
              <w:spacing w:after="0"/>
              <w:rPr>
                <w:sz w:val="10"/>
                <w:szCs w:val="10"/>
                <w:color w:val="auto"/>
              </w:rPr>
            </w:pPr>
          </w:p>
        </w:tc>
        <w:tc>
          <w:tcPr>
            <w:tcW w:w="112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vMerge w:val="continue"/>
            <w:shd w:val="clear" w:color="auto" w:fill="CCEEFF"/>
          </w:tcPr>
          <w:p>
            <w:pPr>
              <w:spacing w:after="0"/>
              <w:rPr>
                <w:sz w:val="10"/>
                <w:szCs w:val="10"/>
                <w:color w:val="auto"/>
              </w:rPr>
            </w:pPr>
          </w:p>
        </w:tc>
        <w:tc>
          <w:tcPr>
            <w:tcW w:w="122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vMerge w:val="continue"/>
            <w:shd w:val="clear" w:color="auto" w:fill="CCEEFF"/>
          </w:tcPr>
          <w:p>
            <w:pPr>
              <w:spacing w:after="0"/>
              <w:rPr>
                <w:sz w:val="10"/>
                <w:szCs w:val="10"/>
                <w:color w:val="auto"/>
              </w:rPr>
            </w:pPr>
          </w:p>
        </w:tc>
        <w:tc>
          <w:tcPr>
            <w:tcW w:w="102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vMerge w:val="continue"/>
            <w:shd w:val="clear" w:color="auto" w:fill="CCEEFF"/>
          </w:tcPr>
          <w:p>
            <w:pPr>
              <w:spacing w:after="0"/>
              <w:rPr>
                <w:sz w:val="10"/>
                <w:szCs w:val="10"/>
                <w:color w:val="auto"/>
              </w:rPr>
            </w:pPr>
          </w:p>
        </w:tc>
        <w:tc>
          <w:tcPr>
            <w:tcW w:w="118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86"/>
        </w:trPr>
        <w:tc>
          <w:tcPr>
            <w:tcW w:w="3980" w:type="dxa"/>
            <w:vAlign w:val="bottom"/>
            <w:gridSpan w:val="2"/>
          </w:tcPr>
          <w:p>
            <w:pPr>
              <w:ind w:left="20"/>
              <w:spacing w:after="0"/>
              <w:rPr>
                <w:sz w:val="20"/>
                <w:szCs w:val="20"/>
                <w:color w:val="auto"/>
              </w:rPr>
            </w:pPr>
            <w:r>
              <w:rPr>
                <w:rFonts w:ascii="Arial" w:cs="Arial" w:eastAsia="Arial" w:hAnsi="Arial"/>
                <w:sz w:val="14"/>
                <w:szCs w:val="14"/>
                <w:color w:val="auto"/>
              </w:rPr>
              <w:t>Interest</w:t>
            </w:r>
            <w:r>
              <w:rPr>
                <w:rFonts w:ascii="Arial" w:cs="Arial" w:eastAsia="Arial" w:hAnsi="Arial"/>
                <w:sz w:val="7"/>
                <w:szCs w:val="7"/>
                <w:color w:val="auto"/>
              </w:rPr>
              <w:t>(c)</w:t>
            </w:r>
          </w:p>
        </w:tc>
        <w:tc>
          <w:tcPr>
            <w:tcW w:w="340" w:type="dxa"/>
            <w:vAlign w:val="bottom"/>
          </w:tcPr>
          <w:p>
            <w:pPr>
              <w:spacing w:after="0"/>
              <w:rPr>
                <w:sz w:val="24"/>
                <w:szCs w:val="24"/>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1,061,771</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130,536</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vMerge w:val="restart"/>
          </w:tcPr>
          <w:p>
            <w:pPr>
              <w:jc w:val="right"/>
              <w:spacing w:after="0"/>
              <w:rPr>
                <w:sz w:val="20"/>
                <w:szCs w:val="20"/>
                <w:color w:val="auto"/>
              </w:rPr>
            </w:pPr>
            <w:r>
              <w:rPr>
                <w:rFonts w:ascii="Arial" w:cs="Arial" w:eastAsia="Arial" w:hAnsi="Arial"/>
                <w:sz w:val="14"/>
                <w:szCs w:val="14"/>
                <w:color w:val="auto"/>
              </w:rPr>
              <w:t>260,050</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256,747</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414,438</w:t>
            </w:r>
          </w:p>
        </w:tc>
        <w:tc>
          <w:tcPr>
            <w:tcW w:w="0" w:type="dxa"/>
            <w:vAlign w:val="bottom"/>
          </w:tcPr>
          <w:p>
            <w:pPr>
              <w:spacing w:after="0"/>
              <w:rPr>
                <w:sz w:val="1"/>
                <w:szCs w:val="1"/>
                <w:color w:val="auto"/>
              </w:rPr>
            </w:pPr>
          </w:p>
        </w:tc>
      </w:tr>
      <w:tr>
        <w:trPr>
          <w:trHeight w:val="117"/>
        </w:trPr>
        <w:tc>
          <w:tcPr>
            <w:tcW w:w="3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39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Finance leases</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4,925</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1,064</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1,965</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1,117</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779</w:t>
            </w:r>
          </w:p>
        </w:tc>
        <w:tc>
          <w:tcPr>
            <w:tcW w:w="0" w:type="dxa"/>
            <w:vAlign w:val="bottom"/>
          </w:tcPr>
          <w:p>
            <w:pPr>
              <w:spacing w:after="0"/>
              <w:rPr>
                <w:sz w:val="1"/>
                <w:szCs w:val="1"/>
                <w:color w:val="auto"/>
              </w:rPr>
            </w:pPr>
          </w:p>
        </w:tc>
      </w:tr>
      <w:tr>
        <w:trPr>
          <w:trHeight w:val="180"/>
        </w:trPr>
        <w:tc>
          <w:tcPr>
            <w:tcW w:w="3980" w:type="dxa"/>
            <w:vAlign w:val="bottom"/>
            <w:gridSpan w:val="2"/>
          </w:tcPr>
          <w:p>
            <w:pPr>
              <w:ind w:left="20"/>
              <w:spacing w:after="0"/>
              <w:rPr>
                <w:sz w:val="20"/>
                <w:szCs w:val="20"/>
                <w:color w:val="auto"/>
              </w:rPr>
            </w:pPr>
            <w:r>
              <w:rPr>
                <w:rFonts w:ascii="Arial" w:cs="Arial" w:eastAsia="Arial" w:hAnsi="Arial"/>
                <w:sz w:val="14"/>
                <w:szCs w:val="14"/>
                <w:color w:val="auto"/>
              </w:rPr>
              <w:t>Operating leases</w:t>
            </w: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390,663</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102,390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136,018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81,025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71,230</w:t>
            </w:r>
          </w:p>
        </w:tc>
        <w:tc>
          <w:tcPr>
            <w:tcW w:w="0" w:type="dxa"/>
            <w:vAlign w:val="bottom"/>
          </w:tcPr>
          <w:p>
            <w:pPr>
              <w:spacing w:after="0"/>
              <w:rPr>
                <w:sz w:val="1"/>
                <w:szCs w:val="1"/>
                <w:color w:val="auto"/>
              </w:rPr>
            </w:pPr>
          </w:p>
        </w:tc>
      </w:tr>
      <w:tr>
        <w:trPr>
          <w:trHeight w:val="181"/>
        </w:trPr>
        <w:tc>
          <w:tcPr>
            <w:tcW w:w="39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Derivative liabilities</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31,866</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31,866</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86"/>
        </w:trPr>
        <w:tc>
          <w:tcPr>
            <w:tcW w:w="3980" w:type="dxa"/>
            <w:vAlign w:val="bottom"/>
            <w:gridSpan w:val="2"/>
          </w:tcPr>
          <w:p>
            <w:pPr>
              <w:ind w:left="20"/>
              <w:spacing w:after="0"/>
              <w:rPr>
                <w:sz w:val="20"/>
                <w:szCs w:val="20"/>
                <w:color w:val="auto"/>
              </w:rPr>
            </w:pPr>
            <w:r>
              <w:rPr>
                <w:rFonts w:ascii="Arial" w:cs="Arial" w:eastAsia="Arial" w:hAnsi="Arial"/>
                <w:sz w:val="14"/>
                <w:szCs w:val="14"/>
                <w:color w:val="auto"/>
              </w:rPr>
              <w:t>Purchase obligations</w:t>
            </w:r>
            <w:r>
              <w:rPr>
                <w:rFonts w:ascii="Arial" w:cs="Arial" w:eastAsia="Arial" w:hAnsi="Arial"/>
                <w:sz w:val="7"/>
                <w:szCs w:val="7"/>
                <w:color w:val="auto"/>
              </w:rPr>
              <w:t>(d)</w:t>
            </w:r>
          </w:p>
        </w:tc>
        <w:tc>
          <w:tcPr>
            <w:tcW w:w="340" w:type="dxa"/>
            <w:vAlign w:val="bottom"/>
          </w:tcPr>
          <w:p>
            <w:pPr>
              <w:spacing w:after="0"/>
              <w:rPr>
                <w:sz w:val="24"/>
                <w:szCs w:val="24"/>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563,428</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539,985</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vMerge w:val="restart"/>
          </w:tcPr>
          <w:p>
            <w:pPr>
              <w:jc w:val="right"/>
              <w:spacing w:after="0"/>
              <w:rPr>
                <w:sz w:val="20"/>
                <w:szCs w:val="20"/>
                <w:color w:val="auto"/>
              </w:rPr>
            </w:pPr>
            <w:r>
              <w:rPr>
                <w:rFonts w:ascii="Arial" w:cs="Arial" w:eastAsia="Arial" w:hAnsi="Arial"/>
                <w:sz w:val="14"/>
                <w:szCs w:val="14"/>
                <w:color w:val="auto"/>
              </w:rPr>
              <w:t>4,951</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4,091</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14,401</w:t>
            </w:r>
          </w:p>
        </w:tc>
        <w:tc>
          <w:tcPr>
            <w:tcW w:w="0" w:type="dxa"/>
            <w:vAlign w:val="bottom"/>
          </w:tcPr>
          <w:p>
            <w:pPr>
              <w:spacing w:after="0"/>
              <w:rPr>
                <w:sz w:val="1"/>
                <w:szCs w:val="1"/>
                <w:color w:val="auto"/>
              </w:rPr>
            </w:pPr>
          </w:p>
        </w:tc>
      </w:tr>
      <w:tr>
        <w:trPr>
          <w:trHeight w:val="117"/>
        </w:trPr>
        <w:tc>
          <w:tcPr>
            <w:tcW w:w="388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vMerge w:val="continue"/>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vMerge w:val="continue"/>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vMerge w:val="continue"/>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vMerge w:val="continue"/>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39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4"/>
                <w:szCs w:val="14"/>
                <w:color w:val="auto"/>
              </w:rPr>
              <w:t>Total</w:t>
            </w: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5,308,907</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824,829</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453,609</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779,621</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3,250,848</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520" w:hanging="515"/>
        <w:spacing w:after="0" w:line="246" w:lineRule="auto"/>
        <w:tabs>
          <w:tab w:leader="none" w:pos="518" w:val="left"/>
        </w:tabs>
        <w:numPr>
          <w:ilvl w:val="0"/>
          <w:numId w:val="16"/>
        </w:numPr>
        <w:rPr>
          <w:rFonts w:ascii="Arial" w:cs="Arial" w:eastAsia="Arial" w:hAnsi="Arial"/>
          <w:sz w:val="11"/>
          <w:szCs w:val="11"/>
          <w:color w:val="auto"/>
        </w:rPr>
      </w:pPr>
      <w:r>
        <w:rPr>
          <w:rFonts w:ascii="Arial" w:cs="Arial" w:eastAsia="Arial" w:hAnsi="Arial"/>
          <w:sz w:val="11"/>
          <w:szCs w:val="11"/>
          <w:color w:val="auto"/>
        </w:rPr>
        <w:t>The total amount of unrecognized tax benefits at December 26, 2021 was $20.2 million. We did not include this amount in the contractual obligations table above as reasonable estimates cannot be made at this time of the amounts or timing of future cash outflows.</w:t>
      </w:r>
    </w:p>
    <w:p>
      <w:pPr>
        <w:ind w:left="500" w:hanging="495"/>
        <w:spacing w:after="0"/>
        <w:tabs>
          <w:tab w:leader="none" w:pos="500" w:val="left"/>
        </w:tabs>
        <w:numPr>
          <w:ilvl w:val="0"/>
          <w:numId w:val="16"/>
        </w:numPr>
        <w:rPr>
          <w:rFonts w:ascii="Arial" w:cs="Arial" w:eastAsia="Arial" w:hAnsi="Arial"/>
          <w:sz w:val="11"/>
          <w:szCs w:val="11"/>
          <w:color w:val="auto"/>
        </w:rPr>
      </w:pPr>
      <w:r>
        <w:rPr>
          <w:rFonts w:ascii="Arial" w:cs="Arial" w:eastAsia="Arial" w:hAnsi="Arial"/>
          <w:sz w:val="11"/>
          <w:szCs w:val="11"/>
          <w:color w:val="auto"/>
        </w:rPr>
        <w:t>Long-term debt is presented at face value and excludes $36.1 million in letters of credit outstanding related to normal business transactions.</w:t>
      </w:r>
    </w:p>
    <w:p>
      <w:pPr>
        <w:ind w:left="520" w:hanging="515"/>
        <w:spacing w:after="0"/>
        <w:tabs>
          <w:tab w:leader="none" w:pos="520" w:val="left"/>
        </w:tabs>
        <w:numPr>
          <w:ilvl w:val="0"/>
          <w:numId w:val="16"/>
        </w:numPr>
        <w:rPr>
          <w:rFonts w:ascii="Arial" w:cs="Arial" w:eastAsia="Arial" w:hAnsi="Arial"/>
          <w:sz w:val="11"/>
          <w:szCs w:val="11"/>
          <w:color w:val="auto"/>
        </w:rPr>
      </w:pPr>
      <w:r>
        <w:rPr>
          <w:rFonts w:ascii="Arial" w:cs="Arial" w:eastAsia="Arial" w:hAnsi="Arial"/>
          <w:sz w:val="11"/>
          <w:szCs w:val="11"/>
          <w:color w:val="auto"/>
        </w:rPr>
        <w:t>Interest expense in the table above assumes the continuation of interest rates and outstanding borrowings as of December 26, 2021.</w:t>
      </w:r>
    </w:p>
    <w:p>
      <w:pPr>
        <w:ind w:left="520" w:hanging="515"/>
        <w:spacing w:after="0" w:line="257" w:lineRule="auto"/>
        <w:tabs>
          <w:tab w:leader="none" w:pos="514" w:val="left"/>
        </w:tabs>
        <w:numPr>
          <w:ilvl w:val="0"/>
          <w:numId w:val="16"/>
        </w:numPr>
        <w:rPr>
          <w:rFonts w:ascii="Arial" w:cs="Arial" w:eastAsia="Arial" w:hAnsi="Arial"/>
          <w:sz w:val="11"/>
          <w:szCs w:val="11"/>
          <w:color w:val="auto"/>
        </w:rPr>
      </w:pPr>
      <w:r>
        <w:rPr>
          <w:rFonts w:ascii="Arial" w:cs="Arial" w:eastAsia="Arial" w:hAnsi="Arial"/>
          <w:sz w:val="11"/>
          <w:szCs w:val="11"/>
          <w:color w:val="auto"/>
        </w:rPr>
        <w:t>Includes agreements to purchase goods or services that are enforceable and legally binding on us and that specify all significant terms, including fixed or minimum quantities to be purchased; fixed, minimum, or variable price provisions; and the approximate timing of the transaction.</w:t>
      </w:r>
    </w:p>
    <w:p>
      <w:pPr>
        <w:spacing w:after="0" w:line="104" w:lineRule="exact"/>
        <w:rPr>
          <w:sz w:val="20"/>
          <w:szCs w:val="20"/>
          <w:color w:val="auto"/>
        </w:rPr>
      </w:pPr>
    </w:p>
    <w:p>
      <w:pPr>
        <w:ind w:firstLine="509"/>
        <w:spacing w:after="0" w:line="236" w:lineRule="auto"/>
        <w:rPr>
          <w:sz w:val="20"/>
          <w:szCs w:val="20"/>
          <w:color w:val="auto"/>
        </w:rPr>
      </w:pPr>
      <w:r>
        <w:rPr>
          <w:rFonts w:ascii="Arial" w:cs="Arial" w:eastAsia="Arial" w:hAnsi="Arial"/>
          <w:sz w:val="16"/>
          <w:szCs w:val="16"/>
          <w:color w:val="auto"/>
        </w:rPr>
        <w:t>W</w:t>
      </w:r>
      <w:r>
        <w:rPr>
          <w:rFonts w:ascii="Arial" w:cs="Arial" w:eastAsia="Arial" w:hAnsi="Arial"/>
          <w:sz w:val="14"/>
          <w:szCs w:val="14"/>
          <w:color w:val="auto"/>
        </w:rPr>
        <w:t>e expect cash flows from operations, combined with availability under the U.S. Credit Facility, and U.K. and Europe Credit Facilities to provide sufficient liquidity to fund current</w:t>
      </w:r>
      <w:r>
        <w:rPr>
          <w:rFonts w:ascii="Arial" w:cs="Arial" w:eastAsia="Arial" w:hAnsi="Arial"/>
          <w:sz w:val="16"/>
          <w:szCs w:val="16"/>
          <w:color w:val="auto"/>
        </w:rPr>
        <w:t xml:space="preserve"> </w:t>
      </w:r>
      <w:r>
        <w:rPr>
          <w:rFonts w:ascii="Arial" w:cs="Arial" w:eastAsia="Arial" w:hAnsi="Arial"/>
          <w:sz w:val="14"/>
          <w:szCs w:val="14"/>
          <w:color w:val="auto"/>
        </w:rPr>
        <w:t>obligations, projected working capital requirements, maturities of long-term debt and capital spending for at least the next twelve months.</w:t>
      </w:r>
    </w:p>
    <w:p>
      <w:pPr>
        <w:spacing w:after="0" w:line="11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 Accounting Pronouncements</w:t>
      </w:r>
    </w:p>
    <w:p>
      <w:pPr>
        <w:spacing w:after="0" w:line="14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Refer to Part II, Item 8, Notes to Consolidated Financial Statements, “Note 1. Business and Summary of Significant Accounting Policies.”</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Accounting Policies and Estimates</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5" w:name="page36"/>
    <w:bookmarkEnd w:id="35"/>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-6985</wp:posOffset>
            </wp:positionV>
            <wp:extent cx="727075" cy="69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7075" cy="6985"/>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jc w:val="both"/>
        <w:ind w:firstLine="509"/>
        <w:spacing w:after="0" w:line="284" w:lineRule="auto"/>
        <w:rPr>
          <w:sz w:val="20"/>
          <w:szCs w:val="20"/>
          <w:color w:val="auto"/>
        </w:rPr>
      </w:pPr>
      <w:r>
        <w:rPr>
          <w:rFonts w:ascii="Arial" w:cs="Arial" w:eastAsia="Arial" w:hAnsi="Arial"/>
          <w:sz w:val="13"/>
          <w:szCs w:val="13"/>
          <w:i w:val="1"/>
          <w:iCs w:val="1"/>
          <w:color w:val="auto"/>
        </w:rPr>
        <w:t>General</w:t>
      </w:r>
      <w:r>
        <w:rPr>
          <w:rFonts w:ascii="Arial" w:cs="Arial" w:eastAsia="Arial" w:hAnsi="Arial"/>
          <w:sz w:val="13"/>
          <w:szCs w:val="13"/>
          <w:color w:val="auto"/>
        </w:rPr>
        <w:t>. Our discussion and analysis of our financial condition and results of operations are based upon our financial statements, which have been prepared in accordance with U.S. GAAP.</w:t>
      </w:r>
      <w:r>
        <w:rPr>
          <w:rFonts w:ascii="Arial" w:cs="Arial" w:eastAsia="Arial" w:hAnsi="Arial"/>
          <w:sz w:val="13"/>
          <w:szCs w:val="13"/>
          <w:i w:val="1"/>
          <w:iCs w:val="1"/>
          <w:color w:val="auto"/>
        </w:rPr>
        <w:t xml:space="preserve"> </w:t>
      </w:r>
      <w:r>
        <w:rPr>
          <w:rFonts w:ascii="Arial" w:cs="Arial" w:eastAsia="Arial" w:hAnsi="Arial"/>
          <w:sz w:val="13"/>
          <w:szCs w:val="13"/>
          <w:color w:val="auto"/>
        </w:rPr>
        <w:t>The preparation of these financial statements requires us to make estimates and judgments that affect the reported amounts of assets, liabilities, revenues and expenses. On an ongoing basis, we evaluate our estimates, including those related to revenue recognition, inventory, goodwill and other intangible assets, litigation and income taxes.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9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We believe the following critical accounting policies affect our more significant judgments and estimates used in the preparation of our financial statements.</w:t>
      </w:r>
    </w:p>
    <w:p>
      <w:pPr>
        <w:spacing w:after="0" w:line="136"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4"/>
          <w:szCs w:val="14"/>
          <w:i w:val="1"/>
          <w:iCs w:val="1"/>
          <w:color w:val="auto"/>
        </w:rPr>
        <w:t xml:space="preserve">Revenue Recognition. </w:t>
      </w:r>
      <w:r>
        <w:rPr>
          <w:rFonts w:ascii="Arial" w:cs="Arial" w:eastAsia="Arial" w:hAnsi="Arial"/>
          <w:sz w:val="14"/>
          <w:szCs w:val="14"/>
          <w:color w:val="auto"/>
        </w:rPr>
        <w:t>The vast majority of our revenue is derived from contracts which are based upon a customer ordering our products. While there may be master agreements, the contract</w:t>
      </w:r>
      <w:r>
        <w:rPr>
          <w:rFonts w:ascii="Arial" w:cs="Arial" w:eastAsia="Arial" w:hAnsi="Arial"/>
          <w:sz w:val="14"/>
          <w:szCs w:val="14"/>
          <w:i w:val="1"/>
          <w:iCs w:val="1"/>
          <w:color w:val="auto"/>
        </w:rPr>
        <w:t xml:space="preserve"> </w:t>
      </w:r>
      <w:r>
        <w:rPr>
          <w:rFonts w:ascii="Arial" w:cs="Arial" w:eastAsia="Arial" w:hAnsi="Arial"/>
          <w:sz w:val="14"/>
          <w:szCs w:val="14"/>
          <w:color w:val="auto"/>
        </w:rPr>
        <w:t>is only established when the customer’s order is accepted by us. We account for a contract, which may be verbal or written, when it is approved and committed by both parties, the rights of the parties are identified along with payment terms, the contract has commercial substance and collectability is probable.</w:t>
      </w:r>
    </w:p>
    <w:p>
      <w:pPr>
        <w:spacing w:after="0" w:line="99" w:lineRule="exact"/>
        <w:rPr>
          <w:sz w:val="20"/>
          <w:szCs w:val="20"/>
          <w:color w:val="auto"/>
        </w:rPr>
      </w:pPr>
    </w:p>
    <w:p>
      <w:pPr>
        <w:jc w:val="both"/>
        <w:ind w:firstLine="509"/>
        <w:spacing w:after="0" w:line="319" w:lineRule="auto"/>
        <w:rPr>
          <w:sz w:val="20"/>
          <w:szCs w:val="20"/>
          <w:color w:val="auto"/>
        </w:rPr>
      </w:pPr>
      <w:r>
        <w:rPr>
          <w:rFonts w:ascii="Arial" w:cs="Arial" w:eastAsia="Arial" w:hAnsi="Arial"/>
          <w:sz w:val="12"/>
          <w:szCs w:val="12"/>
          <w:color w:val="auto"/>
        </w:rPr>
        <w:t>We evaluate the transaction for distinct performance obligations, which are the sale of our products to customers. Since our products are commodity market-priced, the sales price is representative of the observable, standalone selling price. Each performance obligation is recognized based upon a pattern of recognition that reflects the transfer of control to the customer at a point in time, which is upon destination (customer location or port of destination) and depicts the transfer of control and recognition of revenue. There are instances of customer pick-up at our facilities, in which case control transfers to the customer at that point and we recognize revenue. Our performance obligations are typically fulfilled within days to weeks of the acceptance of the order.</w:t>
      </w:r>
    </w:p>
    <w:p>
      <w:pPr>
        <w:spacing w:after="0" w:line="73"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4"/>
          <w:szCs w:val="14"/>
          <w:color w:val="auto"/>
        </w:rPr>
        <w:t>We make judgments regarding the nature, amount, timing and uncertainty of revenue and cash flows arising from revenue and cash flows with customers. Determination of a contract requires evaluation and judgment along with the estimation of the total contract value and if any of the contract value is constrained. Due to the nature of our business, there is minimal variable consideration, as the contract is established at the acceptance of the order from the customer. When applicable, variable consideration is estimated at contract inception and updated on a regular basis until the contract is completed. Allocating the transaction price to a specific performance obligation based upon the relative standalone selling prices includes estimating the standalone selling prices including discounts and variable consideration.</w:t>
      </w:r>
    </w:p>
    <w:p>
      <w:pPr>
        <w:spacing w:after="0" w:line="93"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3"/>
          <w:szCs w:val="13"/>
          <w:i w:val="1"/>
          <w:iCs w:val="1"/>
          <w:color w:val="auto"/>
        </w:rPr>
        <w:t xml:space="preserve">Inventories. </w:t>
      </w:r>
      <w:r>
        <w:rPr>
          <w:rFonts w:ascii="Arial" w:cs="Arial" w:eastAsia="Arial" w:hAnsi="Arial"/>
          <w:sz w:val="13"/>
          <w:szCs w:val="13"/>
          <w:color w:val="auto"/>
        </w:rPr>
        <w:t>Live chicken and pig inventories are stated at the lower of cost or net realizable value and breeder hen, breeder sow and boar inventories at the lower of cost, less accumulated</w:t>
      </w:r>
      <w:r>
        <w:rPr>
          <w:rFonts w:ascii="Arial" w:cs="Arial" w:eastAsia="Arial" w:hAnsi="Arial"/>
          <w:sz w:val="13"/>
          <w:szCs w:val="13"/>
          <w:i w:val="1"/>
          <w:iCs w:val="1"/>
          <w:color w:val="auto"/>
        </w:rPr>
        <w:t xml:space="preserve"> </w:t>
      </w:r>
      <w:r>
        <w:rPr>
          <w:rFonts w:ascii="Arial" w:cs="Arial" w:eastAsia="Arial" w:hAnsi="Arial"/>
          <w:sz w:val="13"/>
          <w:szCs w:val="13"/>
          <w:color w:val="auto"/>
        </w:rPr>
        <w:t>amortization, or net realizable value. The costs associated with breeder hen inventories are accumulated up to the production stage and amortized over their productive lives using the unit-of-production method. The costs associated with breeder sow inventories are accumulated up to the production stage and amortized on a straight-line basis over their productive lives to the estimated residual cull value. The costs associated with finished poultry products, finished pork products, feed, eggs and other inventories are stated at the lower of cost (average) or net realizable value. Inventory typically transfers from one stage of production to another at a standard cost, where it accumulates additional cost directly incurred with the production of inventory, including overhead. The standard cost at which each type of inventory transfers is set by management to reflect the actual costs incurred in the prior steps. We monitor and adjust standard costs throughout the year to ensure that standard costs reasonably reflect the actual average cost of the inventory produced.</w:t>
      </w:r>
    </w:p>
    <w:p>
      <w:pPr>
        <w:spacing w:after="0" w:line="105"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4"/>
          <w:szCs w:val="14"/>
          <w:color w:val="auto"/>
        </w:rPr>
        <w:t>We allocate meat costs between our various finished chicken products based on a by-product costing technique that reduces the cost of the whole bird by estimated yields and amounts to be recovered for certain by-product parts. This primarily includes leg quarters, wings, tenders and offal, which are carried in inventory at the estimated recovery amounts, with the remaining amount being reflected as our breast meat cost. We allocate meat costs between our various finished pork products based on a by-product costing technique that allocates the cost of the whole pig into the primal cuts by estimated yields and amounts to be recovered for certain by-product parts. This primarily includes legs, shoulders, bellies, offal and fifth quarter parts, which are carried in inventory at the estimated recoverable amounts, with the remaining amount being reflected as our loin meat cost.</w:t>
      </w:r>
    </w:p>
    <w:p>
      <w:pPr>
        <w:spacing w:after="0" w:line="104" w:lineRule="exact"/>
        <w:rPr>
          <w:sz w:val="20"/>
          <w:szCs w:val="20"/>
          <w:color w:val="auto"/>
        </w:rPr>
      </w:pPr>
    </w:p>
    <w:p>
      <w:pPr>
        <w:jc w:val="both"/>
        <w:ind w:firstLine="509"/>
        <w:spacing w:after="0" w:line="297" w:lineRule="auto"/>
        <w:rPr>
          <w:sz w:val="20"/>
          <w:szCs w:val="20"/>
          <w:color w:val="auto"/>
        </w:rPr>
      </w:pPr>
      <w:r>
        <w:rPr>
          <w:rFonts w:ascii="Arial" w:cs="Arial" w:eastAsia="Arial" w:hAnsi="Arial"/>
          <w:sz w:val="13"/>
          <w:szCs w:val="13"/>
          <w:color w:val="auto"/>
        </w:rPr>
        <w:t>For our prepared foods inventories, raw materials and packaging materials are valued at the lower of weighted average cost and net realizable value, work in progress is valued at the latest production cost (raw materials, packaging), finished goods are valued at the lower of the latest actual monthly production cost (raw materials, packaging and direct labor) and attributable overheads and net realizable value, and engineering spares and consumables are valued at cost with an appropriate provision for obsolete engineering spares consistent with historical practice.</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6" w:name="page37"/>
    <w:bookmarkEnd w:id="36"/>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-6985</wp:posOffset>
            </wp:positionV>
            <wp:extent cx="727075" cy="69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7075" cy="6985"/>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4"/>
          <w:szCs w:val="14"/>
          <w:color w:val="auto"/>
        </w:rPr>
        <w:t>Generally, we perform an evaluation of whether any lower of cost or market adjustments are required at the country level based on a number of factors, including: (1) pools of related inventory, (2) product continuation or discontinuation, (3) estimated market selling prices and (4) expected distribution channels. If actual market conditions or other factors are less favorable than those projected by management, additional inventory adjustments may be required.We also record valuation adjustments, when necessary, for estimated obsolescence at or equal to the difference between the cost of inventory and the estimated market value based upon known conditions affecting inventory obsolescence, including significantly aged products, discontinued product lines, or damaged or obsolete products.</w:t>
      </w:r>
    </w:p>
    <w:p>
      <w:pPr>
        <w:spacing w:after="0" w:line="104"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4"/>
          <w:szCs w:val="14"/>
          <w:i w:val="1"/>
          <w:iCs w:val="1"/>
          <w:color w:val="auto"/>
        </w:rPr>
        <w:t xml:space="preserve">Goodwill and Other Intangibles, net. </w:t>
      </w:r>
      <w:r>
        <w:rPr>
          <w:rFonts w:ascii="Arial" w:cs="Arial" w:eastAsia="Arial" w:hAnsi="Arial"/>
          <w:sz w:val="14"/>
          <w:szCs w:val="14"/>
          <w:color w:val="auto"/>
        </w:rPr>
        <w:t>Goodwill represents the excess of the aggregate purchase price over the fair value of the net identifiable assets acquired in a business combination.</w:t>
      </w:r>
      <w:r>
        <w:rPr>
          <w:rFonts w:ascii="Arial" w:cs="Arial" w:eastAsia="Arial" w:hAnsi="Arial"/>
          <w:sz w:val="14"/>
          <w:szCs w:val="14"/>
          <w:i w:val="1"/>
          <w:iCs w:val="1"/>
          <w:color w:val="auto"/>
        </w:rPr>
        <w:t xml:space="preserve"> </w:t>
      </w:r>
      <w:r>
        <w:rPr>
          <w:rFonts w:ascii="Arial" w:cs="Arial" w:eastAsia="Arial" w:hAnsi="Arial"/>
          <w:sz w:val="14"/>
          <w:szCs w:val="14"/>
          <w:color w:val="auto"/>
        </w:rPr>
        <w:t>Identified intangible assets represent trade names, customer relationships and non-compete agreements arising from acquisitions that are recorded at fair value as of the date acquired less accumulated amortization, if any. We use various market valuation techniques to determine the fair value of its identified intangible assets.</w:t>
      </w:r>
    </w:p>
    <w:p>
      <w:pPr>
        <w:spacing w:after="0" w:line="99"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4"/>
          <w:szCs w:val="14"/>
          <w:color w:val="auto"/>
        </w:rPr>
        <w:t>Goodwill and other intangible assets with indefinite lives are not amortized but are tested for impairment on an annual basis in the fourth quarter of each fiscal year or more frequently if impairment indicators arise. For goodwill, an impairment loss is recognized for any excess of the carrying amount of a reporting unit’s goodwill over the implied fair value of that goodwill. Management first reviews relevant qualitative factors to determine if an indication of impairment exists for a reporting unit. If management determines there is an indication that the carrying amount of reporting unit goodwill might be impaired, a quantitative analysis is performed. Management performed a qualitative analysis noting no indications of goodwill impairment in any of its reporting units as of December 26, 2021. For indefinite-lived intangible assets, an impairment loss is recognized if the carrying amount of an indefinite-lived intangible asset exceeds the estimated fair value of that intangible asset. Management first reviews relevant qualitative factors to determine if an indication of impairment exists. If management determines there is an indication that the carrying amount of the intangible asset might be impaired, and quantitative analysis is performed. Management performed a qualitative analysis noting no indications of impairment for any of its indefinite-lived intangible assets as of December 26, 2021.</w:t>
      </w:r>
    </w:p>
    <w:p>
      <w:pPr>
        <w:spacing w:after="0" w:line="106"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4"/>
          <w:szCs w:val="14"/>
          <w:color w:val="auto"/>
        </w:rPr>
        <w:t>Identifiable intangible assets with definite lives, such as customer relationships, non-compete agreements and trade names that we expect to use for a limited amount of time, are amortized over their estimated useful lives on a straight-line basis. The useful lives range from three to 20 years for non-compete agreements and trade names and three to 16 years for customer relationships. Identified intangible assets with definite lives are tested for recoverability whenever events or changes in circumstances indicate that their carrying amount may not be recoverable. Management assessed if events or changes in circumstances indicated that the aggregate carrying amount of its identified intangible assets with definite lives might not be recoverable and determined that there were no impairment indicators during the year ended December 26, 2021 and year ended December 27, 2020.</w:t>
      </w:r>
    </w:p>
    <w:p>
      <w:pPr>
        <w:spacing w:after="0" w:line="104"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4"/>
          <w:szCs w:val="14"/>
          <w:i w:val="1"/>
          <w:iCs w:val="1"/>
          <w:color w:val="auto"/>
        </w:rPr>
        <w:t xml:space="preserve">Litigation and Contingent Liabilities. </w:t>
      </w:r>
      <w:r>
        <w:rPr>
          <w:rFonts w:ascii="Arial" w:cs="Arial" w:eastAsia="Arial" w:hAnsi="Arial"/>
          <w:sz w:val="14"/>
          <w:szCs w:val="14"/>
          <w:color w:val="auto"/>
        </w:rPr>
        <w:t>We are subject to lawsuits, investigations and other claims related to employment, environmental, product, and other matters. We are required to assess</w:t>
      </w:r>
      <w:r>
        <w:rPr>
          <w:rFonts w:ascii="Arial" w:cs="Arial" w:eastAsia="Arial" w:hAnsi="Arial"/>
          <w:sz w:val="14"/>
          <w:szCs w:val="14"/>
          <w:i w:val="1"/>
          <w:iCs w:val="1"/>
          <w:color w:val="auto"/>
        </w:rPr>
        <w:t xml:space="preserve"> </w:t>
      </w:r>
      <w:r>
        <w:rPr>
          <w:rFonts w:ascii="Arial" w:cs="Arial" w:eastAsia="Arial" w:hAnsi="Arial"/>
          <w:sz w:val="14"/>
          <w:szCs w:val="14"/>
          <w:color w:val="auto"/>
        </w:rPr>
        <w:t>the likelihood of any adverse judgments or outcomes, as well as potential ranges of probable losses, to these matters. We estimate the amount of reserves required for these contingencies when losses are determined to be probable and after considerable analysis of each individual issue. We expense legal costs related to such loss contingencies as they are incurred. With respect to our environmental remediation obligations, the accrual for environmental remediation liabilities is measured on an undiscounted basis. These reserves may change in the future due to changes in our assumptions, the effectiveness of strategies, or other factors beyond our control.</w:t>
      </w:r>
    </w:p>
    <w:p>
      <w:pPr>
        <w:spacing w:after="0" w:line="104" w:lineRule="exact"/>
        <w:rPr>
          <w:sz w:val="20"/>
          <w:szCs w:val="20"/>
          <w:color w:val="auto"/>
        </w:rPr>
      </w:pPr>
    </w:p>
    <w:p>
      <w:pPr>
        <w:jc w:val="both"/>
        <w:ind w:firstLine="509"/>
        <w:spacing w:after="0" w:line="280" w:lineRule="auto"/>
        <w:rPr>
          <w:sz w:val="20"/>
          <w:szCs w:val="20"/>
          <w:color w:val="auto"/>
        </w:rPr>
      </w:pPr>
      <w:r>
        <w:rPr>
          <w:rFonts w:ascii="Arial" w:cs="Arial" w:eastAsia="Arial" w:hAnsi="Arial"/>
          <w:sz w:val="13"/>
          <w:szCs w:val="13"/>
          <w:i w:val="1"/>
          <w:iCs w:val="1"/>
          <w:color w:val="auto"/>
        </w:rPr>
        <w:t xml:space="preserve">Income Taxes. </w:t>
      </w:r>
      <w:r>
        <w:rPr>
          <w:rFonts w:ascii="Arial" w:cs="Arial" w:eastAsia="Arial" w:hAnsi="Arial"/>
          <w:sz w:val="13"/>
          <w:szCs w:val="13"/>
          <w:color w:val="auto"/>
        </w:rPr>
        <w:t>We follow provisions under ASC No. 740-10-30-27 in the Expenses-Income Taxes topic with regard to members of a group that file a consolidated tax return but issue</w:t>
      </w:r>
      <w:r>
        <w:rPr>
          <w:rFonts w:ascii="Arial" w:cs="Arial" w:eastAsia="Arial" w:hAnsi="Arial"/>
          <w:sz w:val="13"/>
          <w:szCs w:val="13"/>
          <w:i w:val="1"/>
          <w:iCs w:val="1"/>
          <w:color w:val="auto"/>
        </w:rPr>
        <w:t xml:space="preserve"> </w:t>
      </w:r>
      <w:r>
        <w:rPr>
          <w:rFonts w:ascii="Arial" w:cs="Arial" w:eastAsia="Arial" w:hAnsi="Arial"/>
          <w:sz w:val="13"/>
          <w:szCs w:val="13"/>
          <w:color w:val="auto"/>
        </w:rPr>
        <w:t>separate financial statements. We file our U.S. federal tax return and certain state unitary returns with JBS USA Holdings. Our income tax expense is computed using the separate return method. The provision for income taxes has been determined using the asset and liability approach of accounting for income taxes. For the unitary states, we have an obligation to make tax payments to JBS USA Holdings for our share of the unitary taxable income, which is included in taxes payable in our Consolidated Balance Sheets. Under this approach, deferred income taxes reflect the net tax effect of temporary differences between the book and tax bases of recorded assets and liabilities, net operating losses and tax credit carry forwards. The amount of deferred tax on these temporary differences is determined using the tax rates expected to apply to the period when the asset is realized or the liability is settled, as applicable, based on the tax rates and laws in the respective tax jurisdiction enacted as of the balance sheet date. We recognize potential interest and penalties related to income tax positions as a part of the income tax provision.</w:t>
      </w:r>
    </w:p>
    <w:p>
      <w:pPr>
        <w:spacing w:after="0" w:line="84"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4"/>
          <w:szCs w:val="14"/>
          <w:i w:val="1"/>
          <w:iCs w:val="1"/>
          <w:color w:val="auto"/>
        </w:rPr>
        <w:t>Business Combination Accounting</w:t>
      </w:r>
      <w:r>
        <w:rPr>
          <w:rFonts w:ascii="Arial" w:cs="Arial" w:eastAsia="Arial" w:hAnsi="Arial"/>
          <w:sz w:val="14"/>
          <w:szCs w:val="14"/>
          <w:color w:val="auto"/>
        </w:rPr>
        <w:t>. We allocate the consideration of an acquired business to its identifiable assets and liabilities based on estimated fair values. The excess of the</w:t>
      </w:r>
      <w:r>
        <w:rPr>
          <w:rFonts w:ascii="Arial" w:cs="Arial" w:eastAsia="Arial" w:hAnsi="Arial"/>
          <w:sz w:val="14"/>
          <w:szCs w:val="14"/>
          <w:i w:val="1"/>
          <w:iCs w:val="1"/>
          <w:color w:val="auto"/>
        </w:rPr>
        <w:t xml:space="preserve"> </w:t>
      </w:r>
      <w:r>
        <w:rPr>
          <w:rFonts w:ascii="Arial" w:cs="Arial" w:eastAsia="Arial" w:hAnsi="Arial"/>
          <w:sz w:val="14"/>
          <w:szCs w:val="14"/>
          <w:color w:val="auto"/>
        </w:rPr>
        <w:t>consideration over the amount allocated to the assets and liabilities, if any, is recorded to goodwill. We use all available information to estimate fair values. We use various models to determine the value of assets acquired and liabilities assumed such as net realizable value to value inventory, cost method and market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7" w:name="page38"/>
    <w:bookmarkEnd w:id="37"/>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-6985</wp:posOffset>
            </wp:positionV>
            <wp:extent cx="727075" cy="69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7075" cy="6985"/>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approach to value property, relief-from-royalty and multi-period excess earnings to value intangibles and discounted cash flow to value goodwill. We typically engage third-party valuation specialists to assist in the fair value determination of tangible long-lived assets and intangible assets other than goodwill. The fair value of acquired inventories is typically determined by extending physical counts of the inventories taken at or near the acquisition date to market pricing in effect for such inventories at or near the acquisition date. The carrying values of acquired receivables and accounts payable have historically approximated their fair values as of the business combination date. As necessary, we may engage third-party specialists to assist in the estimation of fair value for certain liabilities. We adjust the preliminary acquisition accounting, as necessary, typically up to one year after the acquisition closing date for those items that existed at the acquisition date and were provisionally accounted for at that time, as we obtain more information regarding asset valuations and liabilities assumed.</w:t>
      </w:r>
    </w:p>
    <w:p>
      <w:pPr>
        <w:spacing w:after="0" w:line="102" w:lineRule="exact"/>
        <w:rPr>
          <w:sz w:val="20"/>
          <w:szCs w:val="20"/>
          <w:color w:val="auto"/>
        </w:rPr>
      </w:pPr>
    </w:p>
    <w:p>
      <w:pPr>
        <w:jc w:val="both"/>
        <w:ind w:firstLine="509"/>
        <w:spacing w:after="0" w:line="309" w:lineRule="auto"/>
        <w:rPr>
          <w:sz w:val="20"/>
          <w:szCs w:val="20"/>
          <w:color w:val="auto"/>
        </w:rPr>
      </w:pPr>
      <w:r>
        <w:rPr>
          <w:rFonts w:ascii="Arial" w:cs="Arial" w:eastAsia="Arial" w:hAnsi="Arial"/>
          <w:sz w:val="12"/>
          <w:szCs w:val="12"/>
          <w:color w:val="auto"/>
        </w:rPr>
        <w:t>Our acquisition accounting methodology contains uncertainties because it requires management to make assumptions and to apply judgment to estimate the fair value of acquired assets and liabilities. Management estimates the fair value of assets and liabilities based upon quoted market prices, the carrying value of the acquired assets and widely accepted valuation techniques, including discounted cash flows and market multiple analyses. Unanticipated events or circumstances may occur which could affect the accuracy of our fair value estimates, including changes in assumptions regarding industry economic factors and business strategies. If actual results are materially different than the assumptions used to determine fair value of the assets and liabilities acquired through a business combination, it is possible that adjustments to the carrying values of such assets and liabilities will have an impact on our net earnings. See Part II. Item 8. Notes to Consolidated Financial Statements, “2. Business Acquisitions” in this annual report for the acquisition-related information associated with significant acquisitions completed in the last three fiscal years.</w:t>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Reconciliation of Net Income to EBITDA and Adjusted EBITDA</w:t>
      </w:r>
    </w:p>
    <w:p>
      <w:pPr>
        <w:spacing w:after="0" w:line="140" w:lineRule="exact"/>
        <w:rPr>
          <w:sz w:val="20"/>
          <w:szCs w:val="20"/>
          <w:color w:val="auto"/>
        </w:rPr>
      </w:pPr>
    </w:p>
    <w:p>
      <w:pPr>
        <w:jc w:val="both"/>
        <w:spacing w:after="0" w:line="278" w:lineRule="auto"/>
        <w:rPr>
          <w:sz w:val="20"/>
          <w:szCs w:val="20"/>
          <w:color w:val="auto"/>
        </w:rPr>
      </w:pPr>
      <w:r>
        <w:rPr>
          <w:rFonts w:ascii="Arial" w:cs="Arial" w:eastAsia="Arial" w:hAnsi="Arial"/>
          <w:sz w:val="13"/>
          <w:szCs w:val="13"/>
          <w:color w:val="auto"/>
        </w:rPr>
        <w:t>“EBITDA” is defined as the sum of net income (loss) plus interest, taxes, depreciation and amortization. “Adjusted EBITDA” is calculated by adding to EBITDA certain items of expense and deducting from EBITDA certain items of income that we believe are not indicative of our ongoing operating performance consisting of: (1) foreign currency transaction loss (gain), (2) transaction costs related to business acquisitions, (3) expenses recognized for the DOJ agreement and litigation settlements, (4) restructuring activities loss (gain), (5) Hometown Strong initiative expenses,</w:t>
      </w:r>
    </w:p>
    <w:p>
      <w:pPr>
        <w:jc w:val="both"/>
        <w:ind w:firstLine="5"/>
        <w:spacing w:after="0" w:line="254" w:lineRule="auto"/>
        <w:tabs>
          <w:tab w:leader="none" w:pos="201" w:val="left"/>
        </w:tabs>
        <w:numPr>
          <w:ilvl w:val="0"/>
          <w:numId w:val="17"/>
        </w:numPr>
        <w:rPr>
          <w:rFonts w:ascii="Arial" w:cs="Arial" w:eastAsia="Arial" w:hAnsi="Arial"/>
          <w:sz w:val="14"/>
          <w:szCs w:val="14"/>
          <w:color w:val="auto"/>
        </w:rPr>
      </w:pPr>
      <w:r>
        <w:rPr>
          <w:rFonts w:ascii="Arial" w:cs="Arial" w:eastAsia="Arial" w:hAnsi="Arial"/>
          <w:sz w:val="14"/>
          <w:szCs w:val="14"/>
          <w:color w:val="auto"/>
        </w:rPr>
        <w:t>consumption of the Pilgrim's Food Masters (“PFM”) inventory fair value step-up increment, (7) gain recognized on our bargain purchase of PPL, (8) income recognized on a shareholder litigation settlement with JBS, (9) gain recognized on deconsolidation of a subsidiary and (10) net income attributable to noncontrolling interest. EBITDA is presented because it is used by us and we believe it is frequently used by securities analysts, investors and other interested parties, in addition to and not in lieu of results prepared in conformity with U.S. GAAP, to compare the performance of companies. We believe investors would be interested in our Adjusted EBITDA because this is how our management analyzes EBITDA applicable to continuing operations. We also believe that Adjusted EBITDA, in combination with our financial results calculated in accordance with U.S. GAAP, provides investors with additional perspective regarding the impact of certain significant items on EBITDA and facilitates a more direct comparison of our performance with our competitors. EBITDA and Adjusted EBITDA are not measurements of financial performance under U.S. GAAP. EBITDA and Adjusted EBITDA have limitations as analytical tools and should not be considered in isolation or as substitutes for an analysis of our results as reported under U.S. GAAP. Some of the limitations of these measures are:</w:t>
      </w:r>
    </w:p>
    <w:p>
      <w:pPr>
        <w:spacing w:after="0" w:line="112" w:lineRule="exact"/>
        <w:rPr>
          <w:rFonts w:ascii="Arial" w:cs="Arial" w:eastAsia="Arial" w:hAnsi="Arial"/>
          <w:sz w:val="14"/>
          <w:szCs w:val="14"/>
          <w:color w:val="auto"/>
        </w:rPr>
      </w:pPr>
    </w:p>
    <w:p>
      <w:pPr>
        <w:ind w:left="520" w:hanging="260"/>
        <w:spacing w:after="0"/>
        <w:tabs>
          <w:tab w:leader="none" w:pos="520" w:val="left"/>
        </w:tabs>
        <w:numPr>
          <w:ilvl w:val="1"/>
          <w:numId w:val="17"/>
        </w:numPr>
        <w:rPr>
          <w:rFonts w:ascii="Arial" w:cs="Arial" w:eastAsia="Arial" w:hAnsi="Arial"/>
          <w:sz w:val="14"/>
          <w:szCs w:val="14"/>
          <w:color w:val="auto"/>
        </w:rPr>
      </w:pPr>
      <w:r>
        <w:rPr>
          <w:rFonts w:ascii="Arial" w:cs="Arial" w:eastAsia="Arial" w:hAnsi="Arial"/>
          <w:sz w:val="14"/>
          <w:szCs w:val="14"/>
          <w:color w:val="auto"/>
        </w:rPr>
        <w:t>They do not reflect our cash expenditures, future requirements for capital expenditures or contractual commitments;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1"/>
          <w:numId w:val="17"/>
        </w:numPr>
        <w:rPr>
          <w:rFonts w:ascii="Arial" w:cs="Arial" w:eastAsia="Arial" w:hAnsi="Arial"/>
          <w:sz w:val="14"/>
          <w:szCs w:val="14"/>
          <w:color w:val="auto"/>
        </w:rPr>
      </w:pPr>
      <w:r>
        <w:rPr>
          <w:rFonts w:ascii="Arial" w:cs="Arial" w:eastAsia="Arial" w:hAnsi="Arial"/>
          <w:sz w:val="14"/>
          <w:szCs w:val="14"/>
          <w:color w:val="auto"/>
        </w:rPr>
        <w:t>They do not reflect changes in, or cash requirements for, our working capital needs;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1"/>
          <w:numId w:val="17"/>
        </w:numPr>
        <w:rPr>
          <w:rFonts w:ascii="Arial" w:cs="Arial" w:eastAsia="Arial" w:hAnsi="Arial"/>
          <w:sz w:val="14"/>
          <w:szCs w:val="14"/>
          <w:color w:val="auto"/>
        </w:rPr>
      </w:pPr>
      <w:r>
        <w:rPr>
          <w:rFonts w:ascii="Arial" w:cs="Arial" w:eastAsia="Arial" w:hAnsi="Arial"/>
          <w:sz w:val="14"/>
          <w:szCs w:val="14"/>
          <w:color w:val="auto"/>
        </w:rPr>
        <w:t>They do not reflect the significant interest expense or the cash requirements necessary to service interest or principal payments on our debt;</w:t>
      </w:r>
    </w:p>
    <w:p>
      <w:pPr>
        <w:spacing w:after="0" w:line="136" w:lineRule="exact"/>
        <w:rPr>
          <w:rFonts w:ascii="Arial" w:cs="Arial" w:eastAsia="Arial" w:hAnsi="Arial"/>
          <w:sz w:val="14"/>
          <w:szCs w:val="14"/>
          <w:color w:val="auto"/>
        </w:rPr>
      </w:pPr>
    </w:p>
    <w:p>
      <w:pPr>
        <w:ind w:left="520" w:hanging="260"/>
        <w:spacing w:after="0" w:line="281" w:lineRule="auto"/>
        <w:tabs>
          <w:tab w:leader="none" w:pos="516" w:val="left"/>
        </w:tabs>
        <w:numPr>
          <w:ilvl w:val="1"/>
          <w:numId w:val="17"/>
        </w:numPr>
        <w:rPr>
          <w:rFonts w:ascii="Arial" w:cs="Arial" w:eastAsia="Arial" w:hAnsi="Arial"/>
          <w:sz w:val="14"/>
          <w:szCs w:val="14"/>
          <w:color w:val="auto"/>
        </w:rPr>
      </w:pPr>
      <w:r>
        <w:rPr>
          <w:rFonts w:ascii="Arial" w:cs="Arial" w:eastAsia="Arial" w:hAnsi="Arial"/>
          <w:sz w:val="14"/>
          <w:szCs w:val="14"/>
          <w:color w:val="auto"/>
        </w:rPr>
        <w:t>Although depreciation and amortization are noncash charges, the assets being depreciated and amortized will often have to be replaced in the future, and EBITDA and Adjusted EBITDA do not reflect any cash requirements for such replacements;</w:t>
      </w:r>
    </w:p>
    <w:p>
      <w:pPr>
        <w:spacing w:after="0" w:line="89" w:lineRule="exact"/>
        <w:rPr>
          <w:rFonts w:ascii="Arial" w:cs="Arial" w:eastAsia="Arial" w:hAnsi="Arial"/>
          <w:sz w:val="14"/>
          <w:szCs w:val="14"/>
          <w:color w:val="auto"/>
        </w:rPr>
      </w:pPr>
    </w:p>
    <w:p>
      <w:pPr>
        <w:ind w:left="520" w:hanging="260"/>
        <w:spacing w:after="0"/>
        <w:tabs>
          <w:tab w:leader="none" w:pos="520" w:val="left"/>
        </w:tabs>
        <w:numPr>
          <w:ilvl w:val="1"/>
          <w:numId w:val="17"/>
        </w:numPr>
        <w:rPr>
          <w:rFonts w:ascii="Arial" w:cs="Arial" w:eastAsia="Arial" w:hAnsi="Arial"/>
          <w:sz w:val="14"/>
          <w:szCs w:val="14"/>
          <w:color w:val="auto"/>
        </w:rPr>
      </w:pPr>
      <w:r>
        <w:rPr>
          <w:rFonts w:ascii="Arial" w:cs="Arial" w:eastAsia="Arial" w:hAnsi="Arial"/>
          <w:sz w:val="14"/>
          <w:szCs w:val="14"/>
          <w:color w:val="auto"/>
        </w:rPr>
        <w:t>They are not adjusted for all noncash income or expense items that are reflected in our statements of cash flows;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1"/>
          <w:numId w:val="17"/>
        </w:numPr>
        <w:rPr>
          <w:rFonts w:ascii="Arial" w:cs="Arial" w:eastAsia="Arial" w:hAnsi="Arial"/>
          <w:sz w:val="14"/>
          <w:szCs w:val="14"/>
          <w:color w:val="auto"/>
        </w:rPr>
      </w:pPr>
      <w:r>
        <w:rPr>
          <w:rFonts w:ascii="Arial" w:cs="Arial" w:eastAsia="Arial" w:hAnsi="Arial"/>
          <w:sz w:val="14"/>
          <w:szCs w:val="14"/>
          <w:color w:val="auto"/>
        </w:rPr>
        <w:t>EBITDA does not reflect the impact of earnings or charges attributable to noncontrolling interests;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1"/>
          <w:numId w:val="17"/>
        </w:numPr>
        <w:rPr>
          <w:rFonts w:ascii="Arial" w:cs="Arial" w:eastAsia="Arial" w:hAnsi="Arial"/>
          <w:sz w:val="14"/>
          <w:szCs w:val="14"/>
          <w:color w:val="auto"/>
        </w:rPr>
      </w:pPr>
      <w:r>
        <w:rPr>
          <w:rFonts w:ascii="Arial" w:cs="Arial" w:eastAsia="Arial" w:hAnsi="Arial"/>
          <w:sz w:val="14"/>
          <w:szCs w:val="14"/>
          <w:color w:val="auto"/>
        </w:rPr>
        <w:t>They do not reflect the impact of earnings or charges resulting from matters we consider to not be indicative of our ongoing operations; and</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1"/>
          <w:numId w:val="17"/>
        </w:numPr>
        <w:rPr>
          <w:rFonts w:ascii="Arial" w:cs="Arial" w:eastAsia="Arial" w:hAnsi="Arial"/>
          <w:sz w:val="14"/>
          <w:szCs w:val="14"/>
          <w:color w:val="auto"/>
        </w:rPr>
      </w:pPr>
      <w:r>
        <w:rPr>
          <w:rFonts w:ascii="Arial" w:cs="Arial" w:eastAsia="Arial" w:hAnsi="Arial"/>
          <w:sz w:val="14"/>
          <w:szCs w:val="14"/>
          <w:color w:val="auto"/>
        </w:rPr>
        <w:t>They do not reflect limitations on or costs related to transferring earnings from our subsidiaries to us.</w:t>
      </w:r>
    </w:p>
    <w:p>
      <w:pPr>
        <w:spacing w:after="0" w:line="136"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In addition, other companies in our industry may calculate these measures differently than we do, limiting their usefulness as a comparative measure. Because of these limitations, EBITDA and Adjusted EBITDA should not be considered as an alternative</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8" w:name="page39"/>
    <w:bookmarkEnd w:id="38"/>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-6985</wp:posOffset>
            </wp:positionV>
            <wp:extent cx="727075" cy="69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7075" cy="6985"/>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to net income as indicators of our operating performance or any other measures of performance derived in accordance with U.S. GAAP. You should compensate for these limitations by relying primarily on our U.S. GAAP results and using EBITDA and Adjusted EBITDA only on a supplemental basis.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8560" w:type="dxa"/>
            <w:vAlign w:val="bottom"/>
          </w:tcPr>
          <w:p>
            <w:pPr>
              <w:ind w:left="20"/>
              <w:spacing w:after="0"/>
              <w:rPr>
                <w:sz w:val="20"/>
                <w:szCs w:val="20"/>
                <w:color w:val="auto"/>
              </w:rPr>
            </w:pPr>
            <w:r>
              <w:rPr>
                <w:rFonts w:ascii="Arial" w:cs="Arial" w:eastAsia="Arial" w:hAnsi="Arial"/>
                <w:sz w:val="11"/>
                <w:szCs w:val="11"/>
                <w:b w:val="1"/>
                <w:bCs w:val="1"/>
                <w:color w:val="auto"/>
              </w:rPr>
              <w:t>(Unaudited)</w:t>
            </w:r>
          </w:p>
        </w:tc>
        <w:tc>
          <w:tcPr>
            <w:tcW w:w="140" w:type="dxa"/>
            <w:vAlign w:val="bottom"/>
            <w:tcBorders>
              <w:bottom w:val="single" w:sz="8" w:color="auto"/>
            </w:tcBorders>
          </w:tcPr>
          <w:p>
            <w:pPr>
              <w:spacing w:after="0"/>
              <w:rPr>
                <w:sz w:val="13"/>
                <w:szCs w:val="13"/>
                <w:color w:val="auto"/>
              </w:rPr>
            </w:pPr>
          </w:p>
        </w:tc>
        <w:tc>
          <w:tcPr>
            <w:tcW w:w="2580" w:type="dxa"/>
            <w:vAlign w:val="bottom"/>
            <w:tcBorders>
              <w:bottom w:val="single" w:sz="8" w:color="auto"/>
            </w:tcBorders>
            <w:gridSpan w:val="4"/>
          </w:tcPr>
          <w:p>
            <w:pPr>
              <w:jc w:val="right"/>
              <w:ind w:right="1010"/>
              <w:spacing w:after="0"/>
              <w:rPr>
                <w:sz w:val="20"/>
                <w:szCs w:val="20"/>
                <w:color w:val="auto"/>
              </w:rPr>
            </w:pPr>
            <w:r>
              <w:rPr>
                <w:rFonts w:ascii="Arial" w:cs="Arial" w:eastAsia="Arial" w:hAnsi="Arial"/>
                <w:sz w:val="11"/>
                <w:szCs w:val="11"/>
                <w:b w:val="1"/>
                <w:bCs w:val="1"/>
                <w:color w:val="auto"/>
              </w:rPr>
              <w:t>Year Ended</w:t>
            </w:r>
          </w:p>
        </w:tc>
      </w:tr>
      <w:tr>
        <w:trPr>
          <w:trHeight w:val="142"/>
        </w:trPr>
        <w:tc>
          <w:tcPr>
            <w:tcW w:w="85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132"/>
              <w:spacing w:after="0"/>
              <w:rPr>
                <w:sz w:val="20"/>
                <w:szCs w:val="20"/>
                <w:color w:val="auto"/>
              </w:rPr>
            </w:pPr>
            <w:r>
              <w:rPr>
                <w:rFonts w:ascii="Arial" w:cs="Arial" w:eastAsia="Arial" w:hAnsi="Arial"/>
                <w:sz w:val="11"/>
                <w:szCs w:val="11"/>
                <w:b w:val="1"/>
                <w:bCs w:val="1"/>
                <w:color w:val="auto"/>
                <w:w w:val="96"/>
              </w:rPr>
              <w:t>December 26, 2021</w:t>
            </w:r>
          </w:p>
        </w:tc>
        <w:tc>
          <w:tcPr>
            <w:tcW w:w="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130"/>
              <w:spacing w:after="0"/>
              <w:rPr>
                <w:sz w:val="20"/>
                <w:szCs w:val="20"/>
                <w:color w:val="auto"/>
              </w:rPr>
            </w:pPr>
            <w:r>
              <w:rPr>
                <w:rFonts w:ascii="Arial" w:cs="Arial" w:eastAsia="Arial" w:hAnsi="Arial"/>
                <w:sz w:val="11"/>
                <w:szCs w:val="11"/>
                <w:b w:val="1"/>
                <w:bCs w:val="1"/>
                <w:color w:val="auto"/>
                <w:w w:val="94"/>
              </w:rPr>
              <w:t>December 27, 2020</w:t>
            </w:r>
          </w:p>
        </w:tc>
      </w:tr>
      <w:tr>
        <w:trPr>
          <w:trHeight w:val="118"/>
        </w:trPr>
        <w:tc>
          <w:tcPr>
            <w:tcW w:w="8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580" w:type="dxa"/>
            <w:vAlign w:val="bottom"/>
            <w:gridSpan w:val="4"/>
          </w:tcPr>
          <w:p>
            <w:pPr>
              <w:jc w:val="right"/>
              <w:ind w:right="1030"/>
              <w:spacing w:after="0"/>
              <w:rPr>
                <w:sz w:val="20"/>
                <w:szCs w:val="20"/>
                <w:color w:val="auto"/>
              </w:rPr>
            </w:pPr>
            <w:r>
              <w:rPr>
                <w:rFonts w:ascii="Arial" w:cs="Arial" w:eastAsia="Arial" w:hAnsi="Arial"/>
                <w:sz w:val="10"/>
                <w:szCs w:val="10"/>
                <w:b w:val="1"/>
                <w:bCs w:val="1"/>
                <w:color w:val="auto"/>
              </w:rPr>
              <w:t>(In thousands)</w:t>
            </w:r>
          </w:p>
        </w:tc>
      </w:tr>
      <w:tr>
        <w:trPr>
          <w:trHeight w:val="181"/>
        </w:trPr>
        <w:tc>
          <w:tcPr>
            <w:tcW w:w="8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31,268</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95,070</w:t>
            </w:r>
          </w:p>
        </w:tc>
      </w:tr>
      <w:tr>
        <w:trPr>
          <w:trHeight w:val="180"/>
        </w:trPr>
        <w:tc>
          <w:tcPr>
            <w:tcW w:w="8560" w:type="dxa"/>
            <w:vAlign w:val="bottom"/>
          </w:tcPr>
          <w:p>
            <w:pPr>
              <w:ind w:left="20"/>
              <w:spacing w:after="0"/>
              <w:rPr>
                <w:sz w:val="20"/>
                <w:szCs w:val="20"/>
                <w:color w:val="auto"/>
              </w:rPr>
            </w:pPr>
            <w:r>
              <w:rPr>
                <w:rFonts w:ascii="Arial" w:cs="Arial" w:eastAsia="Arial" w:hAnsi="Arial"/>
                <w:sz w:val="14"/>
                <w:szCs w:val="14"/>
                <w:color w:val="auto"/>
              </w:rPr>
              <w:t>Add:</w:t>
            </w: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81"/>
        </w:trPr>
        <w:tc>
          <w:tcPr>
            <w:tcW w:w="85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Interest expense, net</w:t>
            </w: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139,736</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118,813</w:t>
            </w:r>
          </w:p>
        </w:tc>
      </w:tr>
      <w:tr>
        <w:trPr>
          <w:trHeight w:val="180"/>
        </w:trPr>
        <w:tc>
          <w:tcPr>
            <w:tcW w:w="8560" w:type="dxa"/>
            <w:vAlign w:val="bottom"/>
          </w:tcPr>
          <w:p>
            <w:pPr>
              <w:ind w:left="140"/>
              <w:spacing w:after="0"/>
              <w:rPr>
                <w:sz w:val="20"/>
                <w:szCs w:val="20"/>
                <w:color w:val="auto"/>
              </w:rPr>
            </w:pPr>
            <w:r>
              <w:rPr>
                <w:rFonts w:ascii="Arial" w:cs="Arial" w:eastAsia="Arial" w:hAnsi="Arial"/>
                <w:sz w:val="14"/>
                <w:szCs w:val="14"/>
                <w:color w:val="auto"/>
              </w:rPr>
              <w:t>Income tax expense</w:t>
            </w:r>
          </w:p>
        </w:tc>
        <w:tc>
          <w:tcPr>
            <w:tcW w:w="1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61,122</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66,755</w:t>
            </w:r>
          </w:p>
        </w:tc>
      </w:tr>
      <w:tr>
        <w:trPr>
          <w:trHeight w:val="181"/>
        </w:trPr>
        <w:tc>
          <w:tcPr>
            <w:tcW w:w="85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Depreciation and amortization</w:t>
            </w:r>
          </w:p>
        </w:tc>
        <w:tc>
          <w:tcPr>
            <w:tcW w:w="14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380,824</w:t>
            </w: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337,104</w:t>
            </w:r>
          </w:p>
        </w:tc>
      </w:tr>
      <w:tr>
        <w:trPr>
          <w:trHeight w:val="171"/>
        </w:trPr>
        <w:tc>
          <w:tcPr>
            <w:tcW w:w="8560" w:type="dxa"/>
            <w:vAlign w:val="bottom"/>
          </w:tcPr>
          <w:p>
            <w:pPr>
              <w:ind w:left="20"/>
              <w:spacing w:after="0"/>
              <w:rPr>
                <w:sz w:val="20"/>
                <w:szCs w:val="20"/>
                <w:color w:val="auto"/>
              </w:rPr>
            </w:pPr>
            <w:r>
              <w:rPr>
                <w:rFonts w:ascii="Arial" w:cs="Arial" w:eastAsia="Arial" w:hAnsi="Arial"/>
                <w:sz w:val="14"/>
                <w:szCs w:val="14"/>
                <w:color w:val="auto"/>
              </w:rPr>
              <w:t>EBITDA</w:t>
            </w:r>
          </w:p>
        </w:tc>
        <w:tc>
          <w:tcPr>
            <w:tcW w:w="1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612,950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617,742</w:t>
            </w:r>
          </w:p>
        </w:tc>
      </w:tr>
      <w:tr>
        <w:trPr>
          <w:trHeight w:val="181"/>
        </w:trPr>
        <w:tc>
          <w:tcPr>
            <w:tcW w:w="8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w:t>
            </w: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180"/>
        </w:trPr>
        <w:tc>
          <w:tcPr>
            <w:tcW w:w="8560" w:type="dxa"/>
            <w:vAlign w:val="bottom"/>
          </w:tcPr>
          <w:p>
            <w:pPr>
              <w:ind w:left="140"/>
              <w:spacing w:after="0"/>
              <w:rPr>
                <w:sz w:val="20"/>
                <w:szCs w:val="20"/>
                <w:color w:val="auto"/>
              </w:rPr>
            </w:pPr>
            <w:r>
              <w:rPr>
                <w:rFonts w:ascii="Arial" w:cs="Arial" w:eastAsia="Arial" w:hAnsi="Arial"/>
                <w:sz w:val="14"/>
                <w:szCs w:val="14"/>
                <w:color w:val="auto"/>
              </w:rPr>
              <w:t>Foreign currency transaction loss (gain)</w:t>
            </w:r>
          </w:p>
        </w:tc>
        <w:tc>
          <w:tcPr>
            <w:tcW w:w="1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(9,382)</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760</w:t>
            </w:r>
          </w:p>
        </w:tc>
      </w:tr>
      <w:tr>
        <w:trPr>
          <w:trHeight w:val="181"/>
        </w:trPr>
        <w:tc>
          <w:tcPr>
            <w:tcW w:w="85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Transaction costs related to acquisitions</w:t>
            </w: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18,858</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w:t>
            </w:r>
          </w:p>
        </w:tc>
      </w:tr>
      <w:tr>
        <w:trPr>
          <w:trHeight w:val="180"/>
        </w:trPr>
        <w:tc>
          <w:tcPr>
            <w:tcW w:w="8560" w:type="dxa"/>
            <w:vAlign w:val="bottom"/>
          </w:tcPr>
          <w:p>
            <w:pPr>
              <w:ind w:left="140"/>
              <w:spacing w:after="0"/>
              <w:rPr>
                <w:sz w:val="20"/>
                <w:szCs w:val="20"/>
                <w:color w:val="auto"/>
              </w:rPr>
            </w:pPr>
            <w:r>
              <w:rPr>
                <w:rFonts w:ascii="Arial" w:cs="Arial" w:eastAsia="Arial" w:hAnsi="Arial"/>
                <w:sz w:val="14"/>
                <w:szCs w:val="14"/>
                <w:color w:val="auto"/>
              </w:rPr>
              <w:t>Expenses related to the DOJ agreement and litigation settlements</w:t>
            </w:r>
          </w:p>
        </w:tc>
        <w:tc>
          <w:tcPr>
            <w:tcW w:w="1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656,225</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185,524</w:t>
            </w:r>
          </w:p>
        </w:tc>
      </w:tr>
      <w:tr>
        <w:trPr>
          <w:trHeight w:val="181"/>
        </w:trPr>
        <w:tc>
          <w:tcPr>
            <w:tcW w:w="85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Restructuring activities loss</w:t>
            </w: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5,802</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w:t>
            </w:r>
          </w:p>
        </w:tc>
      </w:tr>
      <w:tr>
        <w:trPr>
          <w:trHeight w:val="180"/>
        </w:trPr>
        <w:tc>
          <w:tcPr>
            <w:tcW w:w="8560" w:type="dxa"/>
            <w:vAlign w:val="bottom"/>
          </w:tcPr>
          <w:p>
            <w:pPr>
              <w:ind w:left="140"/>
              <w:spacing w:after="0"/>
              <w:rPr>
                <w:sz w:val="20"/>
                <w:szCs w:val="20"/>
                <w:color w:val="auto"/>
              </w:rPr>
            </w:pPr>
            <w:r>
              <w:rPr>
                <w:rFonts w:ascii="Arial" w:cs="Arial" w:eastAsia="Arial" w:hAnsi="Arial"/>
                <w:sz w:val="14"/>
                <w:szCs w:val="14"/>
                <w:color w:val="auto"/>
              </w:rPr>
              <w:t>Hometown Strong commitment expenses</w:t>
            </w:r>
          </w:p>
        </w:tc>
        <w:tc>
          <w:tcPr>
            <w:tcW w:w="1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1,000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15,000</w:t>
            </w:r>
          </w:p>
        </w:tc>
      </w:tr>
      <w:tr>
        <w:trPr>
          <w:trHeight w:val="181"/>
        </w:trPr>
        <w:tc>
          <w:tcPr>
            <w:tcW w:w="85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Consumption of Pilgrim's Food Masters inventory fair value step-up increment</w:t>
            </w: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4,974</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8560" w:type="dxa"/>
            <w:vAlign w:val="bottom"/>
          </w:tcPr>
          <w:p>
            <w:pPr>
              <w:ind w:left="20"/>
              <w:spacing w:after="0"/>
              <w:rPr>
                <w:sz w:val="20"/>
                <w:szCs w:val="20"/>
                <w:color w:val="auto"/>
              </w:rPr>
            </w:pPr>
            <w:r>
              <w:rPr>
                <w:rFonts w:ascii="Arial" w:cs="Arial" w:eastAsia="Arial" w:hAnsi="Arial"/>
                <w:sz w:val="14"/>
                <w:szCs w:val="14"/>
                <w:color w:val="auto"/>
              </w:rPr>
              <w:t>Minus:</w:t>
            </w: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81"/>
        </w:trPr>
        <w:tc>
          <w:tcPr>
            <w:tcW w:w="85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Negative adjustment to the gain recognized on the bargain purchase of PPL</w:t>
            </w:r>
          </w:p>
        </w:tc>
        <w:tc>
          <w:tcPr>
            <w:tcW w:w="14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(3,746)</w:t>
            </w:r>
          </w:p>
        </w:tc>
      </w:tr>
      <w:tr>
        <w:trPr>
          <w:trHeight w:val="180"/>
        </w:trPr>
        <w:tc>
          <w:tcPr>
            <w:tcW w:w="8560" w:type="dxa"/>
            <w:vAlign w:val="bottom"/>
          </w:tcPr>
          <w:p>
            <w:pPr>
              <w:ind w:left="140"/>
              <w:spacing w:after="0"/>
              <w:rPr>
                <w:sz w:val="20"/>
                <w:szCs w:val="20"/>
                <w:color w:val="auto"/>
              </w:rPr>
            </w:pPr>
            <w:r>
              <w:rPr>
                <w:rFonts w:ascii="Arial" w:cs="Arial" w:eastAsia="Arial" w:hAnsi="Arial"/>
                <w:sz w:val="14"/>
                <w:szCs w:val="14"/>
                <w:color w:val="auto"/>
              </w:rPr>
              <w:t>Income recognized from shareholder litigation settlement with JBS</w:t>
            </w:r>
          </w:p>
        </w:tc>
        <w:tc>
          <w:tcPr>
            <w:tcW w:w="140" w:type="dxa"/>
            <w:vAlign w:val="bottom"/>
          </w:tcPr>
          <w:p>
            <w:pPr>
              <w:spacing w:after="0"/>
              <w:rPr>
                <w:sz w:val="15"/>
                <w:szCs w:val="15"/>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34,643</w:t>
            </w:r>
          </w:p>
        </w:tc>
      </w:tr>
      <w:tr>
        <w:trPr>
          <w:trHeight w:val="181"/>
        </w:trPr>
        <w:tc>
          <w:tcPr>
            <w:tcW w:w="85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Gain recognized on deconsolidation of subsidiary</w:t>
            </w: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1,131</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856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Net income attributable to noncontrolling interest</w:t>
            </w:r>
          </w:p>
        </w:tc>
        <w:tc>
          <w:tcPr>
            <w:tcW w:w="1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268</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313</w:t>
            </w:r>
          </w:p>
        </w:tc>
      </w:tr>
      <w:tr>
        <w:trPr>
          <w:trHeight w:val="196"/>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EBITDA</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1,289,028</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788,073</w:t>
            </w: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161"/>
        </w:trPr>
        <w:tc>
          <w:tcPr>
            <w:tcW w:w="7860" w:type="dxa"/>
            <w:vAlign w:val="bottom"/>
            <w:gridSpan w:val="2"/>
          </w:tcPr>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tc>
        <w:tc>
          <w:tcPr>
            <w:tcW w:w="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6"/>
        </w:trPr>
        <w:tc>
          <w:tcPr>
            <w:tcW w:w="1140" w:type="dxa"/>
            <w:vAlign w:val="bottom"/>
            <w:tcBorders>
              <w:top w:val="single" w:sz="8" w:color="0000FF"/>
            </w:tcBorders>
          </w:tcPr>
          <w:p>
            <w:pPr>
              <w:spacing w:after="0"/>
              <w:rPr>
                <w:sz w:val="24"/>
                <w:szCs w:val="24"/>
                <w:color w:val="auto"/>
              </w:rPr>
            </w:pPr>
          </w:p>
        </w:tc>
        <w:tc>
          <w:tcPr>
            <w:tcW w:w="6720" w:type="dxa"/>
            <w:vAlign w:val="bottom"/>
          </w:tcPr>
          <w:p>
            <w:pPr>
              <w:jc w:val="center"/>
              <w:ind w:left="2229"/>
              <w:spacing w:after="0"/>
              <w:rPr>
                <w:sz w:val="20"/>
                <w:szCs w:val="20"/>
                <w:color w:val="auto"/>
              </w:rPr>
            </w:pPr>
            <w:r>
              <w:rPr>
                <w:rFonts w:ascii="Arial" w:cs="Arial" w:eastAsia="Arial" w:hAnsi="Arial"/>
                <w:sz w:val="14"/>
                <w:szCs w:val="14"/>
                <w:b w:val="1"/>
                <w:bCs w:val="1"/>
                <w:color w:val="auto"/>
                <w:w w:val="91"/>
              </w:rPr>
              <w:t>Reconciliation of Adjusted Net Income</w:t>
            </w: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140" w:type="dxa"/>
            <w:vAlign w:val="bottom"/>
          </w:tcPr>
          <w:p>
            <w:pPr>
              <w:spacing w:after="0"/>
              <w:rPr>
                <w:sz w:val="16"/>
                <w:szCs w:val="16"/>
                <w:color w:val="auto"/>
              </w:rPr>
            </w:pPr>
          </w:p>
        </w:tc>
        <w:tc>
          <w:tcPr>
            <w:tcW w:w="6720" w:type="dxa"/>
            <w:vAlign w:val="bottom"/>
          </w:tcPr>
          <w:p>
            <w:pPr>
              <w:jc w:val="center"/>
              <w:ind w:left="2209"/>
              <w:spacing w:after="0"/>
              <w:rPr>
                <w:sz w:val="20"/>
                <w:szCs w:val="20"/>
                <w:color w:val="auto"/>
              </w:rPr>
            </w:pPr>
            <w:r>
              <w:rPr>
                <w:rFonts w:ascii="Arial" w:cs="Arial" w:eastAsia="Arial" w:hAnsi="Arial"/>
                <w:sz w:val="14"/>
                <w:szCs w:val="14"/>
                <w:b w:val="1"/>
                <w:bCs w:val="1"/>
                <w:color w:val="auto"/>
                <w:w w:val="92"/>
              </w:rPr>
              <w:t>(Unaudited)</w:t>
            </w:r>
          </w:p>
        </w:tc>
        <w:tc>
          <w:tcPr>
            <w:tcW w:w="2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0"/>
        </w:trPr>
        <w:tc>
          <w:tcPr>
            <w:tcW w:w="114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 Ended</w:t>
            </w: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1140" w:type="dxa"/>
            <w:vAlign w:val="bottom"/>
          </w:tcPr>
          <w:p>
            <w:pPr>
              <w:spacing w:after="0"/>
              <w:rPr>
                <w:sz w:val="11"/>
                <w:szCs w:val="11"/>
                <w:color w:val="auto"/>
              </w:rPr>
            </w:pPr>
          </w:p>
        </w:tc>
        <w:tc>
          <w:tcPr>
            <w:tcW w:w="6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20" w:type="dxa"/>
            <w:vAlign w:val="bottom"/>
            <w:gridSpan w:val="2"/>
          </w:tcPr>
          <w:p>
            <w:pPr>
              <w:ind w:left="180"/>
              <w:spacing w:after="0" w:line="129" w:lineRule="exact"/>
              <w:rPr>
                <w:sz w:val="20"/>
                <w:szCs w:val="20"/>
                <w:color w:val="auto"/>
              </w:rPr>
            </w:pPr>
            <w:r>
              <w:rPr>
                <w:rFonts w:ascii="Arial" w:cs="Arial" w:eastAsia="Arial" w:hAnsi="Arial"/>
                <w:sz w:val="14"/>
                <w:szCs w:val="14"/>
                <w:b w:val="1"/>
                <w:bCs w:val="1"/>
                <w:color w:val="auto"/>
              </w:rPr>
              <w:t>December 26,</w:t>
            </w:r>
          </w:p>
        </w:tc>
        <w:tc>
          <w:tcPr>
            <w:tcW w:w="360" w:type="dxa"/>
            <w:vAlign w:val="bottom"/>
          </w:tcPr>
          <w:p>
            <w:pPr>
              <w:spacing w:after="0"/>
              <w:rPr>
                <w:sz w:val="11"/>
                <w:szCs w:val="11"/>
                <w:color w:val="auto"/>
              </w:rPr>
            </w:pPr>
          </w:p>
        </w:tc>
        <w:tc>
          <w:tcPr>
            <w:tcW w:w="1300" w:type="dxa"/>
            <w:vAlign w:val="bottom"/>
          </w:tcPr>
          <w:p>
            <w:pPr>
              <w:jc w:val="right"/>
              <w:ind w:right="349"/>
              <w:spacing w:after="0" w:line="129" w:lineRule="exact"/>
              <w:rPr>
                <w:sz w:val="20"/>
                <w:szCs w:val="20"/>
                <w:color w:val="auto"/>
              </w:rPr>
            </w:pPr>
            <w:r>
              <w:rPr>
                <w:rFonts w:ascii="Arial" w:cs="Arial" w:eastAsia="Arial" w:hAnsi="Arial"/>
                <w:sz w:val="14"/>
                <w:szCs w:val="14"/>
                <w:b w:val="1"/>
                <w:bCs w:val="1"/>
                <w:color w:val="auto"/>
                <w:w w:val="94"/>
              </w:rPr>
              <w:t>December 27,</w:t>
            </w:r>
          </w:p>
        </w:tc>
        <w:tc>
          <w:tcPr>
            <w:tcW w:w="0" w:type="dxa"/>
            <w:vAlign w:val="bottom"/>
          </w:tcPr>
          <w:p>
            <w:pPr>
              <w:spacing w:after="0"/>
              <w:rPr>
                <w:sz w:val="1"/>
                <w:szCs w:val="1"/>
                <w:color w:val="auto"/>
              </w:rPr>
            </w:pPr>
          </w:p>
        </w:tc>
      </w:tr>
      <w:tr>
        <w:trPr>
          <w:trHeight w:val="180"/>
        </w:trPr>
        <w:tc>
          <w:tcPr>
            <w:tcW w:w="1140" w:type="dxa"/>
            <w:vAlign w:val="bottom"/>
          </w:tcPr>
          <w:p>
            <w:pPr>
              <w:spacing w:after="0"/>
              <w:rPr>
                <w:sz w:val="15"/>
                <w:szCs w:val="15"/>
                <w:color w:val="auto"/>
              </w:rPr>
            </w:pPr>
          </w:p>
        </w:tc>
        <w:tc>
          <w:tcPr>
            <w:tcW w:w="67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609"/>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09"/>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60"/>
        </w:trPr>
        <w:tc>
          <w:tcPr>
            <w:tcW w:w="1140" w:type="dxa"/>
            <w:vAlign w:val="bottom"/>
          </w:tcPr>
          <w:p>
            <w:pPr>
              <w:spacing w:after="0"/>
              <w:rPr>
                <w:sz w:val="13"/>
                <w:szCs w:val="13"/>
                <w:color w:val="auto"/>
              </w:rPr>
            </w:pPr>
          </w:p>
        </w:tc>
        <w:tc>
          <w:tcPr>
            <w:tcW w:w="6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20" w:type="dxa"/>
            <w:vAlign w:val="bottom"/>
            <w:gridSpan w:val="2"/>
          </w:tcPr>
          <w:p>
            <w:pPr>
              <w:ind w:left="300"/>
              <w:spacing w:after="0"/>
              <w:rPr>
                <w:sz w:val="20"/>
                <w:szCs w:val="20"/>
                <w:color w:val="auto"/>
              </w:rPr>
            </w:pPr>
            <w:r>
              <w:rPr>
                <w:rFonts w:ascii="Arial" w:cs="Arial" w:eastAsia="Arial" w:hAnsi="Arial"/>
                <w:sz w:val="14"/>
                <w:szCs w:val="14"/>
                <w:b w:val="1"/>
                <w:bCs w:val="1"/>
                <w:color w:val="auto"/>
                <w:w w:val="83"/>
              </w:rPr>
              <w:t>(In thousands, except</w:t>
            </w:r>
          </w:p>
        </w:tc>
        <w:tc>
          <w:tcPr>
            <w:tcW w:w="1660" w:type="dxa"/>
            <w:vAlign w:val="bottom"/>
            <w:gridSpan w:val="2"/>
          </w:tcPr>
          <w:p>
            <w:pPr>
              <w:jc w:val="right"/>
              <w:ind w:right="569"/>
              <w:spacing w:after="0"/>
              <w:rPr>
                <w:sz w:val="20"/>
                <w:szCs w:val="20"/>
                <w:color w:val="auto"/>
              </w:rPr>
            </w:pPr>
            <w:r>
              <w:rPr>
                <w:rFonts w:ascii="Arial" w:cs="Arial" w:eastAsia="Arial" w:hAnsi="Arial"/>
                <w:sz w:val="14"/>
                <w:szCs w:val="14"/>
                <w:b w:val="1"/>
                <w:bCs w:val="1"/>
                <w:color w:val="auto"/>
                <w:w w:val="99"/>
              </w:rPr>
              <w:t>per share data)</w:t>
            </w:r>
          </w:p>
        </w:tc>
        <w:tc>
          <w:tcPr>
            <w:tcW w:w="0" w:type="dxa"/>
            <w:vAlign w:val="bottom"/>
          </w:tcPr>
          <w:p>
            <w:pPr>
              <w:spacing w:after="0"/>
              <w:rPr>
                <w:sz w:val="1"/>
                <w:szCs w:val="1"/>
                <w:color w:val="auto"/>
              </w:rPr>
            </w:pPr>
          </w:p>
        </w:tc>
      </w:tr>
      <w:tr>
        <w:trPr>
          <w:trHeight w:val="180"/>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Net income attributable to Pilgrim's</w:t>
            </w:r>
          </w:p>
        </w:tc>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31,000</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94,757</w:t>
            </w:r>
          </w:p>
        </w:tc>
        <w:tc>
          <w:tcPr>
            <w:tcW w:w="0" w:type="dxa"/>
            <w:vAlign w:val="bottom"/>
          </w:tcPr>
          <w:p>
            <w:pPr>
              <w:spacing w:after="0"/>
              <w:rPr>
                <w:sz w:val="1"/>
                <w:szCs w:val="1"/>
                <w:color w:val="auto"/>
              </w:rPr>
            </w:pPr>
          </w:p>
        </w:tc>
      </w:tr>
      <w:tr>
        <w:trPr>
          <w:trHeight w:val="180"/>
        </w:trPr>
        <w:tc>
          <w:tcPr>
            <w:tcW w:w="7860" w:type="dxa"/>
            <w:vAlign w:val="bottom"/>
            <w:gridSpan w:val="2"/>
          </w:tcPr>
          <w:p>
            <w:pPr>
              <w:ind w:left="20"/>
              <w:spacing w:after="0"/>
              <w:rPr>
                <w:sz w:val="20"/>
                <w:szCs w:val="20"/>
                <w:color w:val="auto"/>
              </w:rPr>
            </w:pPr>
            <w:r>
              <w:rPr>
                <w:rFonts w:ascii="Arial" w:cs="Arial" w:eastAsia="Arial" w:hAnsi="Arial"/>
                <w:sz w:val="14"/>
                <w:szCs w:val="14"/>
                <w:color w:val="auto"/>
              </w:rPr>
              <w:t>Adjustments:</w:t>
            </w:r>
          </w:p>
        </w:tc>
        <w:tc>
          <w:tcPr>
            <w:tcW w:w="2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8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Foreign currency transaction loss (gain)</w:t>
            </w:r>
          </w:p>
        </w:tc>
        <w:tc>
          <w:tcPr>
            <w:tcW w:w="24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(9,382)</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760</w:t>
            </w:r>
          </w:p>
        </w:tc>
        <w:tc>
          <w:tcPr>
            <w:tcW w:w="0" w:type="dxa"/>
            <w:vAlign w:val="bottom"/>
          </w:tcPr>
          <w:p>
            <w:pPr>
              <w:spacing w:after="0"/>
              <w:rPr>
                <w:sz w:val="1"/>
                <w:szCs w:val="1"/>
                <w:color w:val="auto"/>
              </w:rPr>
            </w:pPr>
          </w:p>
        </w:tc>
      </w:tr>
      <w:tr>
        <w:trPr>
          <w:trHeight w:val="180"/>
        </w:trPr>
        <w:tc>
          <w:tcPr>
            <w:tcW w:w="7860" w:type="dxa"/>
            <w:vAlign w:val="bottom"/>
            <w:gridSpan w:val="2"/>
          </w:tcPr>
          <w:p>
            <w:pPr>
              <w:ind w:left="100"/>
              <w:spacing w:after="0"/>
              <w:rPr>
                <w:sz w:val="20"/>
                <w:szCs w:val="20"/>
                <w:color w:val="auto"/>
              </w:rPr>
            </w:pPr>
            <w:r>
              <w:rPr>
                <w:rFonts w:ascii="Arial" w:cs="Arial" w:eastAsia="Arial" w:hAnsi="Arial"/>
                <w:sz w:val="14"/>
                <w:szCs w:val="14"/>
                <w:color w:val="auto"/>
              </w:rPr>
              <w:t>Restructuring activities loss</w:t>
            </w:r>
          </w:p>
        </w:tc>
        <w:tc>
          <w:tcPr>
            <w:tcW w:w="2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5,802</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123</w:t>
            </w:r>
          </w:p>
        </w:tc>
        <w:tc>
          <w:tcPr>
            <w:tcW w:w="0" w:type="dxa"/>
            <w:vAlign w:val="bottom"/>
          </w:tcPr>
          <w:p>
            <w:pPr>
              <w:spacing w:after="0"/>
              <w:rPr>
                <w:sz w:val="1"/>
                <w:szCs w:val="1"/>
                <w:color w:val="auto"/>
              </w:rPr>
            </w:pPr>
          </w:p>
        </w:tc>
      </w:tr>
      <w:tr>
        <w:trPr>
          <w:trHeight w:val="181"/>
        </w:trPr>
        <w:tc>
          <w:tcPr>
            <w:tcW w:w="78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Transaction costs related to acquisitions</w:t>
            </w:r>
          </w:p>
        </w:tc>
        <w:tc>
          <w:tcPr>
            <w:tcW w:w="24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18,858</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w:t>
            </w:r>
          </w:p>
        </w:tc>
        <w:tc>
          <w:tcPr>
            <w:tcW w:w="0" w:type="dxa"/>
            <w:vAlign w:val="bottom"/>
          </w:tcPr>
          <w:p>
            <w:pPr>
              <w:spacing w:after="0"/>
              <w:rPr>
                <w:sz w:val="1"/>
                <w:szCs w:val="1"/>
                <w:color w:val="auto"/>
              </w:rPr>
            </w:pPr>
          </w:p>
        </w:tc>
      </w:tr>
      <w:tr>
        <w:trPr>
          <w:trHeight w:val="180"/>
        </w:trPr>
        <w:tc>
          <w:tcPr>
            <w:tcW w:w="7860" w:type="dxa"/>
            <w:vAlign w:val="bottom"/>
            <w:gridSpan w:val="2"/>
          </w:tcPr>
          <w:p>
            <w:pPr>
              <w:ind w:left="100"/>
              <w:spacing w:after="0"/>
              <w:rPr>
                <w:sz w:val="20"/>
                <w:szCs w:val="20"/>
                <w:color w:val="auto"/>
              </w:rPr>
            </w:pPr>
            <w:r>
              <w:rPr>
                <w:rFonts w:ascii="Arial" w:cs="Arial" w:eastAsia="Arial" w:hAnsi="Arial"/>
                <w:sz w:val="14"/>
                <w:szCs w:val="14"/>
                <w:color w:val="auto"/>
              </w:rPr>
              <w:t>Expenses related to DOJ agreement and litigation settlements</w:t>
            </w:r>
          </w:p>
        </w:tc>
        <w:tc>
          <w:tcPr>
            <w:tcW w:w="2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656,225</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185,524</w:t>
            </w:r>
          </w:p>
        </w:tc>
        <w:tc>
          <w:tcPr>
            <w:tcW w:w="0" w:type="dxa"/>
            <w:vAlign w:val="bottom"/>
          </w:tcPr>
          <w:p>
            <w:pPr>
              <w:spacing w:after="0"/>
              <w:rPr>
                <w:sz w:val="1"/>
                <w:szCs w:val="1"/>
                <w:color w:val="auto"/>
              </w:rPr>
            </w:pPr>
          </w:p>
        </w:tc>
      </w:tr>
      <w:tr>
        <w:trPr>
          <w:trHeight w:val="181"/>
        </w:trPr>
        <w:tc>
          <w:tcPr>
            <w:tcW w:w="78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Hometown Strong commitment expenses</w:t>
            </w:r>
          </w:p>
        </w:tc>
        <w:tc>
          <w:tcPr>
            <w:tcW w:w="24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15,000</w:t>
            </w:r>
          </w:p>
        </w:tc>
        <w:tc>
          <w:tcPr>
            <w:tcW w:w="0" w:type="dxa"/>
            <w:vAlign w:val="bottom"/>
          </w:tcPr>
          <w:p>
            <w:pPr>
              <w:spacing w:after="0"/>
              <w:rPr>
                <w:sz w:val="1"/>
                <w:szCs w:val="1"/>
                <w:color w:val="auto"/>
              </w:rPr>
            </w:pPr>
          </w:p>
        </w:tc>
      </w:tr>
      <w:tr>
        <w:trPr>
          <w:trHeight w:val="180"/>
        </w:trPr>
        <w:tc>
          <w:tcPr>
            <w:tcW w:w="7860" w:type="dxa"/>
            <w:vAlign w:val="bottom"/>
            <w:gridSpan w:val="2"/>
          </w:tcPr>
          <w:p>
            <w:pPr>
              <w:ind w:left="100"/>
              <w:spacing w:after="0"/>
              <w:rPr>
                <w:sz w:val="20"/>
                <w:szCs w:val="20"/>
                <w:color w:val="auto"/>
              </w:rPr>
            </w:pPr>
            <w:r>
              <w:rPr>
                <w:rFonts w:ascii="Arial" w:cs="Arial" w:eastAsia="Arial" w:hAnsi="Arial"/>
                <w:sz w:val="14"/>
                <w:szCs w:val="14"/>
                <w:color w:val="auto"/>
              </w:rPr>
              <w:t>Consumption of Pilgrim's Food Masters inventory fair value step-up increment</w:t>
            </w:r>
          </w:p>
        </w:tc>
        <w:tc>
          <w:tcPr>
            <w:tcW w:w="2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4,974</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78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Loss on early extinguishment of debt recognized as a component of interest expense</w:t>
            </w:r>
          </w:p>
        </w:tc>
        <w:tc>
          <w:tcPr>
            <w:tcW w:w="24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24,654</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7860" w:type="dxa"/>
            <w:vAlign w:val="bottom"/>
            <w:gridSpan w:val="2"/>
          </w:tcPr>
          <w:p>
            <w:pPr>
              <w:ind w:left="100"/>
              <w:spacing w:after="0"/>
              <w:rPr>
                <w:sz w:val="20"/>
                <w:szCs w:val="20"/>
                <w:color w:val="auto"/>
              </w:rPr>
            </w:pPr>
            <w:r>
              <w:rPr>
                <w:rFonts w:ascii="Arial" w:cs="Arial" w:eastAsia="Arial" w:hAnsi="Arial"/>
                <w:sz w:val="14"/>
                <w:szCs w:val="14"/>
                <w:color w:val="auto"/>
              </w:rPr>
              <w:t>Negative adjustment to the gain recognized on the bargain purchase of PPL</w:t>
            </w:r>
          </w:p>
        </w:tc>
        <w:tc>
          <w:tcPr>
            <w:tcW w:w="240" w:type="dxa"/>
            <w:vAlign w:val="bottom"/>
          </w:tcPr>
          <w:p>
            <w:pPr>
              <w:spacing w:after="0"/>
              <w:rPr>
                <w:sz w:val="15"/>
                <w:szCs w:val="15"/>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3,746</w:t>
            </w:r>
          </w:p>
        </w:tc>
        <w:tc>
          <w:tcPr>
            <w:tcW w:w="0" w:type="dxa"/>
            <w:vAlign w:val="bottom"/>
          </w:tcPr>
          <w:p>
            <w:pPr>
              <w:spacing w:after="0"/>
              <w:rPr>
                <w:sz w:val="1"/>
                <w:szCs w:val="1"/>
                <w:color w:val="auto"/>
              </w:rPr>
            </w:pPr>
          </w:p>
        </w:tc>
      </w:tr>
      <w:tr>
        <w:trPr>
          <w:trHeight w:val="181"/>
        </w:trPr>
        <w:tc>
          <w:tcPr>
            <w:tcW w:w="78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Income recognized from shareholder litigation settlement with JBS</w:t>
            </w:r>
          </w:p>
        </w:tc>
        <w:tc>
          <w:tcPr>
            <w:tcW w:w="240" w:type="dxa"/>
            <w:vAlign w:val="bottom"/>
            <w:shd w:val="clear" w:color="auto" w:fill="CCEEFF"/>
          </w:tcPr>
          <w:p>
            <w:pPr>
              <w:spacing w:after="0"/>
              <w:rPr>
                <w:sz w:val="15"/>
                <w:szCs w:val="15"/>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(34,643)</w:t>
            </w:r>
          </w:p>
        </w:tc>
        <w:tc>
          <w:tcPr>
            <w:tcW w:w="0" w:type="dxa"/>
            <w:vAlign w:val="bottom"/>
          </w:tcPr>
          <w:p>
            <w:pPr>
              <w:spacing w:after="0"/>
              <w:rPr>
                <w:sz w:val="1"/>
                <w:szCs w:val="1"/>
                <w:color w:val="auto"/>
              </w:rPr>
            </w:pPr>
          </w:p>
        </w:tc>
      </w:tr>
      <w:tr>
        <w:trPr>
          <w:trHeight w:val="180"/>
        </w:trPr>
        <w:tc>
          <w:tcPr>
            <w:tcW w:w="7860" w:type="dxa"/>
            <w:vAlign w:val="bottom"/>
            <w:gridSpan w:val="2"/>
          </w:tcPr>
          <w:p>
            <w:pPr>
              <w:ind w:left="100"/>
              <w:spacing w:after="0"/>
              <w:rPr>
                <w:sz w:val="20"/>
                <w:szCs w:val="20"/>
                <w:color w:val="auto"/>
              </w:rPr>
            </w:pPr>
            <w:r>
              <w:rPr>
                <w:rFonts w:ascii="Arial" w:cs="Arial" w:eastAsia="Arial" w:hAnsi="Arial"/>
                <w:sz w:val="14"/>
                <w:szCs w:val="14"/>
                <w:color w:val="auto"/>
              </w:rPr>
              <w:t>Gain recognized on deconsolidation of subsidiary</w:t>
            </w:r>
          </w:p>
        </w:tc>
        <w:tc>
          <w:tcPr>
            <w:tcW w:w="2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(1,131)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7860" w:type="dxa"/>
            <w:vAlign w:val="bottom"/>
            <w:gridSpan w:val="2"/>
            <w:shd w:val="clear" w:color="auto" w:fill="CCEEFF"/>
          </w:tcPr>
          <w:p>
            <w:pPr>
              <w:ind w:left="100"/>
              <w:spacing w:after="0" w:line="181" w:lineRule="exact"/>
              <w:rPr>
                <w:sz w:val="20"/>
                <w:szCs w:val="20"/>
                <w:color w:val="auto"/>
              </w:rPr>
            </w:pPr>
            <w:r>
              <w:rPr>
                <w:rFonts w:ascii="Arial" w:cs="Arial" w:eastAsia="Arial" w:hAnsi="Arial"/>
                <w:sz w:val="14"/>
                <w:szCs w:val="14"/>
                <w:color w:val="auto"/>
              </w:rPr>
              <w:t>Net tax impact of adjustments</w:t>
            </w:r>
            <w:r>
              <w:rPr>
                <w:rFonts w:ascii="Arial" w:cs="Arial" w:eastAsia="Arial" w:hAnsi="Arial"/>
                <w:sz w:val="18"/>
                <w:szCs w:val="18"/>
                <w:color w:val="auto"/>
                <w:vertAlign w:val="superscript"/>
              </w:rPr>
              <w:t>(a)</w:t>
            </w:r>
          </w:p>
        </w:tc>
        <w:tc>
          <w:tcPr>
            <w:tcW w:w="24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(174,619)</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(14,976)</w:t>
            </w:r>
          </w:p>
        </w:tc>
        <w:tc>
          <w:tcPr>
            <w:tcW w:w="0" w:type="dxa"/>
            <w:vAlign w:val="bottom"/>
          </w:tcPr>
          <w:p>
            <w:pPr>
              <w:spacing w:after="0"/>
              <w:rPr>
                <w:sz w:val="1"/>
                <w:szCs w:val="1"/>
                <w:color w:val="auto"/>
              </w:rPr>
            </w:pPr>
          </w:p>
        </w:tc>
      </w:tr>
      <w:tr>
        <w:trPr>
          <w:trHeight w:val="171"/>
        </w:trPr>
        <w:tc>
          <w:tcPr>
            <w:tcW w:w="7860" w:type="dxa"/>
            <w:vAlign w:val="bottom"/>
            <w:gridSpan w:val="2"/>
          </w:tcPr>
          <w:p>
            <w:pPr>
              <w:ind w:left="20"/>
              <w:spacing w:after="0"/>
              <w:rPr>
                <w:sz w:val="20"/>
                <w:szCs w:val="20"/>
                <w:color w:val="auto"/>
              </w:rPr>
            </w:pPr>
            <w:r>
              <w:rPr>
                <w:rFonts w:ascii="Arial" w:cs="Arial" w:eastAsia="Arial" w:hAnsi="Arial"/>
                <w:sz w:val="14"/>
                <w:szCs w:val="14"/>
                <w:color w:val="auto"/>
              </w:rPr>
              <w:t>Adjusted net income attributable to Pilgrim's</w:t>
            </w:r>
          </w:p>
        </w:tc>
        <w:tc>
          <w:tcPr>
            <w:tcW w:w="240" w:type="dxa"/>
            <w:vAlign w:val="bottom"/>
          </w:tcPr>
          <w:p>
            <w:pPr>
              <w:jc w:val="right"/>
              <w:ind w:right="89"/>
              <w:spacing w:after="0"/>
              <w:rPr>
                <w:sz w:val="20"/>
                <w:szCs w:val="20"/>
                <w:color w:val="auto"/>
              </w:rPr>
            </w:pPr>
            <w:r>
              <w:rPr>
                <w:rFonts w:ascii="Arial" w:cs="Arial" w:eastAsia="Arial" w:hAnsi="Arial"/>
                <w:sz w:val="14"/>
                <w:szCs w:val="14"/>
                <w:color w:val="auto"/>
                <w:w w:val="76"/>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557,381</w:t>
            </w:r>
          </w:p>
        </w:tc>
        <w:tc>
          <w:tcPr>
            <w:tcW w:w="100" w:type="dxa"/>
            <w:vAlign w:val="bottom"/>
          </w:tcPr>
          <w:p>
            <w:pPr>
              <w:spacing w:after="0"/>
              <w:rPr>
                <w:sz w:val="14"/>
                <w:szCs w:val="14"/>
                <w:color w:val="auto"/>
              </w:rPr>
            </w:pPr>
          </w:p>
        </w:tc>
        <w:tc>
          <w:tcPr>
            <w:tcW w:w="360" w:type="dxa"/>
            <w:vAlign w:val="bottom"/>
          </w:tcPr>
          <w:p>
            <w:pPr>
              <w:jc w:val="right"/>
              <w:ind w:right="209"/>
              <w:spacing w:after="0"/>
              <w:rPr>
                <w:sz w:val="20"/>
                <w:szCs w:val="20"/>
                <w:color w:val="auto"/>
              </w:rPr>
            </w:pPr>
            <w:r>
              <w:rPr>
                <w:rFonts w:ascii="Arial" w:cs="Arial" w:eastAsia="Arial" w:hAnsi="Arial"/>
                <w:sz w:val="14"/>
                <w:szCs w:val="14"/>
                <w:color w:val="auto"/>
                <w:w w:val="76"/>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250,425</w:t>
            </w:r>
          </w:p>
        </w:tc>
        <w:tc>
          <w:tcPr>
            <w:tcW w:w="0" w:type="dxa"/>
            <w:vAlign w:val="bottom"/>
          </w:tcPr>
          <w:p>
            <w:pPr>
              <w:spacing w:after="0"/>
              <w:rPr>
                <w:sz w:val="1"/>
                <w:szCs w:val="1"/>
                <w:color w:val="auto"/>
              </w:rPr>
            </w:pPr>
          </w:p>
        </w:tc>
      </w:tr>
      <w:tr>
        <w:trPr>
          <w:trHeight w:val="138"/>
        </w:trPr>
        <w:tc>
          <w:tcPr>
            <w:tcW w:w="7860" w:type="dxa"/>
            <w:vAlign w:val="bottom"/>
            <w:gridSpan w:val="2"/>
            <w:shd w:val="clear" w:color="auto" w:fill="CCEEFF"/>
          </w:tcPr>
          <w:p>
            <w:pPr>
              <w:ind w:left="20"/>
              <w:spacing w:after="0" w:line="138" w:lineRule="exact"/>
              <w:rPr>
                <w:sz w:val="20"/>
                <w:szCs w:val="20"/>
                <w:color w:val="auto"/>
              </w:rPr>
            </w:pPr>
            <w:r>
              <w:rPr>
                <w:rFonts w:ascii="Arial" w:cs="Arial" w:eastAsia="Arial" w:hAnsi="Arial"/>
                <w:sz w:val="14"/>
                <w:szCs w:val="14"/>
                <w:color w:val="auto"/>
              </w:rPr>
              <w:t>Weighted average diluted shares of common stock</w:t>
            </w:r>
          </w:p>
        </w:tc>
        <w:tc>
          <w:tcPr>
            <w:tcW w:w="240" w:type="dxa"/>
            <w:vAlign w:val="bottom"/>
            <w:shd w:val="clear" w:color="auto" w:fill="CCEEFF"/>
          </w:tcPr>
          <w:p>
            <w:pPr>
              <w:spacing w:after="0"/>
              <w:rPr>
                <w:sz w:val="12"/>
                <w:szCs w:val="12"/>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244,129</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246,124</w:t>
            </w:r>
          </w:p>
        </w:tc>
        <w:tc>
          <w:tcPr>
            <w:tcW w:w="0" w:type="dxa"/>
            <w:vAlign w:val="bottom"/>
          </w:tcPr>
          <w:p>
            <w:pPr>
              <w:spacing w:after="0"/>
              <w:rPr>
                <w:sz w:val="1"/>
                <w:szCs w:val="1"/>
                <w:color w:val="auto"/>
              </w:rPr>
            </w:pPr>
          </w:p>
        </w:tc>
      </w:tr>
      <w:tr>
        <w:trPr>
          <w:trHeight w:val="180"/>
        </w:trPr>
        <w:tc>
          <w:tcPr>
            <w:tcW w:w="78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outstanding</w:t>
            </w:r>
          </w:p>
        </w:tc>
        <w:tc>
          <w:tcPr>
            <w:tcW w:w="24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7860" w:type="dxa"/>
            <w:vAlign w:val="bottom"/>
            <w:gridSpan w:val="2"/>
          </w:tcPr>
          <w:p>
            <w:pPr>
              <w:ind w:left="20"/>
              <w:spacing w:after="0" w:line="118" w:lineRule="exact"/>
              <w:rPr>
                <w:sz w:val="20"/>
                <w:szCs w:val="20"/>
                <w:color w:val="auto"/>
              </w:rPr>
            </w:pPr>
            <w:r>
              <w:rPr>
                <w:rFonts w:ascii="Arial" w:cs="Arial" w:eastAsia="Arial" w:hAnsi="Arial"/>
                <w:sz w:val="13"/>
                <w:szCs w:val="13"/>
                <w:color w:val="auto"/>
              </w:rPr>
              <w:t>Adjusted net income attributable to Pilgrim's per</w:t>
            </w:r>
          </w:p>
        </w:tc>
        <w:tc>
          <w:tcPr>
            <w:tcW w:w="240" w:type="dxa"/>
            <w:vAlign w:val="bottom"/>
            <w:vMerge w:val="restart"/>
          </w:tcPr>
          <w:p>
            <w:pPr>
              <w:jc w:val="right"/>
              <w:ind w:right="89"/>
              <w:spacing w:after="0"/>
              <w:rPr>
                <w:sz w:val="20"/>
                <w:szCs w:val="20"/>
                <w:color w:val="auto"/>
              </w:rPr>
            </w:pPr>
            <w:r>
              <w:rPr>
                <w:rFonts w:ascii="Arial" w:cs="Arial" w:eastAsia="Arial" w:hAnsi="Arial"/>
                <w:sz w:val="14"/>
                <w:szCs w:val="14"/>
                <w:color w:val="auto"/>
                <w:w w:val="76"/>
              </w:rPr>
              <w:t>$</w:t>
            </w:r>
          </w:p>
        </w:tc>
        <w:tc>
          <w:tcPr>
            <w:tcW w:w="1420" w:type="dxa"/>
            <w:vAlign w:val="bottom"/>
            <w:vMerge w:val="restart"/>
          </w:tcPr>
          <w:p>
            <w:pPr>
              <w:jc w:val="right"/>
              <w:spacing w:after="0"/>
              <w:rPr>
                <w:sz w:val="20"/>
                <w:szCs w:val="20"/>
                <w:color w:val="auto"/>
              </w:rPr>
            </w:pPr>
            <w:r>
              <w:rPr>
                <w:rFonts w:ascii="Arial" w:cs="Arial" w:eastAsia="Arial" w:hAnsi="Arial"/>
                <w:sz w:val="14"/>
                <w:szCs w:val="14"/>
                <w:color w:val="auto"/>
              </w:rPr>
              <w:t>2.28</w:t>
            </w:r>
          </w:p>
        </w:tc>
        <w:tc>
          <w:tcPr>
            <w:tcW w:w="100" w:type="dxa"/>
            <w:vAlign w:val="bottom"/>
          </w:tcPr>
          <w:p>
            <w:pPr>
              <w:spacing w:after="0"/>
              <w:rPr>
                <w:sz w:val="10"/>
                <w:szCs w:val="10"/>
                <w:color w:val="auto"/>
              </w:rPr>
            </w:pPr>
          </w:p>
        </w:tc>
        <w:tc>
          <w:tcPr>
            <w:tcW w:w="360" w:type="dxa"/>
            <w:vAlign w:val="bottom"/>
            <w:vMerge w:val="restart"/>
          </w:tcPr>
          <w:p>
            <w:pPr>
              <w:jc w:val="right"/>
              <w:ind w:right="209"/>
              <w:spacing w:after="0"/>
              <w:rPr>
                <w:sz w:val="20"/>
                <w:szCs w:val="20"/>
                <w:color w:val="auto"/>
              </w:rPr>
            </w:pPr>
            <w:r>
              <w:rPr>
                <w:rFonts w:ascii="Arial" w:cs="Arial" w:eastAsia="Arial" w:hAnsi="Arial"/>
                <w:sz w:val="14"/>
                <w:szCs w:val="14"/>
                <w:color w:val="auto"/>
                <w:w w:val="76"/>
              </w:rPr>
              <w:t>$</w:t>
            </w:r>
          </w:p>
        </w:tc>
        <w:tc>
          <w:tcPr>
            <w:tcW w:w="1300" w:type="dxa"/>
            <w:vAlign w:val="bottom"/>
            <w:vMerge w:val="restart"/>
          </w:tcPr>
          <w:p>
            <w:pPr>
              <w:jc w:val="right"/>
              <w:spacing w:after="0"/>
              <w:rPr>
                <w:sz w:val="20"/>
                <w:szCs w:val="20"/>
                <w:color w:val="auto"/>
              </w:rPr>
            </w:pPr>
            <w:r>
              <w:rPr>
                <w:rFonts w:ascii="Arial" w:cs="Arial" w:eastAsia="Arial" w:hAnsi="Arial"/>
                <w:sz w:val="14"/>
                <w:szCs w:val="14"/>
                <w:color w:val="auto"/>
              </w:rPr>
              <w:t>1.02</w:t>
            </w:r>
          </w:p>
        </w:tc>
        <w:tc>
          <w:tcPr>
            <w:tcW w:w="0" w:type="dxa"/>
            <w:vAlign w:val="bottom"/>
          </w:tcPr>
          <w:p>
            <w:pPr>
              <w:spacing w:after="0"/>
              <w:rPr>
                <w:sz w:val="1"/>
                <w:szCs w:val="1"/>
                <w:color w:val="auto"/>
              </w:rPr>
            </w:pPr>
          </w:p>
        </w:tc>
      </w:tr>
      <w:tr>
        <w:trPr>
          <w:trHeight w:val="164"/>
        </w:trPr>
        <w:tc>
          <w:tcPr>
            <w:tcW w:w="786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common diluted share</w:t>
            </w:r>
          </w:p>
        </w:tc>
        <w:tc>
          <w:tcPr>
            <w:tcW w:w="240" w:type="dxa"/>
            <w:vAlign w:val="bottom"/>
            <w:tcBorders>
              <w:bottom w:val="single" w:sz="8" w:color="auto"/>
            </w:tcBorders>
            <w:vMerge w:val="continue"/>
          </w:tcPr>
          <w:p>
            <w:pPr>
              <w:spacing w:after="0"/>
              <w:rPr>
                <w:sz w:val="13"/>
                <w:szCs w:val="13"/>
                <w:color w:val="auto"/>
              </w:rPr>
            </w:pPr>
          </w:p>
        </w:tc>
        <w:tc>
          <w:tcPr>
            <w:tcW w:w="142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Borders>
              <w:bottom w:val="single" w:sz="8" w:color="auto"/>
            </w:tcBorders>
            <w:vMerge w:val="continue"/>
          </w:tcPr>
          <w:p>
            <w:pPr>
              <w:spacing w:after="0"/>
              <w:rPr>
                <w:sz w:val="13"/>
                <w:szCs w:val="13"/>
                <w:color w:val="auto"/>
              </w:rPr>
            </w:pPr>
          </w:p>
        </w:tc>
        <w:tc>
          <w:tcPr>
            <w:tcW w:w="130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17" w:lineRule="exact"/>
        <w:rPr>
          <w:sz w:val="20"/>
          <w:szCs w:val="20"/>
          <w:color w:val="auto"/>
        </w:rPr>
      </w:pPr>
    </w:p>
    <w:p>
      <w:pPr>
        <w:spacing w:after="0"/>
        <w:rPr>
          <w:sz w:val="20"/>
          <w:szCs w:val="20"/>
          <w:color w:val="auto"/>
        </w:rPr>
      </w:pPr>
      <w:r>
        <w:rPr>
          <w:rFonts w:ascii="Arial" w:cs="Arial" w:eastAsia="Arial" w:hAnsi="Arial"/>
          <w:sz w:val="11"/>
          <w:szCs w:val="11"/>
          <w:color w:val="auto"/>
        </w:rPr>
        <w:t>(a) Net tax impact of adjustments represents the tax impact of all adjustments shown above with the exclusion of the DOJ agreement as this item is non-deductible for tax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4988560</wp:posOffset>
            </wp:positionH>
            <wp:positionV relativeFrom="paragraph">
              <wp:posOffset>-76835</wp:posOffset>
            </wp:positionV>
            <wp:extent cx="2176145" cy="69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176145" cy="698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7A. Quantitative and Qualitative Disclosures about Market Risk</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Market Risk-Sensitive Instruments and Positions</w:t>
      </w:r>
    </w:p>
    <w:p>
      <w:pPr>
        <w:spacing w:after="0" w:line="140" w:lineRule="exact"/>
        <w:rPr>
          <w:sz w:val="20"/>
          <w:szCs w:val="20"/>
          <w:color w:val="auto"/>
        </w:rPr>
      </w:pPr>
    </w:p>
    <w:p>
      <w:pPr>
        <w:jc w:val="both"/>
        <w:ind w:firstLine="509"/>
        <w:spacing w:after="0" w:line="297" w:lineRule="auto"/>
        <w:rPr>
          <w:sz w:val="20"/>
          <w:szCs w:val="20"/>
          <w:color w:val="auto"/>
        </w:rPr>
      </w:pPr>
      <w:r>
        <w:rPr>
          <w:rFonts w:ascii="Arial" w:cs="Arial" w:eastAsia="Arial" w:hAnsi="Arial"/>
          <w:sz w:val="13"/>
          <w:szCs w:val="13"/>
          <w:color w:val="auto"/>
        </w:rPr>
        <w:t>The risk inherent in our market risk-sensitive instruments and positions is primarily the potential loss arising from adverse changes in commodity prices, foreign currency exchange rates, interest rates and the credit quality of available-for-sale securities as discussed below. The sensitivity analyses presented do not consider the effects that such adverse changes may have on overall economic activity, nor do they consider additional actions our management may take to mitigate our exposure to such changes. Actual results may differ from those described below.</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Commodity Prices</w:t>
      </w:r>
    </w:p>
    <w:p>
      <w:pPr>
        <w:spacing w:after="0" w:line="140"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color w:val="auto"/>
        </w:rPr>
        <w:t>We purchase certain commodities, primarily corn, soybean meal, soybean oil, and wheat, for use as ingredients in the feed we either sell commercially or consume in our live operations. As a result, our earnings are affected by changes in the price and availability of such feed ingredients. We have from time to time attempted to minimize our exposure to the changing price and availability of such feed ingredients using various techniques, including, but not limited to, (1) executing purchase agreements with suppliers for future physical delivery of feed ingredients at established prices and (2) purchasing or selling derivative financial instruments such as futures and options.</w:t>
      </w:r>
    </w:p>
    <w:p>
      <w:pPr>
        <w:spacing w:after="0" w:line="103" w:lineRule="exact"/>
        <w:rPr>
          <w:sz w:val="20"/>
          <w:szCs w:val="20"/>
          <w:color w:val="auto"/>
        </w:rPr>
      </w:pPr>
    </w:p>
    <w:p>
      <w:pPr>
        <w:jc w:val="both"/>
        <w:ind w:firstLine="509"/>
        <w:spacing w:after="0" w:line="281" w:lineRule="auto"/>
        <w:rPr>
          <w:sz w:val="20"/>
          <w:szCs w:val="20"/>
          <w:color w:val="auto"/>
        </w:rPr>
      </w:pPr>
      <w:r>
        <w:rPr>
          <w:rFonts w:ascii="Arial" w:cs="Arial" w:eastAsia="Arial" w:hAnsi="Arial"/>
          <w:sz w:val="14"/>
          <w:szCs w:val="14"/>
          <w:color w:val="auto"/>
        </w:rPr>
        <w:t>For this sensitivity analysis, market risk is estimated as a hypothetical 10% increase in the weighted-average cost of our primary feed ingredients as of the periods presented. The impact of this fluctuation, if realized, could be mitigated by related commodity hedging activity. However, fluctuations greater than 10% could occur.</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40" w:name="page41"/>
    <w:bookmarkEnd w:id="40"/>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-6985</wp:posOffset>
            </wp:positionV>
            <wp:extent cx="727075" cy="69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7075" cy="698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4580" w:type="dxa"/>
            <w:vAlign w:val="bottom"/>
          </w:tcPr>
          <w:p>
            <w:pPr>
              <w:spacing w:after="0"/>
              <w:rPr>
                <w:sz w:val="13"/>
                <w:szCs w:val="13"/>
                <w:color w:val="auto"/>
              </w:rPr>
            </w:pPr>
          </w:p>
        </w:tc>
        <w:tc>
          <w:tcPr>
            <w:tcW w:w="2220" w:type="dxa"/>
            <w:vAlign w:val="bottom"/>
            <w:tcBorders>
              <w:bottom w:val="single" w:sz="8" w:color="auto"/>
            </w:tcBorders>
          </w:tcPr>
          <w:p>
            <w:pPr>
              <w:spacing w:after="0"/>
              <w:rPr>
                <w:sz w:val="13"/>
                <w:szCs w:val="13"/>
                <w:color w:val="auto"/>
              </w:rPr>
            </w:pPr>
          </w:p>
        </w:tc>
        <w:tc>
          <w:tcPr>
            <w:tcW w:w="4480" w:type="dxa"/>
            <w:vAlign w:val="bottom"/>
            <w:tcBorders>
              <w:bottom w:val="single" w:sz="8" w:color="auto"/>
            </w:tcBorders>
            <w:gridSpan w:val="3"/>
          </w:tcPr>
          <w:p>
            <w:pPr>
              <w:jc w:val="center"/>
              <w:ind w:right="2134"/>
              <w:spacing w:after="0"/>
              <w:rPr>
                <w:sz w:val="20"/>
                <w:szCs w:val="20"/>
                <w:color w:val="auto"/>
              </w:rPr>
            </w:pPr>
            <w:r>
              <w:rPr>
                <w:rFonts w:ascii="Arial" w:cs="Arial" w:eastAsia="Arial" w:hAnsi="Arial"/>
                <w:sz w:val="11"/>
                <w:szCs w:val="11"/>
                <w:b w:val="1"/>
                <w:bCs w:val="1"/>
                <w:color w:val="auto"/>
                <w:w w:val="93"/>
              </w:rPr>
              <w:t>Year Ended December 26, 2021</w:t>
            </w:r>
          </w:p>
        </w:tc>
      </w:tr>
      <w:tr>
        <w:trPr>
          <w:trHeight w:val="142"/>
        </w:trPr>
        <w:tc>
          <w:tcPr>
            <w:tcW w:w="4580" w:type="dxa"/>
            <w:vAlign w:val="bottom"/>
          </w:tcPr>
          <w:p>
            <w:pPr>
              <w:spacing w:after="0"/>
              <w:rPr>
                <w:sz w:val="12"/>
                <w:szCs w:val="12"/>
                <w:color w:val="auto"/>
              </w:rPr>
            </w:pPr>
          </w:p>
        </w:tc>
        <w:tc>
          <w:tcPr>
            <w:tcW w:w="2220" w:type="dxa"/>
            <w:vAlign w:val="bottom"/>
            <w:tcBorders>
              <w:bottom w:val="single" w:sz="8" w:color="auto"/>
            </w:tcBorders>
          </w:tcPr>
          <w:p>
            <w:pPr>
              <w:jc w:val="right"/>
              <w:ind w:right="296"/>
              <w:spacing w:after="0"/>
              <w:rPr>
                <w:sz w:val="20"/>
                <w:szCs w:val="20"/>
                <w:color w:val="auto"/>
              </w:rPr>
            </w:pPr>
            <w:r>
              <w:rPr>
                <w:rFonts w:ascii="Arial" w:cs="Arial" w:eastAsia="Arial" w:hAnsi="Arial"/>
                <w:sz w:val="11"/>
                <w:szCs w:val="11"/>
                <w:b w:val="1"/>
                <w:bCs w:val="1"/>
                <w:color w:val="auto"/>
              </w:rPr>
              <w:t>Amount</w:t>
            </w:r>
          </w:p>
        </w:tc>
        <w:tc>
          <w:tcPr>
            <w:tcW w:w="1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2920" w:type="dxa"/>
            <w:vAlign w:val="bottom"/>
            <w:tcBorders>
              <w:bottom w:val="single" w:sz="8" w:color="auto"/>
            </w:tcBorders>
          </w:tcPr>
          <w:p>
            <w:pPr>
              <w:jc w:val="right"/>
              <w:ind w:right="374"/>
              <w:spacing w:after="0"/>
              <w:rPr>
                <w:sz w:val="20"/>
                <w:szCs w:val="20"/>
                <w:color w:val="auto"/>
              </w:rPr>
            </w:pPr>
            <w:r>
              <w:rPr>
                <w:rFonts w:ascii="Arial" w:cs="Arial" w:eastAsia="Arial" w:hAnsi="Arial"/>
                <w:sz w:val="11"/>
                <w:szCs w:val="11"/>
                <w:b w:val="1"/>
                <w:bCs w:val="1"/>
                <w:color w:val="auto"/>
                <w:w w:val="96"/>
              </w:rPr>
              <w:t>Impact of 10% Increase in Feed Ingredient Prices</w:t>
            </w:r>
          </w:p>
        </w:tc>
      </w:tr>
      <w:tr>
        <w:trPr>
          <w:trHeight w:val="139"/>
        </w:trPr>
        <w:tc>
          <w:tcPr>
            <w:tcW w:w="45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560" w:type="dxa"/>
            <w:vAlign w:val="bottom"/>
            <w:gridSpan w:val="2"/>
          </w:tcPr>
          <w:p>
            <w:pPr>
              <w:jc w:val="center"/>
              <w:ind w:left="636"/>
              <w:spacing w:after="0"/>
              <w:rPr>
                <w:sz w:val="20"/>
                <w:szCs w:val="20"/>
                <w:color w:val="auto"/>
              </w:rPr>
            </w:pPr>
            <w:r>
              <w:rPr>
                <w:rFonts w:ascii="Arial" w:cs="Arial" w:eastAsia="Arial" w:hAnsi="Arial"/>
                <w:sz w:val="11"/>
                <w:szCs w:val="11"/>
                <w:b w:val="1"/>
                <w:bCs w:val="1"/>
                <w:color w:val="auto"/>
                <w:w w:val="92"/>
              </w:rPr>
              <w:t>(In thousands)</w:t>
            </w:r>
          </w:p>
        </w:tc>
        <w:tc>
          <w:tcPr>
            <w:tcW w:w="2920" w:type="dxa"/>
            <w:vAlign w:val="bottom"/>
          </w:tcPr>
          <w:p>
            <w:pPr>
              <w:spacing w:after="0"/>
              <w:rPr>
                <w:sz w:val="12"/>
                <w:szCs w:val="12"/>
                <w:color w:val="auto"/>
              </w:rPr>
            </w:pPr>
          </w:p>
        </w:tc>
      </w:tr>
      <w:tr>
        <w:trPr>
          <w:trHeight w:val="181"/>
        </w:trPr>
        <w:tc>
          <w:tcPr>
            <w:tcW w:w="4580" w:type="dxa"/>
            <w:vAlign w:val="bottom"/>
            <w:shd w:val="clear" w:color="auto" w:fill="CCEEFF"/>
          </w:tcPr>
          <w:p>
            <w:pPr>
              <w:ind w:left="20"/>
              <w:spacing w:after="0" w:line="182" w:lineRule="exact"/>
              <w:rPr>
                <w:sz w:val="20"/>
                <w:szCs w:val="20"/>
                <w:color w:val="auto"/>
              </w:rPr>
            </w:pPr>
            <w:r>
              <w:rPr>
                <w:rFonts w:ascii="Arial" w:cs="Arial" w:eastAsia="Arial" w:hAnsi="Arial"/>
                <w:sz w:val="14"/>
                <w:szCs w:val="14"/>
                <w:color w:val="auto"/>
              </w:rPr>
              <w:t>Feed purchases</w:t>
            </w:r>
            <w:r>
              <w:rPr>
                <w:rFonts w:ascii="Arial" w:cs="Arial" w:eastAsia="Arial" w:hAnsi="Arial"/>
                <w:sz w:val="18"/>
                <w:szCs w:val="18"/>
                <w:color w:val="auto"/>
                <w:vertAlign w:val="superscript"/>
              </w:rPr>
              <w:t>(a)</w:t>
            </w:r>
          </w:p>
        </w:tc>
        <w:tc>
          <w:tcPr>
            <w:tcW w:w="2220" w:type="dxa"/>
            <w:vAlign w:val="bottom"/>
            <w:shd w:val="clear" w:color="auto" w:fill="CCEEFF"/>
          </w:tcPr>
          <w:p>
            <w:pPr>
              <w:jc w:val="right"/>
              <w:ind w:right="2056"/>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16"/>
              <w:spacing w:after="0"/>
              <w:rPr>
                <w:sz w:val="20"/>
                <w:szCs w:val="20"/>
                <w:color w:val="auto"/>
              </w:rPr>
            </w:pPr>
            <w:r>
              <w:rPr>
                <w:rFonts w:ascii="Arial" w:cs="Arial" w:eastAsia="Arial" w:hAnsi="Arial"/>
                <w:sz w:val="14"/>
                <w:szCs w:val="14"/>
                <w:color w:val="auto"/>
              </w:rPr>
              <w:t>1,012,071</w:t>
            </w:r>
          </w:p>
        </w:tc>
        <w:tc>
          <w:tcPr>
            <w:tcW w:w="44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2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101,207</w:t>
            </w:r>
          </w:p>
        </w:tc>
      </w:tr>
      <w:tr>
        <w:trPr>
          <w:trHeight w:val="239"/>
        </w:trPr>
        <w:tc>
          <w:tcPr>
            <w:tcW w:w="4580" w:type="dxa"/>
            <w:vAlign w:val="bottom"/>
          </w:tcPr>
          <w:p>
            <w:pPr>
              <w:ind w:left="20"/>
              <w:spacing w:after="0"/>
              <w:rPr>
                <w:sz w:val="20"/>
                <w:szCs w:val="20"/>
                <w:color w:val="auto"/>
              </w:rPr>
            </w:pPr>
            <w:r>
              <w:rPr>
                <w:rFonts w:ascii="Arial" w:cs="Arial" w:eastAsia="Arial" w:hAnsi="Arial"/>
                <w:sz w:val="14"/>
                <w:szCs w:val="14"/>
                <w:color w:val="auto"/>
              </w:rPr>
              <w:t>Feed inventory</w:t>
            </w:r>
            <w:r>
              <w:rPr>
                <w:rFonts w:ascii="Arial" w:cs="Arial" w:eastAsia="Arial" w:hAnsi="Arial"/>
                <w:sz w:val="18"/>
                <w:szCs w:val="18"/>
                <w:color w:val="auto"/>
                <w:vertAlign w:val="superscript"/>
              </w:rPr>
              <w:t>(b)</w:t>
            </w:r>
          </w:p>
        </w:tc>
        <w:tc>
          <w:tcPr>
            <w:tcW w:w="2220" w:type="dxa"/>
            <w:vAlign w:val="bottom"/>
          </w:tcPr>
          <w:p>
            <w:pPr>
              <w:spacing w:after="0"/>
              <w:rPr>
                <w:sz w:val="20"/>
                <w:szCs w:val="20"/>
                <w:color w:val="auto"/>
              </w:rPr>
            </w:pPr>
          </w:p>
        </w:tc>
        <w:tc>
          <w:tcPr>
            <w:tcW w:w="1120" w:type="dxa"/>
            <w:vAlign w:val="bottom"/>
          </w:tcPr>
          <w:p>
            <w:pPr>
              <w:jc w:val="right"/>
              <w:ind w:right="16"/>
              <w:spacing w:after="0"/>
              <w:rPr>
                <w:sz w:val="20"/>
                <w:szCs w:val="20"/>
                <w:color w:val="auto"/>
              </w:rPr>
            </w:pPr>
            <w:r>
              <w:rPr>
                <w:rFonts w:ascii="Arial" w:cs="Arial" w:eastAsia="Arial" w:hAnsi="Arial"/>
                <w:sz w:val="14"/>
                <w:szCs w:val="14"/>
                <w:color w:val="auto"/>
              </w:rPr>
              <w:t>190,161</w:t>
            </w:r>
          </w:p>
        </w:tc>
        <w:tc>
          <w:tcPr>
            <w:tcW w:w="440" w:type="dxa"/>
            <w:vAlign w:val="bottom"/>
          </w:tcPr>
          <w:p>
            <w:pPr>
              <w:spacing w:after="0"/>
              <w:rPr>
                <w:sz w:val="20"/>
                <w:szCs w:val="20"/>
                <w:color w:val="auto"/>
              </w:rPr>
            </w:pPr>
          </w:p>
        </w:tc>
        <w:tc>
          <w:tcPr>
            <w:tcW w:w="2920" w:type="dxa"/>
            <w:vAlign w:val="bottom"/>
          </w:tcPr>
          <w:p>
            <w:pPr>
              <w:jc w:val="right"/>
              <w:spacing w:after="0"/>
              <w:rPr>
                <w:sz w:val="20"/>
                <w:szCs w:val="20"/>
                <w:color w:val="auto"/>
              </w:rPr>
            </w:pPr>
            <w:r>
              <w:rPr>
                <w:rFonts w:ascii="Arial" w:cs="Arial" w:eastAsia="Arial" w:hAnsi="Arial"/>
                <w:sz w:val="14"/>
                <w:szCs w:val="14"/>
                <w:color w:val="auto"/>
              </w:rPr>
              <w:t>19,016</w:t>
            </w:r>
          </w:p>
        </w:tc>
      </w:tr>
    </w:tbl>
    <w:p>
      <w:pPr>
        <w:spacing w:after="0" w:line="11" w:lineRule="exact"/>
        <w:rPr>
          <w:sz w:val="20"/>
          <w:szCs w:val="20"/>
          <w:color w:val="auto"/>
        </w:rPr>
      </w:pPr>
    </w:p>
    <w:p>
      <w:pPr>
        <w:ind w:left="520" w:hanging="515"/>
        <w:spacing w:after="0"/>
        <w:tabs>
          <w:tab w:leader="none" w:pos="520" w:val="left"/>
        </w:tabs>
        <w:numPr>
          <w:ilvl w:val="0"/>
          <w:numId w:val="18"/>
        </w:numPr>
        <w:rPr>
          <w:rFonts w:ascii="Arial" w:cs="Arial" w:eastAsia="Arial" w:hAnsi="Arial"/>
          <w:sz w:val="11"/>
          <w:szCs w:val="11"/>
          <w:color w:val="auto"/>
        </w:rPr>
      </w:pPr>
      <w:r>
        <w:rPr>
          <w:rFonts w:ascii="Arial" w:cs="Arial" w:eastAsia="Arial" w:hAnsi="Arial"/>
          <w:sz w:val="11"/>
          <w:szCs w:val="11"/>
          <w:color w:val="auto"/>
        </w:rPr>
        <w:t>Based on our feed consumption, a 10% increase in the price of our feed purchases will increase cost of sales for the year ended December 26, 2021.</w:t>
      </w:r>
    </w:p>
    <w:p>
      <w:pPr>
        <w:spacing w:after="0" w:line="18" w:lineRule="exact"/>
        <w:rPr>
          <w:rFonts w:ascii="Arial" w:cs="Arial" w:eastAsia="Arial" w:hAnsi="Arial"/>
          <w:sz w:val="11"/>
          <w:szCs w:val="11"/>
          <w:color w:val="auto"/>
        </w:rPr>
      </w:pPr>
    </w:p>
    <w:p>
      <w:pPr>
        <w:ind w:left="500" w:hanging="495"/>
        <w:spacing w:after="0"/>
        <w:tabs>
          <w:tab w:leader="none" w:pos="500" w:val="left"/>
        </w:tabs>
        <w:numPr>
          <w:ilvl w:val="0"/>
          <w:numId w:val="18"/>
        </w:numPr>
        <w:rPr>
          <w:rFonts w:ascii="Arial" w:cs="Arial" w:eastAsia="Arial" w:hAnsi="Arial"/>
          <w:sz w:val="11"/>
          <w:szCs w:val="11"/>
          <w:color w:val="auto"/>
        </w:rPr>
      </w:pPr>
      <w:r>
        <w:rPr>
          <w:rFonts w:ascii="Arial" w:cs="Arial" w:eastAsia="Arial" w:hAnsi="Arial"/>
          <w:sz w:val="11"/>
          <w:szCs w:val="11"/>
          <w:color w:val="auto"/>
        </w:rPr>
        <w:t>A 10% increase in ending feed ingredient prices will increase inventories as of December 26, 2021.</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4580" w:type="dxa"/>
            <w:vAlign w:val="bottom"/>
          </w:tcPr>
          <w:p>
            <w:pPr>
              <w:spacing w:after="0"/>
              <w:rPr>
                <w:sz w:val="13"/>
                <w:szCs w:val="13"/>
                <w:color w:val="auto"/>
              </w:rPr>
            </w:pPr>
          </w:p>
        </w:tc>
        <w:tc>
          <w:tcPr>
            <w:tcW w:w="238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b w:val="1"/>
                <w:bCs w:val="1"/>
                <w:color w:val="auto"/>
                <w:w w:val="92"/>
              </w:rPr>
              <w:t>December 26, 2021</w:t>
            </w:r>
          </w:p>
        </w:tc>
        <w:tc>
          <w:tcPr>
            <w:tcW w:w="23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1"/>
        </w:trPr>
        <w:tc>
          <w:tcPr>
            <w:tcW w:w="4580" w:type="dxa"/>
            <w:vAlign w:val="bottom"/>
          </w:tcPr>
          <w:p>
            <w:pPr>
              <w:spacing w:after="0"/>
              <w:rPr>
                <w:sz w:val="8"/>
                <w:szCs w:val="8"/>
                <w:color w:val="auto"/>
              </w:rPr>
            </w:pPr>
          </w:p>
        </w:tc>
        <w:tc>
          <w:tcPr>
            <w:tcW w:w="2380" w:type="dxa"/>
            <w:vAlign w:val="bottom"/>
            <w:vMerge w:val="restart"/>
          </w:tcPr>
          <w:p>
            <w:pPr>
              <w:jc w:val="right"/>
              <w:ind w:right="456"/>
              <w:spacing w:after="0"/>
              <w:rPr>
                <w:sz w:val="20"/>
                <w:szCs w:val="20"/>
                <w:color w:val="auto"/>
              </w:rPr>
            </w:pPr>
            <w:r>
              <w:rPr>
                <w:rFonts w:ascii="Arial" w:cs="Arial" w:eastAsia="Arial" w:hAnsi="Arial"/>
                <w:sz w:val="11"/>
                <w:szCs w:val="11"/>
                <w:b w:val="1"/>
                <w:bCs w:val="1"/>
                <w:color w:val="auto"/>
              </w:rPr>
              <w:t>Amount</w:t>
            </w:r>
          </w:p>
        </w:tc>
        <w:tc>
          <w:tcPr>
            <w:tcW w:w="960" w:type="dxa"/>
            <w:vAlign w:val="bottom"/>
          </w:tcPr>
          <w:p>
            <w:pPr>
              <w:spacing w:after="0"/>
              <w:rPr>
                <w:sz w:val="8"/>
                <w:szCs w:val="8"/>
                <w:color w:val="auto"/>
              </w:rPr>
            </w:pPr>
          </w:p>
        </w:tc>
        <w:tc>
          <w:tcPr>
            <w:tcW w:w="3360" w:type="dxa"/>
            <w:vAlign w:val="bottom"/>
            <w:gridSpan w:val="2"/>
          </w:tcPr>
          <w:p>
            <w:pPr>
              <w:ind w:left="80"/>
              <w:spacing w:after="0" w:line="101" w:lineRule="exact"/>
              <w:rPr>
                <w:sz w:val="20"/>
                <w:szCs w:val="20"/>
                <w:color w:val="auto"/>
              </w:rPr>
            </w:pPr>
            <w:r>
              <w:rPr>
                <w:rFonts w:ascii="Arial" w:cs="Arial" w:eastAsia="Arial" w:hAnsi="Arial"/>
                <w:sz w:val="11"/>
                <w:szCs w:val="11"/>
                <w:b w:val="1"/>
                <w:bCs w:val="1"/>
                <w:color w:val="auto"/>
                <w:w w:val="95"/>
              </w:rPr>
              <w:t>Impact of 10% Increase to the Fair Value of Commodity Derivative</w:t>
            </w:r>
          </w:p>
        </w:tc>
        <w:tc>
          <w:tcPr>
            <w:tcW w:w="0" w:type="dxa"/>
            <w:vAlign w:val="bottom"/>
          </w:tcPr>
          <w:p>
            <w:pPr>
              <w:spacing w:after="0"/>
              <w:rPr>
                <w:sz w:val="1"/>
                <w:szCs w:val="1"/>
                <w:color w:val="auto"/>
              </w:rPr>
            </w:pPr>
          </w:p>
        </w:tc>
      </w:tr>
      <w:tr>
        <w:trPr>
          <w:trHeight w:val="148"/>
        </w:trPr>
        <w:tc>
          <w:tcPr>
            <w:tcW w:w="4580" w:type="dxa"/>
            <w:vAlign w:val="bottom"/>
          </w:tcPr>
          <w:p>
            <w:pPr>
              <w:spacing w:after="0"/>
              <w:rPr>
                <w:sz w:val="12"/>
                <w:szCs w:val="12"/>
                <w:color w:val="auto"/>
              </w:rPr>
            </w:pPr>
          </w:p>
        </w:tc>
        <w:tc>
          <w:tcPr>
            <w:tcW w:w="2380" w:type="dxa"/>
            <w:vAlign w:val="bottom"/>
            <w:tcBorders>
              <w:bottom w:val="single" w:sz="8" w:color="auto"/>
            </w:tcBorders>
            <w:vMerge w:val="continue"/>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2340" w:type="dxa"/>
            <w:vAlign w:val="bottom"/>
            <w:tcBorders>
              <w:bottom w:val="single" w:sz="8" w:color="auto"/>
            </w:tcBorders>
          </w:tcPr>
          <w:p>
            <w:pPr>
              <w:jc w:val="right"/>
              <w:ind w:right="1436"/>
              <w:spacing w:after="0"/>
              <w:rPr>
                <w:sz w:val="20"/>
                <w:szCs w:val="20"/>
                <w:color w:val="auto"/>
              </w:rPr>
            </w:pPr>
            <w:r>
              <w:rPr>
                <w:rFonts w:ascii="Arial" w:cs="Arial" w:eastAsia="Arial" w:hAnsi="Arial"/>
                <w:sz w:val="11"/>
                <w:szCs w:val="11"/>
                <w:b w:val="1"/>
                <w:bCs w:val="1"/>
                <w:color w:val="auto"/>
              </w:rPr>
              <w:t>Assets</w:t>
            </w:r>
          </w:p>
        </w:tc>
        <w:tc>
          <w:tcPr>
            <w:tcW w:w="0" w:type="dxa"/>
            <w:vAlign w:val="bottom"/>
          </w:tcPr>
          <w:p>
            <w:pPr>
              <w:spacing w:after="0"/>
              <w:rPr>
                <w:sz w:val="1"/>
                <w:szCs w:val="1"/>
                <w:color w:val="auto"/>
              </w:rPr>
            </w:pPr>
          </w:p>
        </w:tc>
      </w:tr>
      <w:tr>
        <w:trPr>
          <w:trHeight w:val="139"/>
        </w:trPr>
        <w:tc>
          <w:tcPr>
            <w:tcW w:w="458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980" w:type="dxa"/>
            <w:vAlign w:val="bottom"/>
            <w:gridSpan w:val="2"/>
          </w:tcPr>
          <w:p>
            <w:pPr>
              <w:jc w:val="center"/>
              <w:spacing w:after="0"/>
              <w:rPr>
                <w:sz w:val="20"/>
                <w:szCs w:val="20"/>
                <w:color w:val="auto"/>
              </w:rPr>
            </w:pPr>
            <w:r>
              <w:rPr>
                <w:rFonts w:ascii="Arial" w:cs="Arial" w:eastAsia="Arial" w:hAnsi="Arial"/>
                <w:sz w:val="11"/>
                <w:szCs w:val="11"/>
                <w:b w:val="1"/>
                <w:bCs w:val="1"/>
                <w:color w:val="auto"/>
                <w:w w:val="92"/>
              </w:rPr>
              <w:t>(In thousands)</w:t>
            </w:r>
          </w:p>
        </w:tc>
        <w:tc>
          <w:tcPr>
            <w:tcW w:w="2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580" w:type="dxa"/>
            <w:vAlign w:val="bottom"/>
            <w:shd w:val="clear" w:color="auto" w:fill="CCEEFF"/>
          </w:tcPr>
          <w:p>
            <w:pPr>
              <w:ind w:left="20"/>
              <w:spacing w:after="0" w:line="182" w:lineRule="exact"/>
              <w:rPr>
                <w:sz w:val="20"/>
                <w:szCs w:val="20"/>
                <w:color w:val="auto"/>
              </w:rPr>
            </w:pPr>
            <w:r>
              <w:rPr>
                <w:rFonts w:ascii="Arial" w:cs="Arial" w:eastAsia="Arial" w:hAnsi="Arial"/>
                <w:sz w:val="14"/>
                <w:szCs w:val="14"/>
                <w:color w:val="auto"/>
              </w:rPr>
              <w:t>Commodity derivative assets</w:t>
            </w:r>
            <w:r>
              <w:rPr>
                <w:rFonts w:ascii="Arial" w:cs="Arial" w:eastAsia="Arial" w:hAnsi="Arial"/>
                <w:sz w:val="18"/>
                <w:szCs w:val="18"/>
                <w:color w:val="auto"/>
                <w:vertAlign w:val="superscript"/>
              </w:rPr>
              <w:t>(a)</w:t>
            </w:r>
          </w:p>
        </w:tc>
        <w:tc>
          <w:tcPr>
            <w:tcW w:w="2380" w:type="dxa"/>
            <w:vAlign w:val="bottom"/>
            <w:shd w:val="clear" w:color="auto" w:fill="CCEEFF"/>
          </w:tcPr>
          <w:p>
            <w:pPr>
              <w:jc w:val="right"/>
              <w:ind w:right="2216"/>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4"/>
                <w:szCs w:val="14"/>
                <w:color w:val="auto"/>
              </w:rPr>
              <w:t>8,678</w:t>
            </w:r>
          </w:p>
        </w:tc>
        <w:tc>
          <w:tcPr>
            <w:tcW w:w="1020" w:type="dxa"/>
            <w:vAlign w:val="bottom"/>
            <w:shd w:val="clear" w:color="auto" w:fill="CCEEFF"/>
          </w:tcPr>
          <w:p>
            <w:pPr>
              <w:ind w:left="80"/>
              <w:spacing w:after="0"/>
              <w:rPr>
                <w:sz w:val="20"/>
                <w:szCs w:val="20"/>
                <w:color w:val="auto"/>
              </w:rPr>
            </w:pPr>
            <w:r>
              <w:rPr>
                <w:rFonts w:ascii="Arial" w:cs="Arial" w:eastAsia="Arial" w:hAnsi="Arial"/>
                <w:sz w:val="14"/>
                <w:szCs w:val="14"/>
                <w:color w:val="auto"/>
              </w:rPr>
              <w:t>$</w:t>
            </w:r>
          </w:p>
        </w:tc>
        <w:tc>
          <w:tcPr>
            <w:tcW w:w="2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868</w:t>
            </w:r>
          </w:p>
        </w:tc>
        <w:tc>
          <w:tcPr>
            <w:tcW w:w="0" w:type="dxa"/>
            <w:vAlign w:val="bottom"/>
          </w:tcPr>
          <w:p>
            <w:pPr>
              <w:spacing w:after="0"/>
              <w:rPr>
                <w:sz w:val="1"/>
                <w:szCs w:val="1"/>
                <w:color w:val="auto"/>
              </w:rPr>
            </w:pPr>
          </w:p>
        </w:tc>
      </w:tr>
    </w:tbl>
    <w:p>
      <w:pPr>
        <w:spacing w:after="0" w:line="70" w:lineRule="exact"/>
        <w:rPr>
          <w:sz w:val="20"/>
          <w:szCs w:val="20"/>
          <w:color w:val="auto"/>
        </w:rPr>
      </w:pPr>
    </w:p>
    <w:p>
      <w:pPr>
        <w:ind w:left="520" w:hanging="515"/>
        <w:spacing w:after="0" w:line="327" w:lineRule="auto"/>
        <w:tabs>
          <w:tab w:leader="none" w:pos="518" w:val="left"/>
        </w:tabs>
        <w:numPr>
          <w:ilvl w:val="0"/>
          <w:numId w:val="19"/>
        </w:numPr>
        <w:rPr>
          <w:rFonts w:ascii="Arial" w:cs="Arial" w:eastAsia="Arial" w:hAnsi="Arial"/>
          <w:sz w:val="10"/>
          <w:szCs w:val="10"/>
          <w:color w:val="auto"/>
        </w:rPr>
      </w:pPr>
      <w:r>
        <w:rPr>
          <w:rFonts w:ascii="Arial" w:cs="Arial" w:eastAsia="Arial" w:hAnsi="Arial"/>
          <w:sz w:val="10"/>
          <w:szCs w:val="10"/>
          <w:color w:val="auto"/>
        </w:rPr>
        <w:t>We purchase commodity derivative financial instruments, specifically exchange-traded futures and options, in an attempt to mitigate price risk related to our anticipated consumption of commodity inputs for the next 12 months. A 10% increase in corn, soybean meal, soybean oil and wheat prices would have resulted in an increase in the fair value of our net commodity derivative asset position, including margin cash, as of December 26, 2021.</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Interest Rates</w:t>
      </w:r>
    </w:p>
    <w:p>
      <w:pPr>
        <w:spacing w:after="0" w:line="140" w:lineRule="exact"/>
        <w:rPr>
          <w:sz w:val="20"/>
          <w:szCs w:val="20"/>
          <w:color w:val="auto"/>
        </w:rPr>
      </w:pPr>
    </w:p>
    <w:p>
      <w:pPr>
        <w:jc w:val="both"/>
        <w:ind w:firstLine="509"/>
        <w:spacing w:after="0" w:line="281" w:lineRule="auto"/>
        <w:rPr>
          <w:sz w:val="20"/>
          <w:szCs w:val="20"/>
          <w:color w:val="auto"/>
        </w:rPr>
      </w:pPr>
      <w:r>
        <w:rPr>
          <w:rFonts w:ascii="Arial" w:cs="Arial" w:eastAsia="Arial" w:hAnsi="Arial"/>
          <w:sz w:val="14"/>
          <w:szCs w:val="14"/>
          <w:i w:val="1"/>
          <w:iCs w:val="1"/>
          <w:color w:val="auto"/>
        </w:rPr>
        <w:t>Fixed-rate debt</w:t>
      </w:r>
      <w:r>
        <w:rPr>
          <w:rFonts w:ascii="Arial" w:cs="Arial" w:eastAsia="Arial" w:hAnsi="Arial"/>
          <w:sz w:val="14"/>
          <w:szCs w:val="14"/>
          <w:color w:val="auto"/>
        </w:rPr>
        <w:t>. Market risk for fixed-rate debt is estimated as the potential decrease in fair value resulting from a hypothetical increase in interest rates of 10%. Using a discounted cash flow</w:t>
      </w:r>
      <w:r>
        <w:rPr>
          <w:rFonts w:ascii="Arial" w:cs="Arial" w:eastAsia="Arial" w:hAnsi="Arial"/>
          <w:sz w:val="14"/>
          <w:szCs w:val="14"/>
          <w:i w:val="1"/>
          <w:iCs w:val="1"/>
          <w:color w:val="auto"/>
        </w:rPr>
        <w:t xml:space="preserve"> </w:t>
      </w:r>
      <w:r>
        <w:rPr>
          <w:rFonts w:ascii="Arial" w:cs="Arial" w:eastAsia="Arial" w:hAnsi="Arial"/>
          <w:sz w:val="14"/>
          <w:szCs w:val="14"/>
          <w:color w:val="auto"/>
        </w:rPr>
        <w:t>analysis, a hypothetical 10% increase in interest rates would have decreased the fair value of our fixed-rate debt by $90.7 million as of December 26, 2021.</w:t>
      </w:r>
    </w:p>
    <w:p>
      <w:pPr>
        <w:spacing w:after="0" w:line="90" w:lineRule="exact"/>
        <w:rPr>
          <w:sz w:val="20"/>
          <w:szCs w:val="20"/>
          <w:color w:val="auto"/>
        </w:rPr>
      </w:pPr>
    </w:p>
    <w:p>
      <w:pPr>
        <w:jc w:val="both"/>
        <w:ind w:firstLine="509"/>
        <w:spacing w:after="0" w:line="281" w:lineRule="auto"/>
        <w:rPr>
          <w:sz w:val="20"/>
          <w:szCs w:val="20"/>
          <w:color w:val="auto"/>
        </w:rPr>
      </w:pPr>
      <w:r>
        <w:rPr>
          <w:rFonts w:ascii="Arial" w:cs="Arial" w:eastAsia="Arial" w:hAnsi="Arial"/>
          <w:sz w:val="14"/>
          <w:szCs w:val="14"/>
          <w:i w:val="1"/>
          <w:iCs w:val="1"/>
          <w:color w:val="auto"/>
        </w:rPr>
        <w:t>Variable-rate debt</w:t>
      </w:r>
      <w:r>
        <w:rPr>
          <w:rFonts w:ascii="Arial" w:cs="Arial" w:eastAsia="Arial" w:hAnsi="Arial"/>
          <w:sz w:val="14"/>
          <w:szCs w:val="14"/>
          <w:color w:val="auto"/>
        </w:rPr>
        <w:t>. Our variable-rate debt instruments represent approximately 15.9% of our total debt as of December 26, 2021. Holding other variables constant, including levels of</w:t>
      </w:r>
      <w:r>
        <w:rPr>
          <w:rFonts w:ascii="Arial" w:cs="Arial" w:eastAsia="Arial" w:hAnsi="Arial"/>
          <w:sz w:val="14"/>
          <w:szCs w:val="14"/>
          <w:i w:val="1"/>
          <w:iCs w:val="1"/>
          <w:color w:val="auto"/>
        </w:rPr>
        <w:t xml:space="preserve"> </w:t>
      </w:r>
      <w:r>
        <w:rPr>
          <w:rFonts w:ascii="Arial" w:cs="Arial" w:eastAsia="Arial" w:hAnsi="Arial"/>
          <w:sz w:val="14"/>
          <w:szCs w:val="14"/>
          <w:color w:val="auto"/>
        </w:rPr>
        <w:t>indebtedness, an increase in interest rates of 25 basis points would have increased our interest expense by an immaterial amount for the year ended December 26, 2021.</w:t>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Foreign Currency</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Mexico Subsidiaries</w:t>
      </w:r>
    </w:p>
    <w:p>
      <w:pPr>
        <w:spacing w:after="0" w:line="136"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4"/>
          <w:szCs w:val="14"/>
          <w:color w:val="auto"/>
        </w:rPr>
        <w:t>Our earnings are also affected by foreign exchange rate fluctuations related to the Mexican peso net monetary position of our Mexico subsidiaries. We manage this exposure primarily by attempting to minimize our Mexican peso net monetary position. We are also exposed to the effect of potential currency exchange rate fluctuations to the extent that amounts are repatriated from Mexico to the U.S. We currently anticipate that the future cash flows of our Mexico subsidiaries will be reinvested in our Mexico operations.</w:t>
      </w:r>
    </w:p>
    <w:p>
      <w:pPr>
        <w:spacing w:after="0" w:line="99"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4"/>
          <w:szCs w:val="14"/>
          <w:color w:val="auto"/>
        </w:rPr>
        <w:t>The Mexican peso exchange rate can directly and indirectly impact our financial condition and results of operations. For this sensitivity analysis, market risk is estimated as a hypothetical 10% change in the current exchange rate used to convert Mexican pesos to U.S. dollars as of December 26, 2021. However, fluctuations greater than 10% could occur. No assurance can be given as to how future movements in the Mexican peso could affect our future financial condition or results of operations.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4580" w:type="dxa"/>
            <w:vAlign w:val="bottom"/>
          </w:tcPr>
          <w:p>
            <w:pPr>
              <w:spacing w:after="0"/>
              <w:rPr>
                <w:sz w:val="13"/>
                <w:szCs w:val="13"/>
                <w:color w:val="auto"/>
              </w:rPr>
            </w:pPr>
          </w:p>
        </w:tc>
        <w:tc>
          <w:tcPr>
            <w:tcW w:w="2520" w:type="dxa"/>
            <w:vAlign w:val="bottom"/>
            <w:tcBorders>
              <w:bottom w:val="single" w:sz="8" w:color="auto"/>
            </w:tcBorders>
          </w:tcPr>
          <w:p>
            <w:pPr>
              <w:spacing w:after="0"/>
              <w:rPr>
                <w:sz w:val="13"/>
                <w:szCs w:val="13"/>
                <w:color w:val="auto"/>
              </w:rPr>
            </w:pPr>
          </w:p>
        </w:tc>
        <w:tc>
          <w:tcPr>
            <w:tcW w:w="3540" w:type="dxa"/>
            <w:vAlign w:val="bottom"/>
            <w:tcBorders>
              <w:bottom w:val="single" w:sz="8" w:color="auto"/>
            </w:tcBorders>
            <w:gridSpan w:val="2"/>
          </w:tcPr>
          <w:p>
            <w:pPr>
              <w:jc w:val="center"/>
              <w:ind w:right="1799"/>
              <w:spacing w:after="0"/>
              <w:rPr>
                <w:sz w:val="20"/>
                <w:szCs w:val="20"/>
                <w:color w:val="auto"/>
              </w:rPr>
            </w:pPr>
            <w:r>
              <w:rPr>
                <w:rFonts w:ascii="Arial" w:cs="Arial" w:eastAsia="Arial" w:hAnsi="Arial"/>
                <w:sz w:val="11"/>
                <w:szCs w:val="11"/>
                <w:b w:val="1"/>
                <w:bCs w:val="1"/>
                <w:color w:val="auto"/>
                <w:w w:val="93"/>
              </w:rPr>
              <w:t>Year Ended December 26, 2021</w:t>
            </w:r>
          </w:p>
        </w:tc>
        <w:tc>
          <w:tcPr>
            <w:tcW w:w="640" w:type="dxa"/>
            <w:vAlign w:val="bottom"/>
            <w:tcBorders>
              <w:bottom w:val="single" w:sz="8" w:color="auto"/>
            </w:tcBorders>
          </w:tcPr>
          <w:p>
            <w:pPr>
              <w:spacing w:after="0"/>
              <w:rPr>
                <w:sz w:val="13"/>
                <w:szCs w:val="13"/>
                <w:color w:val="auto"/>
              </w:rPr>
            </w:pPr>
          </w:p>
        </w:tc>
      </w:tr>
      <w:tr>
        <w:trPr>
          <w:trHeight w:val="101"/>
        </w:trPr>
        <w:tc>
          <w:tcPr>
            <w:tcW w:w="4580" w:type="dxa"/>
            <w:vAlign w:val="bottom"/>
          </w:tcPr>
          <w:p>
            <w:pPr>
              <w:spacing w:after="0"/>
              <w:rPr>
                <w:sz w:val="8"/>
                <w:szCs w:val="8"/>
                <w:color w:val="auto"/>
              </w:rPr>
            </w:pPr>
          </w:p>
        </w:tc>
        <w:tc>
          <w:tcPr>
            <w:tcW w:w="2520" w:type="dxa"/>
            <w:vAlign w:val="bottom"/>
          </w:tcPr>
          <w:p>
            <w:pPr>
              <w:jc w:val="center"/>
              <w:ind w:left="740"/>
              <w:spacing w:after="0" w:line="101" w:lineRule="exact"/>
              <w:rPr>
                <w:sz w:val="20"/>
                <w:szCs w:val="20"/>
                <w:color w:val="auto"/>
              </w:rPr>
            </w:pPr>
            <w:r>
              <w:rPr>
                <w:rFonts w:ascii="Arial" w:cs="Arial" w:eastAsia="Arial" w:hAnsi="Arial"/>
                <w:sz w:val="11"/>
                <w:szCs w:val="11"/>
                <w:b w:val="1"/>
                <w:bCs w:val="1"/>
                <w:color w:val="auto"/>
                <w:w w:val="95"/>
              </w:rPr>
              <w:t>Impact of 10% Deterioration in</w:t>
            </w:r>
          </w:p>
        </w:tc>
        <w:tc>
          <w:tcPr>
            <w:tcW w:w="840" w:type="dxa"/>
            <w:vAlign w:val="bottom"/>
          </w:tcPr>
          <w:p>
            <w:pPr>
              <w:spacing w:after="0"/>
              <w:rPr>
                <w:sz w:val="8"/>
                <w:szCs w:val="8"/>
                <w:color w:val="auto"/>
              </w:rPr>
            </w:pPr>
          </w:p>
        </w:tc>
        <w:tc>
          <w:tcPr>
            <w:tcW w:w="2700" w:type="dxa"/>
            <w:vAlign w:val="bottom"/>
          </w:tcPr>
          <w:p>
            <w:pPr>
              <w:jc w:val="center"/>
              <w:ind w:left="619"/>
              <w:spacing w:after="0" w:line="101" w:lineRule="exact"/>
              <w:rPr>
                <w:sz w:val="20"/>
                <w:szCs w:val="20"/>
                <w:color w:val="auto"/>
              </w:rPr>
            </w:pPr>
            <w:r>
              <w:rPr>
                <w:rFonts w:ascii="Arial" w:cs="Arial" w:eastAsia="Arial" w:hAnsi="Arial"/>
                <w:sz w:val="11"/>
                <w:szCs w:val="11"/>
                <w:b w:val="1"/>
                <w:bCs w:val="1"/>
                <w:color w:val="auto"/>
                <w:w w:val="95"/>
              </w:rPr>
              <w:t>Impact of 10% Appreciation in</w:t>
            </w:r>
          </w:p>
        </w:tc>
        <w:tc>
          <w:tcPr>
            <w:tcW w:w="640" w:type="dxa"/>
            <w:vAlign w:val="bottom"/>
          </w:tcPr>
          <w:p>
            <w:pPr>
              <w:spacing w:after="0"/>
              <w:rPr>
                <w:sz w:val="8"/>
                <w:szCs w:val="8"/>
                <w:color w:val="auto"/>
              </w:rPr>
            </w:pPr>
          </w:p>
        </w:tc>
      </w:tr>
      <w:tr>
        <w:trPr>
          <w:trHeight w:val="148"/>
        </w:trPr>
        <w:tc>
          <w:tcPr>
            <w:tcW w:w="4580" w:type="dxa"/>
            <w:vAlign w:val="bottom"/>
          </w:tcPr>
          <w:p>
            <w:pPr>
              <w:spacing w:after="0"/>
              <w:rPr>
                <w:sz w:val="12"/>
                <w:szCs w:val="12"/>
                <w:color w:val="auto"/>
              </w:rPr>
            </w:pPr>
          </w:p>
        </w:tc>
        <w:tc>
          <w:tcPr>
            <w:tcW w:w="2520" w:type="dxa"/>
            <w:vAlign w:val="bottom"/>
            <w:tcBorders>
              <w:bottom w:val="single" w:sz="8" w:color="auto"/>
            </w:tcBorders>
          </w:tcPr>
          <w:p>
            <w:pPr>
              <w:jc w:val="center"/>
              <w:ind w:left="740"/>
              <w:spacing w:after="0"/>
              <w:rPr>
                <w:sz w:val="20"/>
                <w:szCs w:val="20"/>
                <w:color w:val="auto"/>
              </w:rPr>
            </w:pPr>
            <w:r>
              <w:rPr>
                <w:rFonts w:ascii="Arial" w:cs="Arial" w:eastAsia="Arial" w:hAnsi="Arial"/>
                <w:sz w:val="11"/>
                <w:szCs w:val="11"/>
                <w:b w:val="1"/>
                <w:bCs w:val="1"/>
                <w:color w:val="auto"/>
                <w:w w:val="91"/>
              </w:rPr>
              <w:t>Exchange Rate</w:t>
            </w:r>
            <w:r>
              <w:rPr>
                <w:rFonts w:ascii="Arial" w:cs="Arial" w:eastAsia="Arial" w:hAnsi="Arial"/>
                <w:sz w:val="7"/>
                <w:szCs w:val="7"/>
                <w:b w:val="1"/>
                <w:bCs w:val="1"/>
                <w:color w:val="auto"/>
                <w:w w:val="91"/>
              </w:rPr>
              <w:t>(a)</w:t>
            </w:r>
          </w:p>
        </w:tc>
        <w:tc>
          <w:tcPr>
            <w:tcW w:w="840" w:type="dxa"/>
            <w:vAlign w:val="bottom"/>
            <w:tcBorders>
              <w:bottom w:val="single" w:sz="8" w:color="auto"/>
            </w:tcBorders>
          </w:tcPr>
          <w:p>
            <w:pPr>
              <w:spacing w:after="0"/>
              <w:rPr>
                <w:sz w:val="12"/>
                <w:szCs w:val="12"/>
                <w:color w:val="auto"/>
              </w:rPr>
            </w:pPr>
          </w:p>
        </w:tc>
        <w:tc>
          <w:tcPr>
            <w:tcW w:w="2700" w:type="dxa"/>
            <w:vAlign w:val="bottom"/>
            <w:tcBorders>
              <w:bottom w:val="single" w:sz="8" w:color="auto"/>
            </w:tcBorders>
          </w:tcPr>
          <w:p>
            <w:pPr>
              <w:jc w:val="center"/>
              <w:ind w:left="619"/>
              <w:spacing w:after="0"/>
              <w:rPr>
                <w:sz w:val="20"/>
                <w:szCs w:val="20"/>
                <w:color w:val="auto"/>
              </w:rPr>
            </w:pPr>
            <w:r>
              <w:rPr>
                <w:rFonts w:ascii="Arial" w:cs="Arial" w:eastAsia="Arial" w:hAnsi="Arial"/>
                <w:sz w:val="11"/>
                <w:szCs w:val="11"/>
                <w:b w:val="1"/>
                <w:bCs w:val="1"/>
                <w:color w:val="auto"/>
                <w:w w:val="93"/>
              </w:rPr>
              <w:t>Exchange Rate</w:t>
            </w:r>
            <w:r>
              <w:rPr>
                <w:rFonts w:ascii="Arial" w:cs="Arial" w:eastAsia="Arial" w:hAnsi="Arial"/>
                <w:sz w:val="7"/>
                <w:szCs w:val="7"/>
                <w:b w:val="1"/>
                <w:bCs w:val="1"/>
                <w:color w:val="auto"/>
                <w:w w:val="93"/>
              </w:rPr>
              <w:t>(b)</w:t>
            </w:r>
          </w:p>
        </w:tc>
        <w:tc>
          <w:tcPr>
            <w:tcW w:w="640" w:type="dxa"/>
            <w:vAlign w:val="bottom"/>
            <w:tcBorders>
              <w:bottom w:val="single" w:sz="8" w:color="auto"/>
            </w:tcBorders>
          </w:tcPr>
          <w:p>
            <w:pPr>
              <w:spacing w:after="0"/>
              <w:rPr>
                <w:sz w:val="12"/>
                <w:szCs w:val="12"/>
                <w:color w:val="auto"/>
              </w:rPr>
            </w:pPr>
          </w:p>
        </w:tc>
      </w:tr>
      <w:tr>
        <w:trPr>
          <w:trHeight w:val="139"/>
        </w:trPr>
        <w:tc>
          <w:tcPr>
            <w:tcW w:w="4580" w:type="dxa"/>
            <w:vAlign w:val="bottom"/>
          </w:tcPr>
          <w:p>
            <w:pPr>
              <w:spacing w:after="0"/>
              <w:rPr>
                <w:sz w:val="12"/>
                <w:szCs w:val="12"/>
                <w:color w:val="auto"/>
              </w:rPr>
            </w:pPr>
          </w:p>
        </w:tc>
        <w:tc>
          <w:tcPr>
            <w:tcW w:w="6060" w:type="dxa"/>
            <w:vAlign w:val="bottom"/>
            <w:gridSpan w:val="3"/>
          </w:tcPr>
          <w:p>
            <w:pPr>
              <w:jc w:val="center"/>
              <w:ind w:left="580"/>
              <w:spacing w:after="0"/>
              <w:rPr>
                <w:sz w:val="20"/>
                <w:szCs w:val="20"/>
                <w:color w:val="auto"/>
              </w:rPr>
            </w:pPr>
            <w:r>
              <w:rPr>
                <w:rFonts w:ascii="Arial" w:cs="Arial" w:eastAsia="Arial" w:hAnsi="Arial"/>
                <w:sz w:val="11"/>
                <w:szCs w:val="11"/>
                <w:b w:val="1"/>
                <w:bCs w:val="1"/>
                <w:color w:val="auto"/>
                <w:w w:val="91"/>
              </w:rPr>
              <w:t>(In thousands, except for exchange rate data)</w:t>
            </w:r>
          </w:p>
        </w:tc>
        <w:tc>
          <w:tcPr>
            <w:tcW w:w="640" w:type="dxa"/>
            <w:vAlign w:val="bottom"/>
          </w:tcPr>
          <w:p>
            <w:pPr>
              <w:spacing w:after="0"/>
              <w:rPr>
                <w:sz w:val="12"/>
                <w:szCs w:val="12"/>
                <w:color w:val="auto"/>
              </w:rPr>
            </w:pPr>
          </w:p>
        </w:tc>
      </w:tr>
      <w:tr>
        <w:trPr>
          <w:trHeight w:val="181"/>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 currency remeasurement gain (loss)</w:t>
            </w:r>
          </w:p>
        </w:tc>
        <w:tc>
          <w:tcPr>
            <w:tcW w:w="2520" w:type="dxa"/>
            <w:vAlign w:val="bottom"/>
            <w:shd w:val="clear" w:color="auto" w:fill="CCEEFF"/>
          </w:tcPr>
          <w:p>
            <w:pPr>
              <w:jc w:val="right"/>
              <w:ind w:right="236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center"/>
              <w:ind w:left="213"/>
              <w:spacing w:after="0"/>
              <w:rPr>
                <w:sz w:val="20"/>
                <w:szCs w:val="20"/>
                <w:color w:val="auto"/>
              </w:rPr>
            </w:pPr>
            <w:r>
              <w:rPr>
                <w:rFonts w:ascii="Arial" w:cs="Arial" w:eastAsia="Arial" w:hAnsi="Arial"/>
                <w:sz w:val="14"/>
                <w:szCs w:val="14"/>
                <w:color w:val="auto"/>
                <w:w w:val="90"/>
              </w:rPr>
              <w:t>(2,948)</w:t>
            </w:r>
          </w:p>
        </w:tc>
        <w:tc>
          <w:tcPr>
            <w:tcW w:w="2700" w:type="dxa"/>
            <w:vAlign w:val="bottom"/>
            <w:shd w:val="clear" w:color="auto" w:fill="CCEEFF"/>
          </w:tcPr>
          <w:p>
            <w:pPr>
              <w:jc w:val="right"/>
              <w:ind w:right="2519"/>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3,603</w:t>
            </w:r>
          </w:p>
        </w:tc>
      </w:tr>
      <w:tr>
        <w:trPr>
          <w:trHeight w:val="180"/>
        </w:trPr>
        <w:tc>
          <w:tcPr>
            <w:tcW w:w="4580" w:type="dxa"/>
            <w:vAlign w:val="bottom"/>
          </w:tcPr>
          <w:p>
            <w:pPr>
              <w:ind w:left="20"/>
              <w:spacing w:after="0"/>
              <w:rPr>
                <w:sz w:val="20"/>
                <w:szCs w:val="20"/>
                <w:color w:val="auto"/>
              </w:rPr>
            </w:pPr>
            <w:r>
              <w:rPr>
                <w:rFonts w:ascii="Arial" w:cs="Arial" w:eastAsia="Arial" w:hAnsi="Arial"/>
                <w:sz w:val="14"/>
                <w:szCs w:val="14"/>
                <w:color w:val="auto"/>
              </w:rPr>
              <w:t>Exchange rate of Mexican pesos to the U.S. dollar:</w:t>
            </w:r>
          </w:p>
        </w:tc>
        <w:tc>
          <w:tcPr>
            <w:tcW w:w="25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81"/>
        </w:trPr>
        <w:tc>
          <w:tcPr>
            <w:tcW w:w="45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As reported</w:t>
            </w:r>
          </w:p>
        </w:tc>
        <w:tc>
          <w:tcPr>
            <w:tcW w:w="2520" w:type="dxa"/>
            <w:vAlign w:val="bottom"/>
            <w:shd w:val="clear" w:color="auto" w:fill="CCEEFF"/>
          </w:tcPr>
          <w:p>
            <w:pPr>
              <w:spacing w:after="0"/>
              <w:rPr>
                <w:sz w:val="15"/>
                <w:szCs w:val="15"/>
                <w:color w:val="auto"/>
              </w:rPr>
            </w:pPr>
          </w:p>
        </w:tc>
        <w:tc>
          <w:tcPr>
            <w:tcW w:w="840" w:type="dxa"/>
            <w:vAlign w:val="bottom"/>
            <w:shd w:val="clear" w:color="auto" w:fill="CCEEFF"/>
          </w:tcPr>
          <w:p>
            <w:pPr>
              <w:jc w:val="center"/>
              <w:ind w:left="253"/>
              <w:spacing w:after="0"/>
              <w:rPr>
                <w:sz w:val="20"/>
                <w:szCs w:val="20"/>
                <w:color w:val="auto"/>
              </w:rPr>
            </w:pPr>
            <w:r>
              <w:rPr>
                <w:rFonts w:ascii="Arial" w:cs="Arial" w:eastAsia="Arial" w:hAnsi="Arial"/>
                <w:sz w:val="14"/>
                <w:szCs w:val="14"/>
                <w:color w:val="auto"/>
                <w:w w:val="91"/>
              </w:rPr>
              <w:t>20.61</w:t>
            </w:r>
          </w:p>
        </w:tc>
        <w:tc>
          <w:tcPr>
            <w:tcW w:w="27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20.61</w:t>
            </w:r>
          </w:p>
        </w:tc>
      </w:tr>
      <w:tr>
        <w:trPr>
          <w:trHeight w:val="180"/>
        </w:trPr>
        <w:tc>
          <w:tcPr>
            <w:tcW w:w="4580" w:type="dxa"/>
            <w:vAlign w:val="bottom"/>
          </w:tcPr>
          <w:p>
            <w:pPr>
              <w:ind w:left="180"/>
              <w:spacing w:after="0"/>
              <w:rPr>
                <w:sz w:val="20"/>
                <w:szCs w:val="20"/>
                <w:color w:val="auto"/>
              </w:rPr>
            </w:pPr>
            <w:r>
              <w:rPr>
                <w:rFonts w:ascii="Arial" w:cs="Arial" w:eastAsia="Arial" w:hAnsi="Arial"/>
                <w:sz w:val="14"/>
                <w:szCs w:val="14"/>
                <w:color w:val="auto"/>
              </w:rPr>
              <w:t>Hypothetical 10% change</w:t>
            </w:r>
          </w:p>
        </w:tc>
        <w:tc>
          <w:tcPr>
            <w:tcW w:w="2520" w:type="dxa"/>
            <w:vAlign w:val="bottom"/>
          </w:tcPr>
          <w:p>
            <w:pPr>
              <w:spacing w:after="0"/>
              <w:rPr>
                <w:sz w:val="15"/>
                <w:szCs w:val="15"/>
                <w:color w:val="auto"/>
              </w:rPr>
            </w:pPr>
          </w:p>
        </w:tc>
        <w:tc>
          <w:tcPr>
            <w:tcW w:w="840" w:type="dxa"/>
            <w:vAlign w:val="bottom"/>
          </w:tcPr>
          <w:p>
            <w:pPr>
              <w:jc w:val="center"/>
              <w:ind w:left="253"/>
              <w:spacing w:after="0"/>
              <w:rPr>
                <w:sz w:val="20"/>
                <w:szCs w:val="20"/>
                <w:color w:val="auto"/>
              </w:rPr>
            </w:pPr>
            <w:r>
              <w:rPr>
                <w:rFonts w:ascii="Arial" w:cs="Arial" w:eastAsia="Arial" w:hAnsi="Arial"/>
                <w:sz w:val="14"/>
                <w:szCs w:val="14"/>
                <w:color w:val="auto"/>
                <w:w w:val="91"/>
              </w:rPr>
              <w:t>22.67</w:t>
            </w:r>
          </w:p>
        </w:tc>
        <w:tc>
          <w:tcPr>
            <w:tcW w:w="27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18.55</w:t>
            </w:r>
          </w:p>
        </w:tc>
      </w:tr>
    </w:tbl>
    <w:p>
      <w:pPr>
        <w:spacing w:after="0" w:line="28" w:lineRule="exact"/>
        <w:rPr>
          <w:sz w:val="20"/>
          <w:szCs w:val="20"/>
          <w:color w:val="auto"/>
        </w:rPr>
      </w:pPr>
    </w:p>
    <w:p>
      <w:pPr>
        <w:ind w:left="520" w:hanging="515"/>
        <w:spacing w:after="0" w:line="261" w:lineRule="auto"/>
        <w:tabs>
          <w:tab w:leader="none" w:pos="518" w:val="left"/>
        </w:tabs>
        <w:numPr>
          <w:ilvl w:val="0"/>
          <w:numId w:val="20"/>
        </w:numPr>
        <w:rPr>
          <w:rFonts w:ascii="Arial" w:cs="Arial" w:eastAsia="Arial" w:hAnsi="Arial"/>
          <w:sz w:val="11"/>
          <w:szCs w:val="11"/>
          <w:color w:val="auto"/>
        </w:rPr>
      </w:pPr>
      <w:r>
        <w:rPr>
          <w:rFonts w:ascii="Arial" w:cs="Arial" w:eastAsia="Arial" w:hAnsi="Arial"/>
          <w:sz w:val="11"/>
          <w:szCs w:val="11"/>
          <w:color w:val="auto"/>
        </w:rPr>
        <w:t>Based on the net monetary asset position of our Mexican subsidiaries, a 10% weakening in the exchange rate of Mexican pesos to U.S. dollar will result in recognition of foreign currency remeasurement loss for the year ended December 26, 2021.</w:t>
      </w:r>
    </w:p>
    <w:p>
      <w:pPr>
        <w:ind w:left="520" w:hanging="515"/>
        <w:spacing w:after="0" w:line="276" w:lineRule="auto"/>
        <w:tabs>
          <w:tab w:leader="none" w:pos="514" w:val="left"/>
        </w:tabs>
        <w:numPr>
          <w:ilvl w:val="0"/>
          <w:numId w:val="20"/>
        </w:numPr>
        <w:rPr>
          <w:rFonts w:ascii="Arial" w:cs="Arial" w:eastAsia="Arial" w:hAnsi="Arial"/>
          <w:sz w:val="11"/>
          <w:szCs w:val="11"/>
          <w:color w:val="auto"/>
        </w:rPr>
      </w:pPr>
      <w:r>
        <w:rPr>
          <w:rFonts w:ascii="Arial" w:cs="Arial" w:eastAsia="Arial" w:hAnsi="Arial"/>
          <w:sz w:val="11"/>
          <w:szCs w:val="11"/>
          <w:color w:val="auto"/>
        </w:rPr>
        <w:t>Based on the net monetary asset position of our Mexican subsidiaries, a 10% strengthening in the exchange rate of Mexican pesos to U.S. dollar will result in recognition of foreign currency remeasurement gain for the year ended December 26, 2021.</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1" w:name="page42"/>
    <w:bookmarkEnd w:id="41"/>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-6985</wp:posOffset>
            </wp:positionV>
            <wp:extent cx="727075" cy="69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7075" cy="6985"/>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U.K. and Europe Subsidiaries</w:t>
      </w:r>
    </w:p>
    <w:p>
      <w:pPr>
        <w:spacing w:after="0" w:line="136" w:lineRule="exact"/>
        <w:rPr>
          <w:sz w:val="20"/>
          <w:szCs w:val="20"/>
          <w:color w:val="auto"/>
        </w:rPr>
      </w:pPr>
    </w:p>
    <w:p>
      <w:pPr>
        <w:jc w:val="both"/>
        <w:ind w:firstLine="509"/>
        <w:spacing w:after="0" w:line="297" w:lineRule="auto"/>
        <w:rPr>
          <w:sz w:val="20"/>
          <w:szCs w:val="20"/>
          <w:color w:val="auto"/>
        </w:rPr>
      </w:pPr>
      <w:r>
        <w:rPr>
          <w:rFonts w:ascii="Arial" w:cs="Arial" w:eastAsia="Arial" w:hAnsi="Arial"/>
          <w:sz w:val="13"/>
          <w:szCs w:val="13"/>
          <w:color w:val="auto"/>
        </w:rPr>
        <w:t>We are exposed to foreign exchange-related variability of investments and earnings from our U.K. and Europe subsidiaries. Foreign currency market risk is the possibility that our financial results or financial position could be better or worse than planned because of changes in foreign currency exchange rates. For this sensitivity analysis, market risk is estimated as a hypothetical 10% change in exchange rates used to convert U.S. dollars to British pound and to euro, and the effect of this change on our U.K. and Europe subsidiaries.</w:t>
      </w:r>
    </w:p>
    <w:p>
      <w:pPr>
        <w:spacing w:after="0" w:line="82"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4"/>
          <w:szCs w:val="14"/>
          <w:i w:val="1"/>
          <w:iCs w:val="1"/>
          <w:color w:val="auto"/>
        </w:rPr>
        <w:t xml:space="preserve">Net assets. </w:t>
      </w:r>
      <w:r>
        <w:rPr>
          <w:rFonts w:ascii="Arial" w:cs="Arial" w:eastAsia="Arial" w:hAnsi="Arial"/>
          <w:sz w:val="14"/>
          <w:szCs w:val="14"/>
          <w:color w:val="auto"/>
        </w:rPr>
        <w:t>As of December 26, 2021, our U.K. and Europe subsidiaries that are denominated in British pound had net assets of $2.9 billion. A 10% weakening in U.S. dollar against the</w:t>
      </w:r>
      <w:r>
        <w:rPr>
          <w:rFonts w:ascii="Arial" w:cs="Arial" w:eastAsia="Arial" w:hAnsi="Arial"/>
          <w:sz w:val="14"/>
          <w:szCs w:val="14"/>
          <w:i w:val="1"/>
          <w:iCs w:val="1"/>
          <w:color w:val="auto"/>
        </w:rPr>
        <w:t xml:space="preserve"> </w:t>
      </w:r>
      <w:r>
        <w:rPr>
          <w:rFonts w:ascii="Arial" w:cs="Arial" w:eastAsia="Arial" w:hAnsi="Arial"/>
          <w:sz w:val="14"/>
          <w:szCs w:val="14"/>
          <w:color w:val="auto"/>
        </w:rPr>
        <w:t>British pound exchange rate would cause a decrease in the net assets of our U.K. and Europe subsidiaries by $266.6 million. A 10% strengthening in U.S. dollar against the British pound exchange rate would cause an increase in the net assets of our U.K. and Europe subsidiaries by $325.9 million.</w:t>
      </w:r>
    </w:p>
    <w:p>
      <w:pPr>
        <w:spacing w:after="0" w:line="99"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i w:val="1"/>
          <w:iCs w:val="1"/>
          <w:color w:val="auto"/>
        </w:rPr>
        <w:t xml:space="preserve">Cash flow hedging transactions. </w:t>
      </w:r>
      <w:r>
        <w:rPr>
          <w:rFonts w:ascii="Arial" w:cs="Arial" w:eastAsia="Arial" w:hAnsi="Arial"/>
          <w:sz w:val="14"/>
          <w:szCs w:val="14"/>
          <w:color w:val="auto"/>
        </w:rPr>
        <w:t>We periodically enter into foreign currency forward contracts, which are designated and qualify as cash flow hedges, to hedge foreign currency risk on a</w:t>
      </w:r>
      <w:r>
        <w:rPr>
          <w:rFonts w:ascii="Arial" w:cs="Arial" w:eastAsia="Arial" w:hAnsi="Arial"/>
          <w:sz w:val="14"/>
          <w:szCs w:val="14"/>
          <w:i w:val="1"/>
          <w:iCs w:val="1"/>
          <w:color w:val="auto"/>
        </w:rPr>
        <w:t xml:space="preserve"> </w:t>
      </w:r>
      <w:r>
        <w:rPr>
          <w:rFonts w:ascii="Arial" w:cs="Arial" w:eastAsia="Arial" w:hAnsi="Arial"/>
          <w:sz w:val="14"/>
          <w:szCs w:val="14"/>
          <w:color w:val="auto"/>
        </w:rPr>
        <w:t>portion of sales generated and purchases made by our U.K. and Europe subsidiaries. A 10% weakening or strengthening of the U.S. dollar against the British pound and U.S. dollar against the euro would result in immaterial changes in the fair values of these derivative instruments. No assurance can be given as to how future movements in currency rates could affect our future financial condition or results of operations.</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Quality of Investments</w:t>
      </w:r>
    </w:p>
    <w:p>
      <w:pPr>
        <w:spacing w:after="0" w:line="140" w:lineRule="exact"/>
        <w:rPr>
          <w:sz w:val="20"/>
          <w:szCs w:val="20"/>
          <w:color w:val="auto"/>
        </w:rPr>
      </w:pPr>
    </w:p>
    <w:p>
      <w:pPr>
        <w:jc w:val="both"/>
        <w:ind w:firstLine="509"/>
        <w:spacing w:after="0" w:line="319" w:lineRule="auto"/>
        <w:rPr>
          <w:sz w:val="20"/>
          <w:szCs w:val="20"/>
          <w:color w:val="auto"/>
        </w:rPr>
      </w:pPr>
      <w:r>
        <w:rPr>
          <w:rFonts w:ascii="Arial" w:cs="Arial" w:eastAsia="Arial" w:hAnsi="Arial"/>
          <w:sz w:val="12"/>
          <w:szCs w:val="12"/>
          <w:color w:val="auto"/>
        </w:rPr>
        <w:t>Certain retirement plans that we sponsor invest in a variety of financial instruments. We have analyzed our portfolios of investments and, to the best of our knowledge, none of our investments, including money market funds units, commercial paper and municipal securities, have been downgraded, and neither we nor any fund in which we participate hold significant amounts of structured investment vehicles, auction rate securities, collateralized debt obligations, credit derivatives, hedge funds investments, fund of funds investments or perpetual preferred securities. Certain postretirement funds in which we participate hold significant amounts of mortgage-backed securities. However, none of the mortgages collateralizing these securities are considered subprime.</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Impact of Inflation</w:t>
      </w:r>
    </w:p>
    <w:p>
      <w:pPr>
        <w:spacing w:after="0" w:line="140" w:lineRule="exact"/>
        <w:rPr>
          <w:sz w:val="20"/>
          <w:szCs w:val="20"/>
          <w:color w:val="auto"/>
        </w:rPr>
      </w:pPr>
    </w:p>
    <w:p>
      <w:pPr>
        <w:jc w:val="both"/>
        <w:ind w:firstLine="509"/>
        <w:spacing w:after="0" w:line="281" w:lineRule="auto"/>
        <w:rPr>
          <w:sz w:val="20"/>
          <w:szCs w:val="20"/>
          <w:color w:val="auto"/>
        </w:rPr>
      </w:pPr>
      <w:r>
        <w:rPr>
          <w:rFonts w:ascii="Arial" w:cs="Arial" w:eastAsia="Arial" w:hAnsi="Arial"/>
          <w:sz w:val="14"/>
          <w:szCs w:val="14"/>
          <w:color w:val="auto"/>
        </w:rPr>
        <w:t>Due to low to moderate inflation in the U.S., the U.K., continental Europe and Mexico and our rapid inventory turnover rate, the results of operations have not been significantly affected by inflation during the past three-year period.</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2" w:name="page43"/>
    <w:bookmarkEnd w:id="42"/>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-6985</wp:posOffset>
            </wp:positionV>
            <wp:extent cx="727075" cy="69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7075" cy="698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8. Financial Statements and Supplementary Data</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267" w:lineRule="exact"/>
        <w:rPr>
          <w:sz w:val="20"/>
          <w:szCs w:val="20"/>
          <w:color w:val="auto"/>
        </w:rPr>
      </w:pPr>
    </w:p>
    <w:p>
      <w:pPr>
        <w:spacing w:after="0"/>
        <w:rPr>
          <w:sz w:val="20"/>
          <w:szCs w:val="20"/>
          <w:color w:val="auto"/>
        </w:rPr>
      </w:pPr>
      <w:r>
        <w:rPr>
          <w:rFonts w:ascii="Arial" w:cs="Arial" w:eastAsia="Arial" w:hAnsi="Arial"/>
          <w:sz w:val="14"/>
          <w:szCs w:val="14"/>
          <w:color w:val="auto"/>
        </w:rPr>
        <w:t>To the Stockholders and Board of Directors</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Pilgrim's Pride Corporation:</w:t>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color w:val="auto"/>
        </w:rPr>
        <w:t>Opinions on the Consolidated Financial Statements and Internal Control Over Financial Reporting</w:t>
      </w:r>
    </w:p>
    <w:p>
      <w:pPr>
        <w:spacing w:after="0" w:line="136" w:lineRule="exact"/>
        <w:rPr>
          <w:sz w:val="20"/>
          <w:szCs w:val="20"/>
          <w:color w:val="auto"/>
        </w:rPr>
      </w:pPr>
    </w:p>
    <w:p>
      <w:pPr>
        <w:ind w:right="80"/>
        <w:spacing w:after="0" w:line="288" w:lineRule="auto"/>
        <w:rPr>
          <w:sz w:val="20"/>
          <w:szCs w:val="20"/>
          <w:color w:val="auto"/>
        </w:rPr>
      </w:pPr>
      <w:r>
        <w:rPr>
          <w:rFonts w:ascii="Arial" w:cs="Arial" w:eastAsia="Arial" w:hAnsi="Arial"/>
          <w:sz w:val="13"/>
          <w:szCs w:val="13"/>
          <w:color w:val="auto"/>
        </w:rPr>
        <w:t>We have audited the accompanying consolidated balance sheets of Pilgrim's Pride Corporation and subsidiaries (the Company) as of December 26, 2021 and December 27, 2020, the related consolidated statements of income, comprehensive income, stockholders’ equity, and cash flows for each of the fiscal years in the three-year period ended December 26, 2021, and the related notes and financial statement schedule II (collectively, the consolidated financial statements). We also have audited the Company’s internal control over financial reporting as of December 26, 2021, based on criteria established in Internal Control – Integrated Framework (2013) issued by the Committee of Sponsoring Organizations of the Treadway Commission.</w:t>
      </w:r>
    </w:p>
    <w:p>
      <w:pPr>
        <w:spacing w:after="0" w:line="89" w:lineRule="exact"/>
        <w:rPr>
          <w:sz w:val="20"/>
          <w:szCs w:val="20"/>
          <w:color w:val="auto"/>
        </w:rPr>
      </w:pPr>
    </w:p>
    <w:p>
      <w:pPr>
        <w:ind w:right="100"/>
        <w:spacing w:after="0" w:line="262" w:lineRule="auto"/>
        <w:rPr>
          <w:sz w:val="20"/>
          <w:szCs w:val="20"/>
          <w:color w:val="auto"/>
        </w:rPr>
      </w:pPr>
      <w:r>
        <w:rPr>
          <w:rFonts w:ascii="Arial" w:cs="Arial" w:eastAsia="Arial" w:hAnsi="Arial"/>
          <w:sz w:val="14"/>
          <w:szCs w:val="14"/>
          <w:color w:val="auto"/>
        </w:rPr>
        <w:t>In our opinion, the consolidated financial statements referred to above present fairly, in all material respects, the financial position of the Company as of December 26, 2021 and December 27, 2020, and the results of its operations and its cash flows for each of the fiscal years in the three-year period ended December 26, 2021, in conformity with U.S. generally accepted accounting principles. Also in our opinion, the Company maintained, in all material respects, effective internal control over financial reporting as of December 26, 2021 based on the Committee of Sponsoring Organizations of the Treadway Commission (COSO) Internal Control Integrated Framework (2013).</w:t>
      </w:r>
    </w:p>
    <w:p>
      <w:pPr>
        <w:spacing w:after="0" w:line="103" w:lineRule="exact"/>
        <w:rPr>
          <w:sz w:val="20"/>
          <w:szCs w:val="20"/>
          <w:color w:val="auto"/>
        </w:rPr>
      </w:pPr>
    </w:p>
    <w:p>
      <w:pPr>
        <w:ind w:right="160"/>
        <w:spacing w:after="0" w:line="262" w:lineRule="auto"/>
        <w:rPr>
          <w:sz w:val="20"/>
          <w:szCs w:val="20"/>
          <w:color w:val="auto"/>
        </w:rPr>
      </w:pPr>
      <w:r>
        <w:rPr>
          <w:rFonts w:ascii="Arial" w:cs="Arial" w:eastAsia="Arial" w:hAnsi="Arial"/>
          <w:sz w:val="14"/>
          <w:szCs w:val="14"/>
          <w:color w:val="auto"/>
        </w:rPr>
        <w:t>The Company acquired Pilgrim's Food Masters during 2021, and management excluded from its assessment of the effectiveness of the Company’s internal control over financial reporting as of December 26, 2021, Pilgrim's Food Masters’ internal control over financial reporting associated with total assets of $1.3 billion and total revenues of $293.6 million included in the consolidated financial statements of the Company as of and for the fiscal year ended December 26, 2021. Our audit of internal control over financial reporting of the Company also excluded an evaluation of the internal control over financial reporting of Pilgrim's Food Masters.</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color w:val="auto"/>
        </w:rPr>
        <w:t>Basis for Opinions</w:t>
      </w:r>
    </w:p>
    <w:p>
      <w:pPr>
        <w:spacing w:after="0" w:line="136" w:lineRule="exact"/>
        <w:rPr>
          <w:sz w:val="20"/>
          <w:szCs w:val="20"/>
          <w:color w:val="auto"/>
        </w:rPr>
      </w:pPr>
    </w:p>
    <w:p>
      <w:pPr>
        <w:spacing w:after="0" w:line="260" w:lineRule="auto"/>
        <w:rPr>
          <w:sz w:val="20"/>
          <w:szCs w:val="20"/>
          <w:color w:val="auto"/>
        </w:rPr>
      </w:pPr>
      <w:r>
        <w:rPr>
          <w:rFonts w:ascii="Arial" w:cs="Arial" w:eastAsia="Arial" w:hAnsi="Arial"/>
          <w:sz w:val="14"/>
          <w:szCs w:val="14"/>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04" w:lineRule="exact"/>
        <w:rPr>
          <w:sz w:val="20"/>
          <w:szCs w:val="20"/>
          <w:color w:val="auto"/>
        </w:rPr>
      </w:pPr>
    </w:p>
    <w:p>
      <w:pPr>
        <w:ind w:right="120"/>
        <w:spacing w:after="0" w:line="368" w:lineRule="auto"/>
        <w:rPr>
          <w:sz w:val="20"/>
          <w:szCs w:val="20"/>
          <w:color w:val="auto"/>
        </w:rPr>
      </w:pPr>
      <w:r>
        <w:rPr>
          <w:rFonts w:ascii="Arial" w:cs="Arial" w:eastAsia="Arial" w:hAnsi="Arial"/>
          <w:sz w:val="12"/>
          <w:szCs w:val="12"/>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44" w:lineRule="exact"/>
        <w:rPr>
          <w:sz w:val="20"/>
          <w:szCs w:val="20"/>
          <w:color w:val="auto"/>
        </w:rPr>
      </w:pPr>
    </w:p>
    <w:p>
      <w:pPr>
        <w:ind w:right="20"/>
        <w:spacing w:after="0" w:line="258" w:lineRule="auto"/>
        <w:rPr>
          <w:sz w:val="20"/>
          <w:szCs w:val="20"/>
          <w:color w:val="auto"/>
        </w:rPr>
      </w:pPr>
      <w:r>
        <w:rPr>
          <w:rFonts w:ascii="Arial" w:cs="Arial" w:eastAsia="Arial" w:hAnsi="Arial"/>
          <w:sz w:val="14"/>
          <w:szCs w:val="14"/>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color w:val="auto"/>
        </w:rPr>
        <w:t>Definition and Limitations of Internal Control Over Financial Reporting</w:t>
      </w:r>
    </w:p>
    <w:p>
      <w:pPr>
        <w:spacing w:after="0" w:line="136" w:lineRule="exact"/>
        <w:rPr>
          <w:sz w:val="20"/>
          <w:szCs w:val="20"/>
          <w:color w:val="auto"/>
        </w:rPr>
      </w:pPr>
    </w:p>
    <w:p>
      <w:pPr>
        <w:ind w:right="100"/>
        <w:spacing w:after="0" w:line="262" w:lineRule="auto"/>
        <w:rPr>
          <w:sz w:val="20"/>
          <w:szCs w:val="20"/>
          <w:color w:val="auto"/>
        </w:rPr>
      </w:pPr>
      <w:r>
        <w:rPr>
          <w:rFonts w:ascii="Arial" w:cs="Arial" w:eastAsia="Arial" w:hAnsi="Arial"/>
          <w:sz w:val="14"/>
          <w:szCs w:val="14"/>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3" w:name="page44"/>
    <w:bookmarkEnd w:id="43"/>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-6985</wp:posOffset>
            </wp:positionV>
            <wp:extent cx="727075" cy="69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7075" cy="6985"/>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ind w:right="320"/>
        <w:spacing w:after="0" w:line="267" w:lineRule="auto"/>
        <w:rPr>
          <w:sz w:val="20"/>
          <w:szCs w:val="20"/>
          <w:color w:val="auto"/>
        </w:rPr>
      </w:pPr>
      <w:r>
        <w:rPr>
          <w:rFonts w:ascii="Arial" w:cs="Arial" w:eastAsia="Arial" w:hAnsi="Arial"/>
          <w:sz w:val="14"/>
          <w:szCs w:val="14"/>
          <w:color w:val="auto"/>
        </w:rPr>
        <w:t>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99" w:lineRule="exact"/>
        <w:rPr>
          <w:sz w:val="20"/>
          <w:szCs w:val="20"/>
          <w:color w:val="auto"/>
        </w:rPr>
      </w:pPr>
    </w:p>
    <w:p>
      <w:pPr>
        <w:ind w:right="100"/>
        <w:spacing w:after="0" w:line="321" w:lineRule="auto"/>
        <w:rPr>
          <w:sz w:val="20"/>
          <w:szCs w:val="20"/>
          <w:color w:val="auto"/>
        </w:rPr>
      </w:pPr>
      <w:r>
        <w:rPr>
          <w:rFonts w:ascii="Arial" w:cs="Arial" w:eastAsia="Arial" w:hAnsi="Arial"/>
          <w:sz w:val="13"/>
          <w:szCs w:val="13"/>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67" w:lineRule="exact"/>
        <w:rPr>
          <w:sz w:val="20"/>
          <w:szCs w:val="20"/>
          <w:color w:val="auto"/>
        </w:rPr>
      </w:pPr>
    </w:p>
    <w:p>
      <w:pPr>
        <w:spacing w:after="0"/>
        <w:rPr>
          <w:sz w:val="20"/>
          <w:szCs w:val="20"/>
          <w:color w:val="auto"/>
        </w:rPr>
      </w:pPr>
      <w:r>
        <w:rPr>
          <w:rFonts w:ascii="Arial" w:cs="Arial" w:eastAsia="Arial" w:hAnsi="Arial"/>
          <w:sz w:val="14"/>
          <w:szCs w:val="14"/>
          <w:color w:val="auto"/>
        </w:rPr>
        <w:t>Critical Audit Matter</w:t>
      </w:r>
    </w:p>
    <w:p>
      <w:pPr>
        <w:spacing w:after="0" w:line="136" w:lineRule="exact"/>
        <w:rPr>
          <w:sz w:val="20"/>
          <w:szCs w:val="20"/>
          <w:color w:val="auto"/>
        </w:rPr>
      </w:pPr>
    </w:p>
    <w:p>
      <w:pPr>
        <w:spacing w:after="0" w:line="262" w:lineRule="auto"/>
        <w:rPr>
          <w:sz w:val="20"/>
          <w:szCs w:val="20"/>
          <w:color w:val="auto"/>
        </w:rPr>
      </w:pPr>
      <w:r>
        <w:rPr>
          <w:rFonts w:ascii="Arial" w:cs="Arial" w:eastAsia="Arial" w:hAnsi="Arial"/>
          <w:sz w:val="14"/>
          <w:szCs w:val="14"/>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03" w:lineRule="exact"/>
        <w:rPr>
          <w:sz w:val="20"/>
          <w:szCs w:val="20"/>
          <w:color w:val="auto"/>
        </w:rPr>
      </w:pPr>
    </w:p>
    <w:p>
      <w:pPr>
        <w:ind w:left="260"/>
        <w:spacing w:after="0"/>
        <w:rPr>
          <w:sz w:val="20"/>
          <w:szCs w:val="20"/>
          <w:color w:val="auto"/>
        </w:rPr>
      </w:pPr>
      <w:r>
        <w:rPr>
          <w:rFonts w:ascii="Arial" w:cs="Arial" w:eastAsia="Arial" w:hAnsi="Arial"/>
          <w:sz w:val="14"/>
          <w:szCs w:val="14"/>
          <w:color w:val="auto"/>
        </w:rPr>
        <w:t>Acquisition-date fair value of certain acquired intangible assets</w:t>
      </w:r>
    </w:p>
    <w:p>
      <w:pPr>
        <w:spacing w:after="0" w:line="136" w:lineRule="exact"/>
        <w:rPr>
          <w:sz w:val="20"/>
          <w:szCs w:val="20"/>
          <w:color w:val="auto"/>
        </w:rPr>
      </w:pPr>
    </w:p>
    <w:p>
      <w:pPr>
        <w:ind w:left="260" w:right="340"/>
        <w:spacing w:after="0" w:line="262" w:lineRule="auto"/>
        <w:rPr>
          <w:sz w:val="20"/>
          <w:szCs w:val="20"/>
          <w:color w:val="auto"/>
        </w:rPr>
      </w:pPr>
      <w:r>
        <w:rPr>
          <w:rFonts w:ascii="Arial" w:cs="Arial" w:eastAsia="Arial" w:hAnsi="Arial"/>
          <w:sz w:val="14"/>
          <w:szCs w:val="14"/>
          <w:color w:val="auto"/>
        </w:rPr>
        <w:t>As discussed in Notes 1 and 2 to the consolidated financial statements, the Company acquired the Specialty Meats and Ready Meals businesses of Kerry Group plc, collectively known as Pilgrim’s Food Masters, on September 24, 2021, which included customer relationships and trade names intangibles. The acquisition-date fair values of the customer relationships and trade names intangibles were $250.9 million and $164.3 million, respectively, and were based on preliminary estimates which may change as additional information is obtained during the measurement period.</w:t>
      </w:r>
    </w:p>
    <w:p>
      <w:pPr>
        <w:spacing w:after="0" w:line="103" w:lineRule="exact"/>
        <w:rPr>
          <w:sz w:val="20"/>
          <w:szCs w:val="20"/>
          <w:color w:val="auto"/>
        </w:rPr>
      </w:pPr>
    </w:p>
    <w:p>
      <w:pPr>
        <w:ind w:left="260" w:right="240"/>
        <w:spacing w:after="0" w:line="267" w:lineRule="auto"/>
        <w:rPr>
          <w:sz w:val="20"/>
          <w:szCs w:val="20"/>
          <w:color w:val="auto"/>
        </w:rPr>
      </w:pPr>
      <w:r>
        <w:rPr>
          <w:rFonts w:ascii="Arial" w:cs="Arial" w:eastAsia="Arial" w:hAnsi="Arial"/>
          <w:sz w:val="14"/>
          <w:szCs w:val="14"/>
          <w:color w:val="auto"/>
        </w:rPr>
        <w:t>We identified the evaluation of the acquisition-date fair values of customer relationships and trade names intangibles in this acquisition as a critical audit matter. A high degree of subjective auditor judgment was involved in evaluating certain assumptions used to estimate the fair values of these intangibles. These assumptions included forecasted revenue growth rates, forecasted margins, discount rates, and royalty rates.</w:t>
      </w:r>
    </w:p>
    <w:p>
      <w:pPr>
        <w:spacing w:after="0" w:line="99" w:lineRule="exact"/>
        <w:rPr>
          <w:sz w:val="20"/>
          <w:szCs w:val="20"/>
          <w:color w:val="auto"/>
        </w:rPr>
      </w:pPr>
    </w:p>
    <w:p>
      <w:pPr>
        <w:ind w:left="260"/>
        <w:spacing w:after="0" w:line="258" w:lineRule="auto"/>
        <w:rPr>
          <w:sz w:val="20"/>
          <w:szCs w:val="20"/>
          <w:color w:val="auto"/>
        </w:rPr>
      </w:pPr>
      <w:r>
        <w:rPr>
          <w:rFonts w:ascii="Arial" w:cs="Arial" w:eastAsia="Arial" w:hAnsi="Arial"/>
          <w:sz w:val="14"/>
          <w:szCs w:val="14"/>
          <w:color w:val="auto"/>
        </w:rPr>
        <w:t>The following are the primary procedures we performed to address this critical audit matter. We evaluated the design and tested the operating effectiveness of certain internal controls over the Company’s preliminary fair value measurement process, including controls related to the development of the assumptions described above. We evaluated the forecasted revenue growth rates and forecasted margins assumptions by comparing them to historical results of the acquired businesses and other comparable companies, considering current industry, macroeconomic, and market conditions. We involved valuation professionals with specialized skills and knowledge, who assisted in evaluating (1) the discount rates, which included comparing the Company’s discount rates to our independently developed discount rates using publicly available data for comparable entities, and (2) the royalty rates by assessing the royalty transactions used by management’s valuation specialist and considering a profit split analysis and qualitative factors.</w:t>
      </w:r>
    </w:p>
    <w:p>
      <w:pPr>
        <w:spacing w:after="0" w:line="150" w:lineRule="exact"/>
        <w:rPr>
          <w:sz w:val="20"/>
          <w:szCs w:val="20"/>
          <w:color w:val="auto"/>
        </w:rPr>
      </w:pPr>
    </w:p>
    <w:p>
      <w:pPr>
        <w:jc w:val="center"/>
        <w:ind w:right="120"/>
        <w:spacing w:after="0"/>
        <w:rPr>
          <w:sz w:val="20"/>
          <w:szCs w:val="20"/>
          <w:color w:val="auto"/>
        </w:rPr>
      </w:pPr>
      <w:r>
        <w:rPr>
          <w:rFonts w:ascii="Arial" w:cs="Arial" w:eastAsia="Arial" w:hAnsi="Arial"/>
          <w:sz w:val="14"/>
          <w:szCs w:val="14"/>
          <w:color w:val="auto"/>
        </w:rPr>
        <w:t>/s/ KPMG LLP</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We have served as the Company’s auditor since 2012.</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Denver, Colorado</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February 18,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44" w:name="page45"/>
    <w:bookmarkEnd w:id="44"/>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-6985</wp:posOffset>
            </wp:positionV>
            <wp:extent cx="727075" cy="69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7075" cy="698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PILGRIM’S PRIDE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BALANCE SHEETS</w:t>
      </w:r>
    </w:p>
    <w:p>
      <w:pPr>
        <w:spacing w:after="0" w:line="119" w:lineRule="exact"/>
        <w:rPr>
          <w:sz w:val="20"/>
          <w:szCs w:val="20"/>
          <w:color w:val="auto"/>
        </w:rPr>
      </w:pPr>
    </w:p>
    <w:tbl>
      <w:tblPr>
        <w:tblLayout w:type="fixed"/>
        <w:tblInd w:w="20" w:type="dxa"/>
        <w:tblCellMar>
          <w:top w:w="0" w:type="dxa"/>
          <w:left w:w="0" w:type="dxa"/>
          <w:bottom w:w="0" w:type="dxa"/>
          <w:right w:w="0" w:type="dxa"/>
        </w:tblCellMar>
      </w:tblPr>
      <w:tr>
        <w:trPr>
          <w:trHeight w:val="151"/>
        </w:trPr>
        <w:tc>
          <w:tcPr>
            <w:tcW w:w="76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2"/>
          </w:tcPr>
          <w:p>
            <w:pPr>
              <w:ind w:left="180"/>
              <w:spacing w:after="0"/>
              <w:rPr>
                <w:sz w:val="20"/>
                <w:szCs w:val="20"/>
                <w:color w:val="auto"/>
              </w:rPr>
            </w:pPr>
            <w:r>
              <w:rPr>
                <w:rFonts w:ascii="Arial" w:cs="Arial" w:eastAsia="Arial" w:hAnsi="Arial"/>
                <w:sz w:val="11"/>
                <w:szCs w:val="11"/>
                <w:b w:val="1"/>
                <w:bCs w:val="1"/>
                <w:color w:val="auto"/>
              </w:rPr>
              <w:t>December 26, 2021</w:t>
            </w:r>
          </w:p>
        </w:tc>
        <w:tc>
          <w:tcPr>
            <w:tcW w:w="24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ind w:right="370"/>
              <w:spacing w:after="0"/>
              <w:rPr>
                <w:sz w:val="20"/>
                <w:szCs w:val="20"/>
                <w:color w:val="auto"/>
              </w:rPr>
            </w:pPr>
            <w:r>
              <w:rPr>
                <w:rFonts w:ascii="Arial" w:cs="Arial" w:eastAsia="Arial" w:hAnsi="Arial"/>
                <w:sz w:val="11"/>
                <w:szCs w:val="11"/>
                <w:b w:val="1"/>
                <w:bCs w:val="1"/>
                <w:color w:val="auto"/>
              </w:rPr>
              <w:t>December 27, 2020</w:t>
            </w:r>
          </w:p>
        </w:tc>
        <w:tc>
          <w:tcPr>
            <w:tcW w:w="0" w:type="dxa"/>
            <w:vAlign w:val="bottom"/>
          </w:tcPr>
          <w:p>
            <w:pPr>
              <w:spacing w:after="0"/>
              <w:rPr>
                <w:sz w:val="1"/>
                <w:szCs w:val="1"/>
                <w:color w:val="auto"/>
              </w:rPr>
            </w:pPr>
          </w:p>
        </w:tc>
      </w:tr>
      <w:tr>
        <w:trPr>
          <w:trHeight w:val="157"/>
        </w:trPr>
        <w:tc>
          <w:tcPr>
            <w:tcW w:w="7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380" w:type="dxa"/>
            <w:vAlign w:val="bottom"/>
            <w:gridSpan w:val="4"/>
          </w:tcPr>
          <w:p>
            <w:pPr>
              <w:jc w:val="right"/>
              <w:ind w:right="750"/>
              <w:spacing w:after="0"/>
              <w:rPr>
                <w:sz w:val="20"/>
                <w:szCs w:val="20"/>
                <w:color w:val="auto"/>
              </w:rPr>
            </w:pPr>
            <w:r>
              <w:rPr>
                <w:rFonts w:ascii="Arial" w:cs="Arial" w:eastAsia="Arial" w:hAnsi="Arial"/>
                <w:sz w:val="10"/>
                <w:szCs w:val="10"/>
                <w:b w:val="1"/>
                <w:bCs w:val="1"/>
                <w:color w:val="auto"/>
              </w:rPr>
              <w:t>(In thousands, except share and par value data)</w:t>
            </w:r>
          </w:p>
        </w:tc>
        <w:tc>
          <w:tcPr>
            <w:tcW w:w="0" w:type="dxa"/>
            <w:vAlign w:val="bottom"/>
          </w:tcPr>
          <w:p>
            <w:pPr>
              <w:spacing w:after="0"/>
              <w:rPr>
                <w:sz w:val="1"/>
                <w:szCs w:val="1"/>
                <w:color w:val="auto"/>
              </w:rPr>
            </w:pPr>
          </w:p>
        </w:tc>
      </w:tr>
      <w:tr>
        <w:trPr>
          <w:trHeight w:val="188"/>
        </w:trPr>
        <w:tc>
          <w:tcPr>
            <w:tcW w:w="7640" w:type="dxa"/>
            <w:vAlign w:val="bottom"/>
            <w:shd w:val="clear" w:color="auto" w:fill="CCEEFF"/>
          </w:tcPr>
          <w:p>
            <w:pPr>
              <w:spacing w:after="0"/>
              <w:rPr>
                <w:sz w:val="20"/>
                <w:szCs w:val="20"/>
                <w:color w:val="auto"/>
              </w:rPr>
            </w:pPr>
            <w:r>
              <w:rPr>
                <w:rFonts w:ascii="Arial" w:cs="Arial" w:eastAsia="Arial" w:hAnsi="Arial"/>
                <w:sz w:val="14"/>
                <w:szCs w:val="14"/>
                <w:color w:val="auto"/>
              </w:rPr>
              <w:t>Cash and cash equivalents</w:t>
            </w:r>
          </w:p>
        </w:tc>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427,661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547,624</w:t>
            </w:r>
          </w:p>
        </w:tc>
        <w:tc>
          <w:tcPr>
            <w:tcW w:w="0" w:type="dxa"/>
            <w:vAlign w:val="bottom"/>
          </w:tcPr>
          <w:p>
            <w:pPr>
              <w:spacing w:after="0"/>
              <w:rPr>
                <w:sz w:val="1"/>
                <w:szCs w:val="1"/>
                <w:color w:val="auto"/>
              </w:rPr>
            </w:pPr>
          </w:p>
        </w:tc>
      </w:tr>
      <w:tr>
        <w:trPr>
          <w:trHeight w:val="180"/>
        </w:trPr>
        <w:tc>
          <w:tcPr>
            <w:tcW w:w="7640" w:type="dxa"/>
            <w:vAlign w:val="bottom"/>
          </w:tcPr>
          <w:p>
            <w:pPr>
              <w:spacing w:after="0"/>
              <w:rPr>
                <w:sz w:val="20"/>
                <w:szCs w:val="20"/>
                <w:color w:val="auto"/>
              </w:rPr>
            </w:pPr>
            <w:r>
              <w:rPr>
                <w:rFonts w:ascii="Arial" w:cs="Arial" w:eastAsia="Arial" w:hAnsi="Arial"/>
                <w:sz w:val="14"/>
                <w:szCs w:val="14"/>
                <w:color w:val="auto"/>
              </w:rPr>
              <w:t>Restricted cash and cash equivalents</w:t>
            </w:r>
          </w:p>
        </w:tc>
        <w:tc>
          <w:tcPr>
            <w:tcW w:w="24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22,460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782</w:t>
            </w:r>
          </w:p>
        </w:tc>
        <w:tc>
          <w:tcPr>
            <w:tcW w:w="0" w:type="dxa"/>
            <w:vAlign w:val="bottom"/>
          </w:tcPr>
          <w:p>
            <w:pPr>
              <w:spacing w:after="0"/>
              <w:rPr>
                <w:sz w:val="1"/>
                <w:szCs w:val="1"/>
                <w:color w:val="auto"/>
              </w:rPr>
            </w:pPr>
          </w:p>
        </w:tc>
      </w:tr>
      <w:tr>
        <w:trPr>
          <w:trHeight w:val="181"/>
        </w:trPr>
        <w:tc>
          <w:tcPr>
            <w:tcW w:w="7640" w:type="dxa"/>
            <w:vAlign w:val="bottom"/>
            <w:shd w:val="clear" w:color="auto" w:fill="CCEEFF"/>
          </w:tcPr>
          <w:p>
            <w:pPr>
              <w:spacing w:after="0"/>
              <w:rPr>
                <w:sz w:val="20"/>
                <w:szCs w:val="20"/>
                <w:color w:val="auto"/>
              </w:rPr>
            </w:pPr>
            <w:r>
              <w:rPr>
                <w:rFonts w:ascii="Arial" w:cs="Arial" w:eastAsia="Arial" w:hAnsi="Arial"/>
                <w:sz w:val="14"/>
                <w:szCs w:val="14"/>
                <w:color w:val="auto"/>
              </w:rPr>
              <w:t>Trade accounts and other receivables, less allowance for credit losses</w:t>
            </w:r>
          </w:p>
        </w:tc>
        <w:tc>
          <w:tcPr>
            <w:tcW w:w="24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1,013,437</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741,992</w:t>
            </w:r>
          </w:p>
        </w:tc>
        <w:tc>
          <w:tcPr>
            <w:tcW w:w="0" w:type="dxa"/>
            <w:vAlign w:val="bottom"/>
          </w:tcPr>
          <w:p>
            <w:pPr>
              <w:spacing w:after="0"/>
              <w:rPr>
                <w:sz w:val="1"/>
                <w:szCs w:val="1"/>
                <w:color w:val="auto"/>
              </w:rPr>
            </w:pPr>
          </w:p>
        </w:tc>
      </w:tr>
      <w:tr>
        <w:trPr>
          <w:trHeight w:val="180"/>
        </w:trPr>
        <w:tc>
          <w:tcPr>
            <w:tcW w:w="7640" w:type="dxa"/>
            <w:vAlign w:val="bottom"/>
          </w:tcPr>
          <w:p>
            <w:pPr>
              <w:spacing w:after="0"/>
              <w:rPr>
                <w:sz w:val="20"/>
                <w:szCs w:val="20"/>
                <w:color w:val="auto"/>
              </w:rPr>
            </w:pPr>
            <w:r>
              <w:rPr>
                <w:rFonts w:ascii="Arial" w:cs="Arial" w:eastAsia="Arial" w:hAnsi="Arial"/>
                <w:sz w:val="14"/>
                <w:szCs w:val="14"/>
                <w:color w:val="auto"/>
              </w:rPr>
              <w:t>Accounts receivable from related parties</w:t>
            </w:r>
          </w:p>
        </w:tc>
        <w:tc>
          <w:tcPr>
            <w:tcW w:w="24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1,345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1,084</w:t>
            </w:r>
          </w:p>
        </w:tc>
        <w:tc>
          <w:tcPr>
            <w:tcW w:w="0" w:type="dxa"/>
            <w:vAlign w:val="bottom"/>
          </w:tcPr>
          <w:p>
            <w:pPr>
              <w:spacing w:after="0"/>
              <w:rPr>
                <w:sz w:val="1"/>
                <w:szCs w:val="1"/>
                <w:color w:val="auto"/>
              </w:rPr>
            </w:pPr>
          </w:p>
        </w:tc>
      </w:tr>
      <w:tr>
        <w:trPr>
          <w:trHeight w:val="181"/>
        </w:trPr>
        <w:tc>
          <w:tcPr>
            <w:tcW w:w="7640" w:type="dxa"/>
            <w:vAlign w:val="bottom"/>
            <w:shd w:val="clear" w:color="auto" w:fill="CCEEFF"/>
          </w:tcPr>
          <w:p>
            <w:pPr>
              <w:spacing w:after="0"/>
              <w:rPr>
                <w:sz w:val="20"/>
                <w:szCs w:val="20"/>
                <w:color w:val="auto"/>
              </w:rPr>
            </w:pPr>
            <w:r>
              <w:rPr>
                <w:rFonts w:ascii="Arial" w:cs="Arial" w:eastAsia="Arial" w:hAnsi="Arial"/>
                <w:sz w:val="14"/>
                <w:szCs w:val="14"/>
                <w:color w:val="auto"/>
              </w:rPr>
              <w:t>Inventories</w:t>
            </w:r>
          </w:p>
        </w:tc>
        <w:tc>
          <w:tcPr>
            <w:tcW w:w="24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1,575,658</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1,358,793</w:t>
            </w:r>
          </w:p>
        </w:tc>
        <w:tc>
          <w:tcPr>
            <w:tcW w:w="0" w:type="dxa"/>
            <w:vAlign w:val="bottom"/>
          </w:tcPr>
          <w:p>
            <w:pPr>
              <w:spacing w:after="0"/>
              <w:rPr>
                <w:sz w:val="1"/>
                <w:szCs w:val="1"/>
                <w:color w:val="auto"/>
              </w:rPr>
            </w:pPr>
          </w:p>
        </w:tc>
      </w:tr>
      <w:tr>
        <w:trPr>
          <w:trHeight w:val="180"/>
        </w:trPr>
        <w:tc>
          <w:tcPr>
            <w:tcW w:w="7640" w:type="dxa"/>
            <w:vAlign w:val="bottom"/>
          </w:tcPr>
          <w:p>
            <w:pPr>
              <w:spacing w:after="0"/>
              <w:rPr>
                <w:sz w:val="20"/>
                <w:szCs w:val="20"/>
                <w:color w:val="auto"/>
              </w:rPr>
            </w:pPr>
            <w:r>
              <w:rPr>
                <w:rFonts w:ascii="Arial" w:cs="Arial" w:eastAsia="Arial" w:hAnsi="Arial"/>
                <w:sz w:val="14"/>
                <w:szCs w:val="14"/>
                <w:color w:val="auto"/>
              </w:rPr>
              <w:t>Income taxes receivable</w:t>
            </w:r>
          </w:p>
        </w:tc>
        <w:tc>
          <w:tcPr>
            <w:tcW w:w="24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27,828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69,397</w:t>
            </w:r>
          </w:p>
        </w:tc>
        <w:tc>
          <w:tcPr>
            <w:tcW w:w="0" w:type="dxa"/>
            <w:vAlign w:val="bottom"/>
          </w:tcPr>
          <w:p>
            <w:pPr>
              <w:spacing w:after="0"/>
              <w:rPr>
                <w:sz w:val="1"/>
                <w:szCs w:val="1"/>
                <w:color w:val="auto"/>
              </w:rPr>
            </w:pPr>
          </w:p>
        </w:tc>
      </w:tr>
      <w:tr>
        <w:trPr>
          <w:trHeight w:val="181"/>
        </w:trPr>
        <w:tc>
          <w:tcPr>
            <w:tcW w:w="7640" w:type="dxa"/>
            <w:vAlign w:val="bottom"/>
            <w:shd w:val="clear" w:color="auto" w:fill="CCEEFF"/>
          </w:tcPr>
          <w:p>
            <w:pPr>
              <w:spacing w:after="0"/>
              <w:rPr>
                <w:sz w:val="20"/>
                <w:szCs w:val="20"/>
                <w:color w:val="auto"/>
              </w:rPr>
            </w:pPr>
            <w:r>
              <w:rPr>
                <w:rFonts w:ascii="Arial" w:cs="Arial" w:eastAsia="Arial" w:hAnsi="Arial"/>
                <w:sz w:val="14"/>
                <w:szCs w:val="14"/>
                <w:color w:val="auto"/>
              </w:rPr>
              <w:t>Prepaid expenses and other current assets</w:t>
            </w:r>
          </w:p>
        </w:tc>
        <w:tc>
          <w:tcPr>
            <w:tcW w:w="240" w:type="dxa"/>
            <w:vAlign w:val="bottom"/>
            <w:tcBorders>
              <w:bottom w:val="single" w:sz="8" w:color="auto"/>
            </w:tcBorders>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237,565</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183,039</w:t>
            </w:r>
          </w:p>
        </w:tc>
        <w:tc>
          <w:tcPr>
            <w:tcW w:w="0" w:type="dxa"/>
            <w:vAlign w:val="bottom"/>
          </w:tcPr>
          <w:p>
            <w:pPr>
              <w:spacing w:after="0"/>
              <w:rPr>
                <w:sz w:val="1"/>
                <w:szCs w:val="1"/>
                <w:color w:val="auto"/>
              </w:rPr>
            </w:pPr>
          </w:p>
        </w:tc>
      </w:tr>
      <w:tr>
        <w:trPr>
          <w:trHeight w:val="171"/>
        </w:trPr>
        <w:tc>
          <w:tcPr>
            <w:tcW w:w="7640" w:type="dxa"/>
            <w:vAlign w:val="bottom"/>
          </w:tcPr>
          <w:p>
            <w:pPr>
              <w:ind w:left="160"/>
              <w:spacing w:after="0"/>
              <w:rPr>
                <w:sz w:val="20"/>
                <w:szCs w:val="20"/>
                <w:color w:val="auto"/>
              </w:rPr>
            </w:pPr>
            <w:r>
              <w:rPr>
                <w:rFonts w:ascii="Arial" w:cs="Arial" w:eastAsia="Arial" w:hAnsi="Arial"/>
                <w:sz w:val="14"/>
                <w:szCs w:val="14"/>
                <w:color w:val="auto"/>
              </w:rPr>
              <w:t>Total current assets</w:t>
            </w:r>
          </w:p>
        </w:tc>
        <w:tc>
          <w:tcPr>
            <w:tcW w:w="24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3,305,954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2,902,711</w:t>
            </w:r>
          </w:p>
        </w:tc>
        <w:tc>
          <w:tcPr>
            <w:tcW w:w="0" w:type="dxa"/>
            <w:vAlign w:val="bottom"/>
          </w:tcPr>
          <w:p>
            <w:pPr>
              <w:spacing w:after="0"/>
              <w:rPr>
                <w:sz w:val="1"/>
                <w:szCs w:val="1"/>
                <w:color w:val="auto"/>
              </w:rPr>
            </w:pPr>
          </w:p>
        </w:tc>
      </w:tr>
      <w:tr>
        <w:trPr>
          <w:trHeight w:val="181"/>
        </w:trPr>
        <w:tc>
          <w:tcPr>
            <w:tcW w:w="7640" w:type="dxa"/>
            <w:vAlign w:val="bottom"/>
            <w:shd w:val="clear" w:color="auto" w:fill="CCEEFF"/>
          </w:tcPr>
          <w:p>
            <w:pPr>
              <w:spacing w:after="0"/>
              <w:rPr>
                <w:sz w:val="20"/>
                <w:szCs w:val="20"/>
                <w:color w:val="auto"/>
              </w:rPr>
            </w:pPr>
            <w:r>
              <w:rPr>
                <w:rFonts w:ascii="Arial" w:cs="Arial" w:eastAsia="Arial" w:hAnsi="Arial"/>
                <w:sz w:val="14"/>
                <w:szCs w:val="14"/>
                <w:color w:val="auto"/>
              </w:rPr>
              <w:t>Deferred tax assets</w:t>
            </w:r>
          </w:p>
        </w:tc>
        <w:tc>
          <w:tcPr>
            <w:tcW w:w="24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5,314</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5,471</w:t>
            </w:r>
          </w:p>
        </w:tc>
        <w:tc>
          <w:tcPr>
            <w:tcW w:w="0" w:type="dxa"/>
            <w:vAlign w:val="bottom"/>
          </w:tcPr>
          <w:p>
            <w:pPr>
              <w:spacing w:after="0"/>
              <w:rPr>
                <w:sz w:val="1"/>
                <w:szCs w:val="1"/>
                <w:color w:val="auto"/>
              </w:rPr>
            </w:pPr>
          </w:p>
        </w:tc>
      </w:tr>
      <w:tr>
        <w:trPr>
          <w:trHeight w:val="180"/>
        </w:trPr>
        <w:tc>
          <w:tcPr>
            <w:tcW w:w="7640" w:type="dxa"/>
            <w:vAlign w:val="bottom"/>
          </w:tcPr>
          <w:p>
            <w:pPr>
              <w:spacing w:after="0"/>
              <w:rPr>
                <w:sz w:val="20"/>
                <w:szCs w:val="20"/>
                <w:color w:val="auto"/>
              </w:rPr>
            </w:pPr>
            <w:r>
              <w:rPr>
                <w:rFonts w:ascii="Arial" w:cs="Arial" w:eastAsia="Arial" w:hAnsi="Arial"/>
                <w:sz w:val="14"/>
                <w:szCs w:val="14"/>
                <w:color w:val="auto"/>
              </w:rPr>
              <w:t>Other long-lived assets</w:t>
            </w:r>
          </w:p>
        </w:tc>
        <w:tc>
          <w:tcPr>
            <w:tcW w:w="24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32,410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24,780</w:t>
            </w:r>
          </w:p>
        </w:tc>
        <w:tc>
          <w:tcPr>
            <w:tcW w:w="0" w:type="dxa"/>
            <w:vAlign w:val="bottom"/>
          </w:tcPr>
          <w:p>
            <w:pPr>
              <w:spacing w:after="0"/>
              <w:rPr>
                <w:sz w:val="1"/>
                <w:szCs w:val="1"/>
                <w:color w:val="auto"/>
              </w:rPr>
            </w:pPr>
          </w:p>
        </w:tc>
      </w:tr>
      <w:tr>
        <w:trPr>
          <w:trHeight w:val="181"/>
        </w:trPr>
        <w:tc>
          <w:tcPr>
            <w:tcW w:w="7640" w:type="dxa"/>
            <w:vAlign w:val="bottom"/>
            <w:shd w:val="clear" w:color="auto" w:fill="CCEEFF"/>
          </w:tcPr>
          <w:p>
            <w:pPr>
              <w:spacing w:after="0"/>
              <w:rPr>
                <w:sz w:val="20"/>
                <w:szCs w:val="20"/>
                <w:color w:val="auto"/>
              </w:rPr>
            </w:pPr>
            <w:r>
              <w:rPr>
                <w:rFonts w:ascii="Arial" w:cs="Arial" w:eastAsia="Arial" w:hAnsi="Arial"/>
                <w:sz w:val="14"/>
                <w:szCs w:val="14"/>
                <w:color w:val="auto"/>
              </w:rPr>
              <w:t>Operating lease assets, net</w:t>
            </w:r>
          </w:p>
        </w:tc>
        <w:tc>
          <w:tcPr>
            <w:tcW w:w="24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351,226</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288,886</w:t>
            </w:r>
          </w:p>
        </w:tc>
        <w:tc>
          <w:tcPr>
            <w:tcW w:w="0" w:type="dxa"/>
            <w:vAlign w:val="bottom"/>
          </w:tcPr>
          <w:p>
            <w:pPr>
              <w:spacing w:after="0"/>
              <w:rPr>
                <w:sz w:val="1"/>
                <w:szCs w:val="1"/>
                <w:color w:val="auto"/>
              </w:rPr>
            </w:pPr>
          </w:p>
        </w:tc>
      </w:tr>
      <w:tr>
        <w:trPr>
          <w:trHeight w:val="180"/>
        </w:trPr>
        <w:tc>
          <w:tcPr>
            <w:tcW w:w="7640" w:type="dxa"/>
            <w:vAlign w:val="bottom"/>
          </w:tcPr>
          <w:p>
            <w:pPr>
              <w:spacing w:after="0"/>
              <w:rPr>
                <w:sz w:val="20"/>
                <w:szCs w:val="20"/>
                <w:color w:val="auto"/>
              </w:rPr>
            </w:pPr>
            <w:r>
              <w:rPr>
                <w:rFonts w:ascii="Arial" w:cs="Arial" w:eastAsia="Arial" w:hAnsi="Arial"/>
                <w:sz w:val="14"/>
                <w:szCs w:val="14"/>
                <w:color w:val="auto"/>
              </w:rPr>
              <w:t>Identified intangible assets, net</w:t>
            </w:r>
          </w:p>
        </w:tc>
        <w:tc>
          <w:tcPr>
            <w:tcW w:w="24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963,243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589,913</w:t>
            </w:r>
          </w:p>
        </w:tc>
        <w:tc>
          <w:tcPr>
            <w:tcW w:w="0" w:type="dxa"/>
            <w:vAlign w:val="bottom"/>
          </w:tcPr>
          <w:p>
            <w:pPr>
              <w:spacing w:after="0"/>
              <w:rPr>
                <w:sz w:val="1"/>
                <w:szCs w:val="1"/>
                <w:color w:val="auto"/>
              </w:rPr>
            </w:pPr>
          </w:p>
        </w:tc>
      </w:tr>
      <w:tr>
        <w:trPr>
          <w:trHeight w:val="181"/>
        </w:trPr>
        <w:tc>
          <w:tcPr>
            <w:tcW w:w="7640" w:type="dxa"/>
            <w:vAlign w:val="bottom"/>
            <w:shd w:val="clear" w:color="auto" w:fill="CCEEFF"/>
          </w:tcPr>
          <w:p>
            <w:pPr>
              <w:spacing w:after="0"/>
              <w:rPr>
                <w:sz w:val="20"/>
                <w:szCs w:val="20"/>
                <w:color w:val="auto"/>
              </w:rPr>
            </w:pPr>
            <w:r>
              <w:rPr>
                <w:rFonts w:ascii="Arial" w:cs="Arial" w:eastAsia="Arial" w:hAnsi="Arial"/>
                <w:sz w:val="14"/>
                <w:szCs w:val="14"/>
                <w:color w:val="auto"/>
              </w:rPr>
              <w:t>Goodwill</w:t>
            </w:r>
          </w:p>
        </w:tc>
        <w:tc>
          <w:tcPr>
            <w:tcW w:w="24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1,337,252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1,005,245</w:t>
            </w:r>
          </w:p>
        </w:tc>
        <w:tc>
          <w:tcPr>
            <w:tcW w:w="0" w:type="dxa"/>
            <w:vAlign w:val="bottom"/>
          </w:tcPr>
          <w:p>
            <w:pPr>
              <w:spacing w:after="0"/>
              <w:rPr>
                <w:sz w:val="1"/>
                <w:szCs w:val="1"/>
                <w:color w:val="auto"/>
              </w:rPr>
            </w:pPr>
          </w:p>
        </w:tc>
      </w:tr>
      <w:tr>
        <w:trPr>
          <w:trHeight w:val="180"/>
        </w:trPr>
        <w:tc>
          <w:tcPr>
            <w:tcW w:w="764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Property, plant and equipment, net</w:t>
            </w:r>
          </w:p>
        </w:tc>
        <w:tc>
          <w:tcPr>
            <w:tcW w:w="2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2,917,806</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2,657,491</w:t>
            </w:r>
          </w:p>
        </w:tc>
        <w:tc>
          <w:tcPr>
            <w:tcW w:w="0" w:type="dxa"/>
            <w:vAlign w:val="bottom"/>
          </w:tcPr>
          <w:p>
            <w:pPr>
              <w:spacing w:after="0"/>
              <w:rPr>
                <w:sz w:val="1"/>
                <w:szCs w:val="1"/>
                <w:color w:val="auto"/>
              </w:rPr>
            </w:pPr>
          </w:p>
        </w:tc>
      </w:tr>
      <w:tr>
        <w:trPr>
          <w:trHeight w:val="196"/>
        </w:trPr>
        <w:tc>
          <w:tcPr>
            <w:tcW w:w="76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4"/>
                <w:szCs w:val="14"/>
                <w:color w:val="auto"/>
              </w:rPr>
              <w:t>Total assets</w:t>
            </w: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8,913,205</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7,474,497</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
        </w:trPr>
        <w:tc>
          <w:tcPr>
            <w:tcW w:w="7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7640" w:type="dxa"/>
            <w:vAlign w:val="bottom"/>
            <w:shd w:val="clear" w:color="auto" w:fill="CCEEFF"/>
          </w:tcPr>
          <w:p>
            <w:pPr>
              <w:spacing w:after="0"/>
              <w:rPr>
                <w:sz w:val="20"/>
                <w:szCs w:val="20"/>
                <w:color w:val="auto"/>
              </w:rPr>
            </w:pPr>
            <w:r>
              <w:rPr>
                <w:rFonts w:ascii="Arial" w:cs="Arial" w:eastAsia="Arial" w:hAnsi="Arial"/>
                <w:sz w:val="14"/>
                <w:szCs w:val="14"/>
                <w:color w:val="auto"/>
              </w:rPr>
              <w:t>Accounts payable</w:t>
            </w:r>
          </w:p>
        </w:tc>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1,378,077</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1,028,710</w:t>
            </w:r>
          </w:p>
        </w:tc>
        <w:tc>
          <w:tcPr>
            <w:tcW w:w="0" w:type="dxa"/>
            <w:vAlign w:val="bottom"/>
          </w:tcPr>
          <w:p>
            <w:pPr>
              <w:spacing w:after="0"/>
              <w:rPr>
                <w:sz w:val="1"/>
                <w:szCs w:val="1"/>
                <w:color w:val="auto"/>
              </w:rPr>
            </w:pPr>
          </w:p>
        </w:tc>
      </w:tr>
      <w:tr>
        <w:trPr>
          <w:trHeight w:val="180"/>
        </w:trPr>
        <w:tc>
          <w:tcPr>
            <w:tcW w:w="7640" w:type="dxa"/>
            <w:vAlign w:val="bottom"/>
          </w:tcPr>
          <w:p>
            <w:pPr>
              <w:spacing w:after="0"/>
              <w:rPr>
                <w:sz w:val="20"/>
                <w:szCs w:val="20"/>
                <w:color w:val="auto"/>
              </w:rPr>
            </w:pPr>
            <w:r>
              <w:rPr>
                <w:rFonts w:ascii="Arial" w:cs="Arial" w:eastAsia="Arial" w:hAnsi="Arial"/>
                <w:sz w:val="14"/>
                <w:szCs w:val="14"/>
                <w:color w:val="auto"/>
              </w:rPr>
              <w:t>Accounts payable to related parties</w:t>
            </w:r>
          </w:p>
        </w:tc>
        <w:tc>
          <w:tcPr>
            <w:tcW w:w="24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22,317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9,650</w:t>
            </w:r>
          </w:p>
        </w:tc>
        <w:tc>
          <w:tcPr>
            <w:tcW w:w="0" w:type="dxa"/>
            <w:vAlign w:val="bottom"/>
          </w:tcPr>
          <w:p>
            <w:pPr>
              <w:spacing w:after="0"/>
              <w:rPr>
                <w:sz w:val="1"/>
                <w:szCs w:val="1"/>
                <w:color w:val="auto"/>
              </w:rPr>
            </w:pPr>
          </w:p>
        </w:tc>
      </w:tr>
      <w:tr>
        <w:trPr>
          <w:trHeight w:val="181"/>
        </w:trPr>
        <w:tc>
          <w:tcPr>
            <w:tcW w:w="7640" w:type="dxa"/>
            <w:vAlign w:val="bottom"/>
            <w:shd w:val="clear" w:color="auto" w:fill="CCEEFF"/>
          </w:tcPr>
          <w:p>
            <w:pPr>
              <w:spacing w:after="0"/>
              <w:rPr>
                <w:sz w:val="20"/>
                <w:szCs w:val="20"/>
                <w:color w:val="auto"/>
              </w:rPr>
            </w:pPr>
            <w:r>
              <w:rPr>
                <w:rFonts w:ascii="Arial" w:cs="Arial" w:eastAsia="Arial" w:hAnsi="Arial"/>
                <w:sz w:val="14"/>
                <w:szCs w:val="14"/>
                <w:color w:val="auto"/>
              </w:rPr>
              <w:t>Revenue contract liabilities</w:t>
            </w:r>
          </w:p>
        </w:tc>
        <w:tc>
          <w:tcPr>
            <w:tcW w:w="24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22,321</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65,918</w:t>
            </w:r>
          </w:p>
        </w:tc>
        <w:tc>
          <w:tcPr>
            <w:tcW w:w="0" w:type="dxa"/>
            <w:vAlign w:val="bottom"/>
          </w:tcPr>
          <w:p>
            <w:pPr>
              <w:spacing w:after="0"/>
              <w:rPr>
                <w:sz w:val="1"/>
                <w:szCs w:val="1"/>
                <w:color w:val="auto"/>
              </w:rPr>
            </w:pPr>
          </w:p>
        </w:tc>
      </w:tr>
      <w:tr>
        <w:trPr>
          <w:trHeight w:val="180"/>
        </w:trPr>
        <w:tc>
          <w:tcPr>
            <w:tcW w:w="7640" w:type="dxa"/>
            <w:vAlign w:val="bottom"/>
          </w:tcPr>
          <w:p>
            <w:pPr>
              <w:spacing w:after="0"/>
              <w:rPr>
                <w:sz w:val="20"/>
                <w:szCs w:val="20"/>
                <w:color w:val="auto"/>
              </w:rPr>
            </w:pPr>
            <w:r>
              <w:rPr>
                <w:rFonts w:ascii="Arial" w:cs="Arial" w:eastAsia="Arial" w:hAnsi="Arial"/>
                <w:sz w:val="14"/>
                <w:szCs w:val="14"/>
                <w:color w:val="auto"/>
              </w:rPr>
              <w:t>Accrued expenses and other current liabilities</w:t>
            </w:r>
          </w:p>
        </w:tc>
        <w:tc>
          <w:tcPr>
            <w:tcW w:w="24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859,885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807,847</w:t>
            </w:r>
          </w:p>
        </w:tc>
        <w:tc>
          <w:tcPr>
            <w:tcW w:w="0" w:type="dxa"/>
            <w:vAlign w:val="bottom"/>
          </w:tcPr>
          <w:p>
            <w:pPr>
              <w:spacing w:after="0"/>
              <w:rPr>
                <w:sz w:val="1"/>
                <w:szCs w:val="1"/>
                <w:color w:val="auto"/>
              </w:rPr>
            </w:pPr>
          </w:p>
        </w:tc>
      </w:tr>
      <w:tr>
        <w:trPr>
          <w:trHeight w:val="181"/>
        </w:trPr>
        <w:tc>
          <w:tcPr>
            <w:tcW w:w="7640" w:type="dxa"/>
            <w:vAlign w:val="bottom"/>
            <w:shd w:val="clear" w:color="auto" w:fill="CCEEFF"/>
          </w:tcPr>
          <w:p>
            <w:pPr>
              <w:spacing w:after="0"/>
              <w:rPr>
                <w:sz w:val="20"/>
                <w:szCs w:val="20"/>
                <w:color w:val="auto"/>
              </w:rPr>
            </w:pPr>
            <w:r>
              <w:rPr>
                <w:rFonts w:ascii="Arial" w:cs="Arial" w:eastAsia="Arial" w:hAnsi="Arial"/>
                <w:sz w:val="14"/>
                <w:szCs w:val="14"/>
                <w:color w:val="auto"/>
              </w:rPr>
              <w:t>Income taxes payable</w:t>
            </w:r>
          </w:p>
        </w:tc>
        <w:tc>
          <w:tcPr>
            <w:tcW w:w="24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81,977</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764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Current maturities of long-term debt</w:t>
            </w:r>
          </w:p>
        </w:tc>
        <w:tc>
          <w:tcPr>
            <w:tcW w:w="2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26,246</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25,455</w:t>
            </w:r>
          </w:p>
        </w:tc>
        <w:tc>
          <w:tcPr>
            <w:tcW w:w="0" w:type="dxa"/>
            <w:vAlign w:val="bottom"/>
          </w:tcPr>
          <w:p>
            <w:pPr>
              <w:spacing w:after="0"/>
              <w:rPr>
                <w:sz w:val="1"/>
                <w:szCs w:val="1"/>
                <w:color w:val="auto"/>
              </w:rPr>
            </w:pPr>
          </w:p>
        </w:tc>
      </w:tr>
      <w:tr>
        <w:trPr>
          <w:trHeight w:val="171"/>
        </w:trPr>
        <w:tc>
          <w:tcPr>
            <w:tcW w:w="76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Total current liabilities</w:t>
            </w:r>
          </w:p>
        </w:tc>
        <w:tc>
          <w:tcPr>
            <w:tcW w:w="24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2,390,823</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1,937,580</w:t>
            </w:r>
          </w:p>
        </w:tc>
        <w:tc>
          <w:tcPr>
            <w:tcW w:w="0" w:type="dxa"/>
            <w:vAlign w:val="bottom"/>
          </w:tcPr>
          <w:p>
            <w:pPr>
              <w:spacing w:after="0"/>
              <w:rPr>
                <w:sz w:val="1"/>
                <w:szCs w:val="1"/>
                <w:color w:val="auto"/>
              </w:rPr>
            </w:pPr>
          </w:p>
        </w:tc>
      </w:tr>
      <w:tr>
        <w:trPr>
          <w:trHeight w:val="180"/>
        </w:trPr>
        <w:tc>
          <w:tcPr>
            <w:tcW w:w="7640" w:type="dxa"/>
            <w:vAlign w:val="bottom"/>
          </w:tcPr>
          <w:p>
            <w:pPr>
              <w:spacing w:after="0"/>
              <w:rPr>
                <w:sz w:val="20"/>
                <w:szCs w:val="20"/>
                <w:color w:val="auto"/>
              </w:rPr>
            </w:pPr>
            <w:r>
              <w:rPr>
                <w:rFonts w:ascii="Arial" w:cs="Arial" w:eastAsia="Arial" w:hAnsi="Arial"/>
                <w:sz w:val="14"/>
                <w:szCs w:val="14"/>
                <w:color w:val="auto"/>
              </w:rPr>
              <w:t>Noncurrent operating lease liabilities, less current maturities</w:t>
            </w:r>
          </w:p>
        </w:tc>
        <w:tc>
          <w:tcPr>
            <w:tcW w:w="24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271,366</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217,432</w:t>
            </w:r>
          </w:p>
        </w:tc>
        <w:tc>
          <w:tcPr>
            <w:tcW w:w="0" w:type="dxa"/>
            <w:vAlign w:val="bottom"/>
          </w:tcPr>
          <w:p>
            <w:pPr>
              <w:spacing w:after="0"/>
              <w:rPr>
                <w:sz w:val="1"/>
                <w:szCs w:val="1"/>
                <w:color w:val="auto"/>
              </w:rPr>
            </w:pPr>
          </w:p>
        </w:tc>
      </w:tr>
      <w:tr>
        <w:trPr>
          <w:trHeight w:val="181"/>
        </w:trPr>
        <w:tc>
          <w:tcPr>
            <w:tcW w:w="7640" w:type="dxa"/>
            <w:vAlign w:val="bottom"/>
            <w:shd w:val="clear" w:color="auto" w:fill="CCEEFF"/>
          </w:tcPr>
          <w:p>
            <w:pPr>
              <w:spacing w:after="0"/>
              <w:rPr>
                <w:sz w:val="20"/>
                <w:szCs w:val="20"/>
                <w:color w:val="auto"/>
              </w:rPr>
            </w:pPr>
            <w:r>
              <w:rPr>
                <w:rFonts w:ascii="Arial" w:cs="Arial" w:eastAsia="Arial" w:hAnsi="Arial"/>
                <w:sz w:val="14"/>
                <w:szCs w:val="14"/>
                <w:color w:val="auto"/>
              </w:rPr>
              <w:t>Long-term debt, less current maturities</w:t>
            </w:r>
          </w:p>
        </w:tc>
        <w:tc>
          <w:tcPr>
            <w:tcW w:w="24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3,191,161</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2,255,546</w:t>
            </w:r>
          </w:p>
        </w:tc>
        <w:tc>
          <w:tcPr>
            <w:tcW w:w="0" w:type="dxa"/>
            <w:vAlign w:val="bottom"/>
          </w:tcPr>
          <w:p>
            <w:pPr>
              <w:spacing w:after="0"/>
              <w:rPr>
                <w:sz w:val="1"/>
                <w:szCs w:val="1"/>
                <w:color w:val="auto"/>
              </w:rPr>
            </w:pPr>
          </w:p>
        </w:tc>
      </w:tr>
      <w:tr>
        <w:trPr>
          <w:trHeight w:val="180"/>
        </w:trPr>
        <w:tc>
          <w:tcPr>
            <w:tcW w:w="7640" w:type="dxa"/>
            <w:vAlign w:val="bottom"/>
          </w:tcPr>
          <w:p>
            <w:pPr>
              <w:spacing w:after="0"/>
              <w:rPr>
                <w:sz w:val="20"/>
                <w:szCs w:val="20"/>
                <w:color w:val="auto"/>
              </w:rPr>
            </w:pPr>
            <w:r>
              <w:rPr>
                <w:rFonts w:ascii="Arial" w:cs="Arial" w:eastAsia="Arial" w:hAnsi="Arial"/>
                <w:sz w:val="14"/>
                <w:szCs w:val="14"/>
                <w:color w:val="auto"/>
              </w:rPr>
              <w:t>Deferred tax liabilities</w:t>
            </w:r>
          </w:p>
        </w:tc>
        <w:tc>
          <w:tcPr>
            <w:tcW w:w="24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369,185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339,831</w:t>
            </w:r>
          </w:p>
        </w:tc>
        <w:tc>
          <w:tcPr>
            <w:tcW w:w="0" w:type="dxa"/>
            <w:vAlign w:val="bottom"/>
          </w:tcPr>
          <w:p>
            <w:pPr>
              <w:spacing w:after="0"/>
              <w:rPr>
                <w:sz w:val="1"/>
                <w:szCs w:val="1"/>
                <w:color w:val="auto"/>
              </w:rPr>
            </w:pPr>
          </w:p>
        </w:tc>
      </w:tr>
      <w:tr>
        <w:trPr>
          <w:trHeight w:val="181"/>
        </w:trPr>
        <w:tc>
          <w:tcPr>
            <w:tcW w:w="7640" w:type="dxa"/>
            <w:vAlign w:val="bottom"/>
            <w:shd w:val="clear" w:color="auto" w:fill="CCEEFF"/>
          </w:tcPr>
          <w:p>
            <w:pPr>
              <w:spacing w:after="0"/>
              <w:rPr>
                <w:sz w:val="20"/>
                <w:szCs w:val="20"/>
                <w:color w:val="auto"/>
              </w:rPr>
            </w:pPr>
            <w:r>
              <w:rPr>
                <w:rFonts w:ascii="Arial" w:cs="Arial" w:eastAsia="Arial" w:hAnsi="Arial"/>
                <w:sz w:val="14"/>
                <w:szCs w:val="14"/>
                <w:color w:val="auto"/>
              </w:rPr>
              <w:t>Other long-term liabilities</w:t>
            </w:r>
          </w:p>
        </w:tc>
        <w:tc>
          <w:tcPr>
            <w:tcW w:w="240" w:type="dxa"/>
            <w:vAlign w:val="bottom"/>
            <w:tcBorders>
              <w:bottom w:val="single" w:sz="8" w:color="auto"/>
            </w:tcBorders>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101,736</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148,761</w:t>
            </w:r>
          </w:p>
        </w:tc>
        <w:tc>
          <w:tcPr>
            <w:tcW w:w="0" w:type="dxa"/>
            <w:vAlign w:val="bottom"/>
          </w:tcPr>
          <w:p>
            <w:pPr>
              <w:spacing w:after="0"/>
              <w:rPr>
                <w:sz w:val="1"/>
                <w:szCs w:val="1"/>
                <w:color w:val="auto"/>
              </w:rPr>
            </w:pPr>
          </w:p>
        </w:tc>
      </w:tr>
      <w:tr>
        <w:trPr>
          <w:trHeight w:val="171"/>
        </w:trPr>
        <w:tc>
          <w:tcPr>
            <w:tcW w:w="7640" w:type="dxa"/>
            <w:vAlign w:val="bottom"/>
          </w:tcPr>
          <w:p>
            <w:pPr>
              <w:ind w:left="160"/>
              <w:spacing w:after="0"/>
              <w:rPr>
                <w:sz w:val="20"/>
                <w:szCs w:val="20"/>
                <w:color w:val="auto"/>
              </w:rPr>
            </w:pPr>
            <w:r>
              <w:rPr>
                <w:rFonts w:ascii="Arial" w:cs="Arial" w:eastAsia="Arial" w:hAnsi="Arial"/>
                <w:sz w:val="14"/>
                <w:szCs w:val="14"/>
                <w:color w:val="auto"/>
              </w:rPr>
              <w:t>Total liabilities</w:t>
            </w:r>
          </w:p>
        </w:tc>
        <w:tc>
          <w:tcPr>
            <w:tcW w:w="24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6,324,271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4,899,150</w:t>
            </w:r>
          </w:p>
        </w:tc>
        <w:tc>
          <w:tcPr>
            <w:tcW w:w="0" w:type="dxa"/>
            <w:vAlign w:val="bottom"/>
          </w:tcPr>
          <w:p>
            <w:pPr>
              <w:spacing w:after="0"/>
              <w:rPr>
                <w:sz w:val="1"/>
                <w:szCs w:val="1"/>
                <w:color w:val="auto"/>
              </w:rPr>
            </w:pPr>
          </w:p>
        </w:tc>
      </w:tr>
      <w:tr>
        <w:trPr>
          <w:trHeight w:val="85"/>
        </w:trPr>
        <w:tc>
          <w:tcPr>
            <w:tcW w:w="764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5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5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38"/>
        </w:trPr>
        <w:tc>
          <w:tcPr>
            <w:tcW w:w="7640" w:type="dxa"/>
            <w:vAlign w:val="bottom"/>
          </w:tcPr>
          <w:p>
            <w:pPr>
              <w:spacing w:after="0" w:line="138" w:lineRule="exact"/>
              <w:rPr>
                <w:sz w:val="20"/>
                <w:szCs w:val="20"/>
                <w:color w:val="auto"/>
              </w:rPr>
            </w:pPr>
            <w:r>
              <w:rPr>
                <w:rFonts w:ascii="Arial" w:cs="Arial" w:eastAsia="Arial" w:hAnsi="Arial"/>
                <w:sz w:val="14"/>
                <w:szCs w:val="14"/>
                <w:color w:val="auto"/>
              </w:rPr>
              <w:t>Common stock, $.01 par value, 800,000,000 shares authorized; 261,348,030 and</w:t>
            </w:r>
          </w:p>
        </w:tc>
        <w:tc>
          <w:tcPr>
            <w:tcW w:w="2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7640" w:type="dxa"/>
            <w:vAlign w:val="bottom"/>
          </w:tcPr>
          <w:p>
            <w:pPr>
              <w:ind w:left="160"/>
              <w:spacing w:after="0" w:line="138" w:lineRule="exact"/>
              <w:rPr>
                <w:sz w:val="20"/>
                <w:szCs w:val="20"/>
                <w:color w:val="auto"/>
              </w:rPr>
            </w:pPr>
            <w:r>
              <w:rPr>
                <w:rFonts w:ascii="Arial" w:cs="Arial" w:eastAsia="Arial" w:hAnsi="Arial"/>
                <w:sz w:val="14"/>
                <w:szCs w:val="14"/>
                <w:color w:val="auto"/>
              </w:rPr>
              <w:t>261,184,998 shares issued at year-end 2021 and year-end 2020, respectively;</w:t>
            </w:r>
          </w:p>
        </w:tc>
        <w:tc>
          <w:tcPr>
            <w:tcW w:w="2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7640" w:type="dxa"/>
            <w:vAlign w:val="bottom"/>
          </w:tcPr>
          <w:p>
            <w:pPr>
              <w:ind w:left="160"/>
              <w:spacing w:after="0" w:line="138" w:lineRule="exact"/>
              <w:rPr>
                <w:sz w:val="20"/>
                <w:szCs w:val="20"/>
                <w:color w:val="auto"/>
              </w:rPr>
            </w:pPr>
            <w:r>
              <w:rPr>
                <w:rFonts w:ascii="Arial" w:cs="Arial" w:eastAsia="Arial" w:hAnsi="Arial"/>
                <w:sz w:val="14"/>
                <w:szCs w:val="14"/>
                <w:color w:val="auto"/>
              </w:rPr>
              <w:t>243,675,522 and 243,512,490 shares outstanding at year-end 2021 and year-end</w:t>
            </w:r>
          </w:p>
        </w:tc>
        <w:tc>
          <w:tcPr>
            <w:tcW w:w="240" w:type="dxa"/>
            <w:vAlign w:val="bottom"/>
          </w:tcPr>
          <w:p>
            <w:pPr>
              <w:spacing w:after="0"/>
              <w:rPr>
                <w:sz w:val="11"/>
                <w:szCs w:val="11"/>
                <w:color w:val="auto"/>
              </w:rPr>
            </w:pPr>
          </w:p>
        </w:tc>
        <w:tc>
          <w:tcPr>
            <w:tcW w:w="1520" w:type="dxa"/>
            <w:vAlign w:val="bottom"/>
            <w:vMerge w:val="restart"/>
          </w:tcPr>
          <w:p>
            <w:pPr>
              <w:jc w:val="right"/>
              <w:spacing w:after="0"/>
              <w:rPr>
                <w:sz w:val="20"/>
                <w:szCs w:val="20"/>
                <w:color w:val="auto"/>
              </w:rPr>
            </w:pPr>
            <w:r>
              <w:rPr>
                <w:rFonts w:ascii="Arial" w:cs="Arial" w:eastAsia="Arial" w:hAnsi="Arial"/>
                <w:sz w:val="14"/>
                <w:szCs w:val="14"/>
                <w:color w:val="auto"/>
              </w:rPr>
              <w:t>2,614</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20" w:type="dxa"/>
            <w:vAlign w:val="bottom"/>
            <w:vMerge w:val="restart"/>
          </w:tcPr>
          <w:p>
            <w:pPr>
              <w:jc w:val="right"/>
              <w:spacing w:after="0"/>
              <w:rPr>
                <w:sz w:val="20"/>
                <w:szCs w:val="20"/>
                <w:color w:val="auto"/>
              </w:rPr>
            </w:pPr>
            <w:r>
              <w:rPr>
                <w:rFonts w:ascii="Arial" w:cs="Arial" w:eastAsia="Arial" w:hAnsi="Arial"/>
                <w:sz w:val="14"/>
                <w:szCs w:val="14"/>
                <w:color w:val="auto"/>
              </w:rPr>
              <w:t>2,612</w:t>
            </w:r>
          </w:p>
        </w:tc>
        <w:tc>
          <w:tcPr>
            <w:tcW w:w="0" w:type="dxa"/>
            <w:vAlign w:val="bottom"/>
          </w:tcPr>
          <w:p>
            <w:pPr>
              <w:spacing w:after="0"/>
              <w:rPr>
                <w:sz w:val="1"/>
                <w:szCs w:val="1"/>
                <w:color w:val="auto"/>
              </w:rPr>
            </w:pPr>
          </w:p>
        </w:tc>
      </w:tr>
      <w:tr>
        <w:trPr>
          <w:trHeight w:val="180"/>
        </w:trPr>
        <w:tc>
          <w:tcPr>
            <w:tcW w:w="7640" w:type="dxa"/>
            <w:vAlign w:val="bottom"/>
          </w:tcPr>
          <w:p>
            <w:pPr>
              <w:ind w:left="160"/>
              <w:spacing w:after="0"/>
              <w:rPr>
                <w:sz w:val="20"/>
                <w:szCs w:val="20"/>
                <w:color w:val="auto"/>
              </w:rPr>
            </w:pPr>
            <w:r>
              <w:rPr>
                <w:rFonts w:ascii="Arial" w:cs="Arial" w:eastAsia="Arial" w:hAnsi="Arial"/>
                <w:sz w:val="14"/>
                <w:szCs w:val="14"/>
                <w:color w:val="auto"/>
              </w:rPr>
              <w:t>2020, respectively</w:t>
            </w:r>
          </w:p>
        </w:tc>
        <w:tc>
          <w:tcPr>
            <w:tcW w:w="240" w:type="dxa"/>
            <w:vAlign w:val="bottom"/>
          </w:tcPr>
          <w:p>
            <w:pPr>
              <w:spacing w:after="0"/>
              <w:rPr>
                <w:sz w:val="15"/>
                <w:szCs w:val="15"/>
                <w:color w:val="auto"/>
              </w:rPr>
            </w:pPr>
          </w:p>
        </w:tc>
        <w:tc>
          <w:tcPr>
            <w:tcW w:w="15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640" w:type="dxa"/>
            <w:vAlign w:val="bottom"/>
            <w:shd w:val="clear" w:color="auto" w:fill="CCEEFF"/>
          </w:tcPr>
          <w:p>
            <w:pPr>
              <w:spacing w:after="0"/>
              <w:rPr>
                <w:sz w:val="20"/>
                <w:szCs w:val="20"/>
                <w:color w:val="auto"/>
              </w:rPr>
            </w:pPr>
            <w:r>
              <w:rPr>
                <w:rFonts w:ascii="Arial" w:cs="Arial" w:eastAsia="Arial" w:hAnsi="Arial"/>
                <w:sz w:val="14"/>
                <w:szCs w:val="14"/>
                <w:color w:val="auto"/>
              </w:rPr>
              <w:t>Treasury stock, at cost, 17,672,508 shares at both year-end 2021 and year-end 2020</w:t>
            </w:r>
          </w:p>
        </w:tc>
        <w:tc>
          <w:tcPr>
            <w:tcW w:w="24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(345,134)</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(345,134)</w:t>
            </w:r>
          </w:p>
        </w:tc>
        <w:tc>
          <w:tcPr>
            <w:tcW w:w="0" w:type="dxa"/>
            <w:vAlign w:val="bottom"/>
          </w:tcPr>
          <w:p>
            <w:pPr>
              <w:spacing w:after="0"/>
              <w:rPr>
                <w:sz w:val="1"/>
                <w:szCs w:val="1"/>
                <w:color w:val="auto"/>
              </w:rPr>
            </w:pPr>
          </w:p>
        </w:tc>
      </w:tr>
      <w:tr>
        <w:trPr>
          <w:trHeight w:val="180"/>
        </w:trPr>
        <w:tc>
          <w:tcPr>
            <w:tcW w:w="7640" w:type="dxa"/>
            <w:vAlign w:val="bottom"/>
          </w:tcPr>
          <w:p>
            <w:pPr>
              <w:spacing w:after="0"/>
              <w:rPr>
                <w:sz w:val="20"/>
                <w:szCs w:val="20"/>
                <w:color w:val="auto"/>
              </w:rPr>
            </w:pPr>
            <w:r>
              <w:rPr>
                <w:rFonts w:ascii="Arial" w:cs="Arial" w:eastAsia="Arial" w:hAnsi="Arial"/>
                <w:sz w:val="14"/>
                <w:szCs w:val="14"/>
                <w:color w:val="auto"/>
              </w:rPr>
              <w:t>Additional paid-in capital</w:t>
            </w:r>
          </w:p>
        </w:tc>
        <w:tc>
          <w:tcPr>
            <w:tcW w:w="24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1,964,028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1,954,334</w:t>
            </w:r>
          </w:p>
        </w:tc>
        <w:tc>
          <w:tcPr>
            <w:tcW w:w="0" w:type="dxa"/>
            <w:vAlign w:val="bottom"/>
          </w:tcPr>
          <w:p>
            <w:pPr>
              <w:spacing w:after="0"/>
              <w:rPr>
                <w:sz w:val="1"/>
                <w:szCs w:val="1"/>
                <w:color w:val="auto"/>
              </w:rPr>
            </w:pPr>
          </w:p>
        </w:tc>
      </w:tr>
      <w:tr>
        <w:trPr>
          <w:trHeight w:val="181"/>
        </w:trPr>
        <w:tc>
          <w:tcPr>
            <w:tcW w:w="7640" w:type="dxa"/>
            <w:vAlign w:val="bottom"/>
            <w:shd w:val="clear" w:color="auto" w:fill="CCEEFF"/>
          </w:tcPr>
          <w:p>
            <w:pPr>
              <w:spacing w:after="0"/>
              <w:rPr>
                <w:sz w:val="20"/>
                <w:szCs w:val="20"/>
                <w:color w:val="auto"/>
              </w:rPr>
            </w:pPr>
            <w:r>
              <w:rPr>
                <w:rFonts w:ascii="Arial" w:cs="Arial" w:eastAsia="Arial" w:hAnsi="Arial"/>
                <w:sz w:val="14"/>
                <w:szCs w:val="14"/>
                <w:color w:val="auto"/>
              </w:rPr>
              <w:t>Retained earnings</w:t>
            </w:r>
          </w:p>
        </w:tc>
        <w:tc>
          <w:tcPr>
            <w:tcW w:w="24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1,003,569</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972,569</w:t>
            </w:r>
          </w:p>
        </w:tc>
        <w:tc>
          <w:tcPr>
            <w:tcW w:w="0" w:type="dxa"/>
            <w:vAlign w:val="bottom"/>
          </w:tcPr>
          <w:p>
            <w:pPr>
              <w:spacing w:after="0"/>
              <w:rPr>
                <w:sz w:val="1"/>
                <w:szCs w:val="1"/>
                <w:color w:val="auto"/>
              </w:rPr>
            </w:pPr>
          </w:p>
        </w:tc>
      </w:tr>
      <w:tr>
        <w:trPr>
          <w:trHeight w:val="180"/>
        </w:trPr>
        <w:tc>
          <w:tcPr>
            <w:tcW w:w="764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Accumulated other comprehensive loss</w:t>
            </w:r>
          </w:p>
        </w:tc>
        <w:tc>
          <w:tcPr>
            <w:tcW w:w="2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(47,997)</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(20,620)</w:t>
            </w:r>
          </w:p>
        </w:tc>
        <w:tc>
          <w:tcPr>
            <w:tcW w:w="0" w:type="dxa"/>
            <w:vAlign w:val="bottom"/>
          </w:tcPr>
          <w:p>
            <w:pPr>
              <w:spacing w:after="0"/>
              <w:rPr>
                <w:sz w:val="1"/>
                <w:szCs w:val="1"/>
                <w:color w:val="auto"/>
              </w:rPr>
            </w:pPr>
          </w:p>
        </w:tc>
      </w:tr>
      <w:tr>
        <w:trPr>
          <w:trHeight w:val="171"/>
        </w:trPr>
        <w:tc>
          <w:tcPr>
            <w:tcW w:w="76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Total Pilgrim’s Pride Corporation stockholders’ equity</w:t>
            </w:r>
          </w:p>
        </w:tc>
        <w:tc>
          <w:tcPr>
            <w:tcW w:w="24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2,577,080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2,563,761</w:t>
            </w:r>
          </w:p>
        </w:tc>
        <w:tc>
          <w:tcPr>
            <w:tcW w:w="0" w:type="dxa"/>
            <w:vAlign w:val="bottom"/>
          </w:tcPr>
          <w:p>
            <w:pPr>
              <w:spacing w:after="0"/>
              <w:rPr>
                <w:sz w:val="1"/>
                <w:szCs w:val="1"/>
                <w:color w:val="auto"/>
              </w:rPr>
            </w:pPr>
          </w:p>
        </w:tc>
      </w:tr>
      <w:tr>
        <w:trPr>
          <w:trHeight w:val="180"/>
        </w:trPr>
        <w:tc>
          <w:tcPr>
            <w:tcW w:w="764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Noncontrolling interest</w:t>
            </w:r>
          </w:p>
        </w:tc>
        <w:tc>
          <w:tcPr>
            <w:tcW w:w="2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11,854</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11,586</w:t>
            </w:r>
          </w:p>
        </w:tc>
        <w:tc>
          <w:tcPr>
            <w:tcW w:w="0" w:type="dxa"/>
            <w:vAlign w:val="bottom"/>
          </w:tcPr>
          <w:p>
            <w:pPr>
              <w:spacing w:after="0"/>
              <w:rPr>
                <w:sz w:val="1"/>
                <w:szCs w:val="1"/>
                <w:color w:val="auto"/>
              </w:rPr>
            </w:pPr>
          </w:p>
        </w:tc>
      </w:tr>
      <w:tr>
        <w:trPr>
          <w:trHeight w:val="171"/>
        </w:trPr>
        <w:tc>
          <w:tcPr>
            <w:tcW w:w="76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Total stockholders’ equity</w:t>
            </w:r>
          </w:p>
        </w:tc>
        <w:tc>
          <w:tcPr>
            <w:tcW w:w="240" w:type="dxa"/>
            <w:vAlign w:val="bottom"/>
            <w:tcBorders>
              <w:bottom w:val="single" w:sz="8" w:color="auto"/>
            </w:tcBorders>
            <w:shd w:val="clear" w:color="auto" w:fill="CCEEFF"/>
          </w:tcPr>
          <w:p>
            <w:pPr>
              <w:spacing w:after="0"/>
              <w:rPr>
                <w:sz w:val="14"/>
                <w:szCs w:val="14"/>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2,588,934</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2,575,347</w:t>
            </w:r>
          </w:p>
        </w:tc>
        <w:tc>
          <w:tcPr>
            <w:tcW w:w="0" w:type="dxa"/>
            <w:vAlign w:val="bottom"/>
          </w:tcPr>
          <w:p>
            <w:pPr>
              <w:spacing w:after="0"/>
              <w:rPr>
                <w:sz w:val="1"/>
                <w:szCs w:val="1"/>
                <w:color w:val="auto"/>
              </w:rPr>
            </w:pPr>
          </w:p>
        </w:tc>
      </w:tr>
      <w:tr>
        <w:trPr>
          <w:trHeight w:val="171"/>
        </w:trPr>
        <w:tc>
          <w:tcPr>
            <w:tcW w:w="7640" w:type="dxa"/>
            <w:vAlign w:val="bottom"/>
          </w:tcPr>
          <w:p>
            <w:pPr>
              <w:ind w:left="420"/>
              <w:spacing w:after="0"/>
              <w:rPr>
                <w:sz w:val="20"/>
                <w:szCs w:val="20"/>
                <w:color w:val="auto"/>
              </w:rPr>
            </w:pPr>
            <w:r>
              <w:rPr>
                <w:rFonts w:ascii="Arial" w:cs="Arial" w:eastAsia="Arial" w:hAnsi="Arial"/>
                <w:sz w:val="14"/>
                <w:szCs w:val="14"/>
                <w:color w:val="auto"/>
              </w:rPr>
              <w:t>Total liabilities and stockholders’ equity</w:t>
            </w:r>
          </w:p>
        </w:tc>
        <w:tc>
          <w:tcPr>
            <w:tcW w:w="2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w w:val="76"/>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8,913,205</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w w:val="76"/>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7,474,497</w:t>
            </w:r>
          </w:p>
        </w:tc>
        <w:tc>
          <w:tcPr>
            <w:tcW w:w="0" w:type="dxa"/>
            <w:vAlign w:val="bottom"/>
          </w:tcPr>
          <w:p>
            <w:pPr>
              <w:spacing w:after="0"/>
              <w:rPr>
                <w:sz w:val="1"/>
                <w:szCs w:val="1"/>
                <w:color w:val="auto"/>
              </w:rPr>
            </w:pPr>
          </w:p>
        </w:tc>
      </w:tr>
      <w:tr>
        <w:trPr>
          <w:trHeight w:val="20"/>
        </w:trPr>
        <w:tc>
          <w:tcPr>
            <w:tcW w:w="76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76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5" w:name="page46"/>
    <w:bookmarkEnd w:id="45"/>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-6985</wp:posOffset>
            </wp:positionV>
            <wp:extent cx="727075" cy="69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7075" cy="698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PILGRIM’S PRIDE CORPORATION</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CONSOLIDATED STATEMENTS OF INCOME</w:t>
      </w:r>
    </w:p>
    <w:p>
      <w:pPr>
        <w:spacing w:after="0" w:line="98" w:lineRule="exact"/>
        <w:rPr>
          <w:sz w:val="20"/>
          <w:szCs w:val="20"/>
          <w:color w:val="auto"/>
        </w:rPr>
      </w:pPr>
    </w:p>
    <w:tbl>
      <w:tblPr>
        <w:tblLayout w:type="fixed"/>
        <w:tblInd w:w="20" w:type="dxa"/>
        <w:tblCellMar>
          <w:top w:w="0" w:type="dxa"/>
          <w:left w:w="0" w:type="dxa"/>
          <w:bottom w:w="0" w:type="dxa"/>
          <w:right w:w="0" w:type="dxa"/>
        </w:tblCellMar>
      </w:tblPr>
      <w:tr>
        <w:trPr>
          <w:trHeight w:val="151"/>
        </w:trPr>
        <w:tc>
          <w:tcPr>
            <w:tcW w:w="61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1"/>
                <w:szCs w:val="11"/>
                <w:b w:val="1"/>
                <w:bCs w:val="1"/>
                <w:color w:val="auto"/>
                <w:w w:val="92"/>
              </w:rPr>
              <w:t>Year Ended</w:t>
            </w:r>
          </w:p>
        </w:tc>
        <w:tc>
          <w:tcPr>
            <w:tcW w:w="22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r>
      <w:tr>
        <w:trPr>
          <w:trHeight w:val="142"/>
        </w:trPr>
        <w:tc>
          <w:tcPr>
            <w:tcW w:w="61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gridSpan w:val="2"/>
          </w:tcPr>
          <w:p>
            <w:pPr>
              <w:ind w:left="140"/>
              <w:spacing w:after="0"/>
              <w:rPr>
                <w:sz w:val="20"/>
                <w:szCs w:val="20"/>
                <w:color w:val="auto"/>
              </w:rPr>
            </w:pPr>
            <w:r>
              <w:rPr>
                <w:rFonts w:ascii="Arial" w:cs="Arial" w:eastAsia="Arial" w:hAnsi="Arial"/>
                <w:sz w:val="11"/>
                <w:szCs w:val="11"/>
                <w:b w:val="1"/>
                <w:bCs w:val="1"/>
                <w:color w:val="auto"/>
              </w:rPr>
              <w:t>December 26, 2021</w:t>
            </w:r>
          </w:p>
        </w:tc>
        <w:tc>
          <w:tcPr>
            <w:tcW w:w="22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1"/>
                <w:szCs w:val="11"/>
                <w:b w:val="1"/>
                <w:bCs w:val="1"/>
                <w:color w:val="auto"/>
                <w:w w:val="92"/>
              </w:rPr>
              <w:t>December 27, 2020</w:t>
            </w:r>
          </w:p>
        </w:tc>
        <w:tc>
          <w:tcPr>
            <w:tcW w:w="22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ind w:right="290"/>
              <w:spacing w:after="0"/>
              <w:rPr>
                <w:sz w:val="20"/>
                <w:szCs w:val="20"/>
                <w:color w:val="auto"/>
              </w:rPr>
            </w:pPr>
            <w:r>
              <w:rPr>
                <w:rFonts w:ascii="Arial" w:cs="Arial" w:eastAsia="Arial" w:hAnsi="Arial"/>
                <w:sz w:val="11"/>
                <w:szCs w:val="11"/>
                <w:b w:val="1"/>
                <w:bCs w:val="1"/>
                <w:color w:val="auto"/>
              </w:rPr>
              <w:t>December 29, 2019</w:t>
            </w:r>
          </w:p>
        </w:tc>
      </w:tr>
      <w:tr>
        <w:trPr>
          <w:trHeight w:val="124"/>
        </w:trPr>
        <w:tc>
          <w:tcPr>
            <w:tcW w:w="6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40" w:type="dxa"/>
            <w:vAlign w:val="bottom"/>
            <w:gridSpan w:val="3"/>
          </w:tcPr>
          <w:p>
            <w:pPr>
              <w:jc w:val="center"/>
              <w:ind w:right="100"/>
              <w:spacing w:after="0"/>
              <w:rPr>
                <w:sz w:val="20"/>
                <w:szCs w:val="20"/>
                <w:color w:val="auto"/>
              </w:rPr>
            </w:pPr>
            <w:r>
              <w:rPr>
                <w:rFonts w:ascii="Arial" w:cs="Arial" w:eastAsia="Arial" w:hAnsi="Arial"/>
                <w:sz w:val="10"/>
                <w:szCs w:val="10"/>
                <w:b w:val="1"/>
                <w:bCs w:val="1"/>
                <w:color w:val="auto"/>
                <w:w w:val="87"/>
              </w:rPr>
              <w:t>(In thousands, except per share data)</w:t>
            </w:r>
          </w:p>
        </w:tc>
        <w:tc>
          <w:tcPr>
            <w:tcW w:w="220" w:type="dxa"/>
            <w:vAlign w:val="bottom"/>
          </w:tcPr>
          <w:p>
            <w:pPr>
              <w:spacing w:after="0"/>
              <w:rPr>
                <w:sz w:val="10"/>
                <w:szCs w:val="10"/>
                <w:color w:val="auto"/>
              </w:rPr>
            </w:pPr>
          </w:p>
        </w:tc>
        <w:tc>
          <w:tcPr>
            <w:tcW w:w="1420" w:type="dxa"/>
            <w:vAlign w:val="bottom"/>
          </w:tcPr>
          <w:p>
            <w:pPr>
              <w:spacing w:after="0"/>
              <w:rPr>
                <w:sz w:val="10"/>
                <w:szCs w:val="10"/>
                <w:color w:val="auto"/>
              </w:rPr>
            </w:pPr>
          </w:p>
        </w:tc>
      </w:tr>
      <w:tr>
        <w:trPr>
          <w:trHeight w:val="186"/>
        </w:trPr>
        <w:tc>
          <w:tcPr>
            <w:tcW w:w="6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sales</w:t>
            </w: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14,777,458</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74"/>
              <w:spacing w:after="0"/>
              <w:rPr>
                <w:sz w:val="20"/>
                <w:szCs w:val="20"/>
                <w:color w:val="auto"/>
              </w:rPr>
            </w:pPr>
            <w:r>
              <w:rPr>
                <w:rFonts w:ascii="Arial" w:cs="Arial" w:eastAsia="Arial" w:hAnsi="Arial"/>
                <w:sz w:val="14"/>
                <w:szCs w:val="14"/>
                <w:color w:val="auto"/>
                <w:w w:val="76"/>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12,091,901</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11,409,219</w:t>
            </w:r>
          </w:p>
        </w:tc>
      </w:tr>
      <w:tr>
        <w:trPr>
          <w:trHeight w:val="180"/>
        </w:trPr>
        <w:tc>
          <w:tcPr>
            <w:tcW w:w="61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Cost of sales</w:t>
            </w:r>
          </w:p>
        </w:tc>
        <w:tc>
          <w:tcPr>
            <w:tcW w:w="2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13,411,631</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11,253,705</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10,338,825</w:t>
            </w:r>
          </w:p>
        </w:tc>
      </w:tr>
      <w:tr>
        <w:trPr>
          <w:trHeight w:val="171"/>
        </w:trPr>
        <w:tc>
          <w:tcPr>
            <w:tcW w:w="6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Gross profit</w:t>
            </w:r>
          </w:p>
        </w:tc>
        <w:tc>
          <w:tcPr>
            <w:tcW w:w="22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1,365,827</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838,196</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1,070,394</w:t>
            </w:r>
          </w:p>
        </w:tc>
      </w:tr>
      <w:tr>
        <w:trPr>
          <w:trHeight w:val="180"/>
        </w:trPr>
        <w:tc>
          <w:tcPr>
            <w:tcW w:w="6120" w:type="dxa"/>
            <w:vAlign w:val="bottom"/>
          </w:tcPr>
          <w:p>
            <w:pPr>
              <w:ind w:left="20"/>
              <w:spacing w:after="0"/>
              <w:rPr>
                <w:sz w:val="20"/>
                <w:szCs w:val="20"/>
                <w:color w:val="auto"/>
              </w:rPr>
            </w:pPr>
            <w:r>
              <w:rPr>
                <w:rFonts w:ascii="Arial" w:cs="Arial" w:eastAsia="Arial" w:hAnsi="Arial"/>
                <w:sz w:val="14"/>
                <w:szCs w:val="14"/>
                <w:color w:val="auto"/>
              </w:rPr>
              <w:t>Selling, general and administrative expense</w:t>
            </w:r>
          </w:p>
        </w:tc>
        <w:tc>
          <w:tcPr>
            <w:tcW w:w="2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1,148,861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592,610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379,910</w:t>
            </w:r>
          </w:p>
        </w:tc>
      </w:tr>
      <w:tr>
        <w:trPr>
          <w:trHeight w:val="181"/>
        </w:trPr>
        <w:tc>
          <w:tcPr>
            <w:tcW w:w="6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Restructuring activities</w:t>
            </w:r>
          </w:p>
        </w:tc>
        <w:tc>
          <w:tcPr>
            <w:tcW w:w="22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5,802</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123</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w:t>
            </w:r>
          </w:p>
        </w:tc>
      </w:tr>
      <w:tr>
        <w:trPr>
          <w:trHeight w:val="171"/>
        </w:trPr>
        <w:tc>
          <w:tcPr>
            <w:tcW w:w="6120" w:type="dxa"/>
            <w:vAlign w:val="bottom"/>
          </w:tcPr>
          <w:p>
            <w:pPr>
              <w:ind w:left="180"/>
              <w:spacing w:after="0"/>
              <w:rPr>
                <w:sz w:val="20"/>
                <w:szCs w:val="20"/>
                <w:color w:val="auto"/>
              </w:rPr>
            </w:pPr>
            <w:r>
              <w:rPr>
                <w:rFonts w:ascii="Arial" w:cs="Arial" w:eastAsia="Arial" w:hAnsi="Arial"/>
                <w:sz w:val="14"/>
                <w:szCs w:val="14"/>
                <w:color w:val="auto"/>
              </w:rPr>
              <w:t>Operating income</w:t>
            </w:r>
          </w:p>
        </w:tc>
        <w:tc>
          <w:tcPr>
            <w:tcW w:w="22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211,164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245,463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690,568</w:t>
            </w:r>
          </w:p>
        </w:tc>
      </w:tr>
      <w:tr>
        <w:trPr>
          <w:trHeight w:val="181"/>
        </w:trPr>
        <w:tc>
          <w:tcPr>
            <w:tcW w:w="6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 net of capitalized interest</w:t>
            </w: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145,792</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126,118</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132,630</w:t>
            </w:r>
          </w:p>
        </w:tc>
      </w:tr>
      <w:tr>
        <w:trPr>
          <w:trHeight w:val="180"/>
        </w:trPr>
        <w:tc>
          <w:tcPr>
            <w:tcW w:w="6120" w:type="dxa"/>
            <w:vAlign w:val="bottom"/>
          </w:tcPr>
          <w:p>
            <w:pPr>
              <w:ind w:left="20"/>
              <w:spacing w:after="0"/>
              <w:rPr>
                <w:sz w:val="20"/>
                <w:szCs w:val="20"/>
                <w:color w:val="auto"/>
              </w:rPr>
            </w:pPr>
            <w:r>
              <w:rPr>
                <w:rFonts w:ascii="Arial" w:cs="Arial" w:eastAsia="Arial" w:hAnsi="Arial"/>
                <w:sz w:val="14"/>
                <w:szCs w:val="14"/>
                <w:color w:val="auto"/>
              </w:rPr>
              <w:t>Interest income</w:t>
            </w:r>
          </w:p>
        </w:tc>
        <w:tc>
          <w:tcPr>
            <w:tcW w:w="2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(6,056)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(7,305)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(14,277)</w:t>
            </w:r>
          </w:p>
        </w:tc>
      </w:tr>
      <w:tr>
        <w:trPr>
          <w:trHeight w:val="181"/>
        </w:trPr>
        <w:tc>
          <w:tcPr>
            <w:tcW w:w="6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 currency transaction (gains) losses</w:t>
            </w: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(9,382)</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6,917</w:t>
            </w:r>
          </w:p>
        </w:tc>
      </w:tr>
      <w:tr>
        <w:trPr>
          <w:trHeight w:val="180"/>
        </w:trPr>
        <w:tc>
          <w:tcPr>
            <w:tcW w:w="6120" w:type="dxa"/>
            <w:vAlign w:val="bottom"/>
          </w:tcPr>
          <w:p>
            <w:pPr>
              <w:ind w:left="20"/>
              <w:spacing w:after="0"/>
              <w:rPr>
                <w:sz w:val="20"/>
                <w:szCs w:val="20"/>
                <w:color w:val="auto"/>
              </w:rPr>
            </w:pPr>
            <w:r>
              <w:rPr>
                <w:rFonts w:ascii="Arial" w:cs="Arial" w:eastAsia="Arial" w:hAnsi="Arial"/>
                <w:sz w:val="14"/>
                <w:szCs w:val="14"/>
                <w:color w:val="auto"/>
              </w:rPr>
              <w:t>Gain on bargain purchase</w:t>
            </w:r>
          </w:p>
        </w:tc>
        <w:tc>
          <w:tcPr>
            <w:tcW w:w="220" w:type="dxa"/>
            <w:vAlign w:val="bottom"/>
          </w:tcPr>
          <w:p>
            <w:pPr>
              <w:spacing w:after="0"/>
              <w:rPr>
                <w:sz w:val="15"/>
                <w:szCs w:val="15"/>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3,746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(56,880)</w:t>
            </w:r>
          </w:p>
        </w:tc>
      </w:tr>
      <w:tr>
        <w:trPr>
          <w:trHeight w:val="181"/>
        </w:trPr>
        <w:tc>
          <w:tcPr>
            <w:tcW w:w="6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Miscellaneous, net</w:t>
            </w:r>
          </w:p>
        </w:tc>
        <w:tc>
          <w:tcPr>
            <w:tcW w:w="22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(11,580)</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(39,681)</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4,633</w:t>
            </w:r>
          </w:p>
        </w:tc>
      </w:tr>
      <w:tr>
        <w:trPr>
          <w:trHeight w:val="171"/>
        </w:trPr>
        <w:tc>
          <w:tcPr>
            <w:tcW w:w="6120" w:type="dxa"/>
            <w:vAlign w:val="bottom"/>
          </w:tcPr>
          <w:p>
            <w:pPr>
              <w:ind w:left="180"/>
              <w:spacing w:after="0"/>
              <w:rPr>
                <w:sz w:val="20"/>
                <w:szCs w:val="20"/>
                <w:color w:val="auto"/>
              </w:rPr>
            </w:pPr>
            <w:r>
              <w:rPr>
                <w:rFonts w:ascii="Arial" w:cs="Arial" w:eastAsia="Arial" w:hAnsi="Arial"/>
                <w:sz w:val="14"/>
                <w:szCs w:val="14"/>
                <w:color w:val="auto"/>
              </w:rPr>
              <w:t>Income before income taxes</w:t>
            </w:r>
          </w:p>
        </w:tc>
        <w:tc>
          <w:tcPr>
            <w:tcW w:w="22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92,390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161,825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617,545</w:t>
            </w:r>
          </w:p>
        </w:tc>
      </w:tr>
      <w:tr>
        <w:trPr>
          <w:trHeight w:val="181"/>
        </w:trPr>
        <w:tc>
          <w:tcPr>
            <w:tcW w:w="6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expense</w:t>
            </w:r>
          </w:p>
        </w:tc>
        <w:tc>
          <w:tcPr>
            <w:tcW w:w="22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61,122</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66,755</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161,009</w:t>
            </w:r>
          </w:p>
        </w:tc>
      </w:tr>
      <w:tr>
        <w:trPr>
          <w:trHeight w:val="171"/>
        </w:trPr>
        <w:tc>
          <w:tcPr>
            <w:tcW w:w="6120" w:type="dxa"/>
            <w:vAlign w:val="bottom"/>
          </w:tcPr>
          <w:p>
            <w:pPr>
              <w:ind w:left="180"/>
              <w:spacing w:after="0"/>
              <w:rPr>
                <w:sz w:val="20"/>
                <w:szCs w:val="20"/>
                <w:color w:val="auto"/>
              </w:rPr>
            </w:pPr>
            <w:r>
              <w:rPr>
                <w:rFonts w:ascii="Arial" w:cs="Arial" w:eastAsia="Arial" w:hAnsi="Arial"/>
                <w:sz w:val="14"/>
                <w:szCs w:val="14"/>
                <w:color w:val="auto"/>
              </w:rPr>
              <w:t>Net income</w:t>
            </w:r>
          </w:p>
        </w:tc>
        <w:tc>
          <w:tcPr>
            <w:tcW w:w="22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31,268</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95,070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456,536</w:t>
            </w:r>
          </w:p>
        </w:tc>
      </w:tr>
      <w:tr>
        <w:trPr>
          <w:trHeight w:val="180"/>
        </w:trPr>
        <w:tc>
          <w:tcPr>
            <w:tcW w:w="6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Net income attributable to noncontrolling interest</w:t>
            </w:r>
          </w:p>
        </w:tc>
        <w:tc>
          <w:tcPr>
            <w:tcW w:w="22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268</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313</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612</w:t>
            </w:r>
          </w:p>
        </w:tc>
      </w:tr>
      <w:tr>
        <w:trPr>
          <w:trHeight w:val="171"/>
        </w:trPr>
        <w:tc>
          <w:tcPr>
            <w:tcW w:w="6120" w:type="dxa"/>
            <w:vAlign w:val="bottom"/>
          </w:tcPr>
          <w:p>
            <w:pPr>
              <w:ind w:left="180"/>
              <w:spacing w:after="0"/>
              <w:rPr>
                <w:sz w:val="20"/>
                <w:szCs w:val="20"/>
                <w:color w:val="auto"/>
              </w:rPr>
            </w:pPr>
            <w:r>
              <w:rPr>
                <w:rFonts w:ascii="Arial" w:cs="Arial" w:eastAsia="Arial" w:hAnsi="Arial"/>
                <w:sz w:val="14"/>
                <w:szCs w:val="14"/>
                <w:color w:val="auto"/>
              </w:rPr>
              <w:t>Net income attributable to Pilgrim’s Pride Corporation</w:t>
            </w:r>
          </w:p>
        </w:tc>
        <w:tc>
          <w:tcPr>
            <w:tcW w:w="2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w w:val="76"/>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31,000</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color w:val="auto"/>
                <w:w w:val="76"/>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94,757</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w w:val="76"/>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455,924</w:t>
            </w:r>
          </w:p>
        </w:tc>
      </w:tr>
      <w:tr>
        <w:trPr>
          <w:trHeight w:val="20"/>
        </w:trPr>
        <w:tc>
          <w:tcPr>
            <w:tcW w:w="6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73"/>
        </w:trPr>
        <w:tc>
          <w:tcPr>
            <w:tcW w:w="6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r>
      <w:tr>
        <w:trPr>
          <w:trHeight w:val="180"/>
        </w:trPr>
        <w:tc>
          <w:tcPr>
            <w:tcW w:w="6120" w:type="dxa"/>
            <w:vAlign w:val="bottom"/>
          </w:tcPr>
          <w:p>
            <w:pPr>
              <w:ind w:left="20"/>
              <w:spacing w:after="0"/>
              <w:rPr>
                <w:sz w:val="20"/>
                <w:szCs w:val="20"/>
                <w:color w:val="auto"/>
              </w:rPr>
            </w:pPr>
            <w:r>
              <w:rPr>
                <w:rFonts w:ascii="Arial" w:cs="Arial" w:eastAsia="Arial" w:hAnsi="Arial"/>
                <w:sz w:val="14"/>
                <w:szCs w:val="14"/>
                <w:b w:val="1"/>
                <w:bCs w:val="1"/>
                <w:color w:val="auto"/>
              </w:rPr>
              <w:t>Weighted average shares of Pilgrim’s Pride Corporation common stock outstanding:</w:t>
            </w:r>
          </w:p>
        </w:tc>
        <w:tc>
          <w:tcPr>
            <w:tcW w:w="2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80"/>
        </w:trPr>
        <w:tc>
          <w:tcPr>
            <w:tcW w:w="6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Basic</w:t>
            </w: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243,652</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245,944</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249,401</w:t>
            </w:r>
          </w:p>
        </w:tc>
      </w:tr>
      <w:tr>
        <w:trPr>
          <w:trHeight w:val="180"/>
        </w:trPr>
        <w:tc>
          <w:tcPr>
            <w:tcW w:w="612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Effect of dilutive common stock equivalents</w:t>
            </w:r>
          </w:p>
        </w:tc>
        <w:tc>
          <w:tcPr>
            <w:tcW w:w="2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477</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180</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308</w:t>
            </w:r>
          </w:p>
        </w:tc>
      </w:tr>
      <w:tr>
        <w:trPr>
          <w:trHeight w:val="196"/>
        </w:trPr>
        <w:tc>
          <w:tcPr>
            <w:tcW w:w="6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Diluted</w:t>
            </w:r>
          </w:p>
        </w:tc>
        <w:tc>
          <w:tcPr>
            <w:tcW w:w="22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244,129</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246,124</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249,709</w:t>
            </w: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r>
        <w:trPr>
          <w:trHeight w:val="153"/>
        </w:trPr>
        <w:tc>
          <w:tcPr>
            <w:tcW w:w="6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tcPr>
          <w:p>
            <w:pPr>
              <w:spacing w:after="0"/>
              <w:rPr>
                <w:sz w:val="13"/>
                <w:szCs w:val="13"/>
                <w:color w:val="auto"/>
              </w:rPr>
            </w:pPr>
          </w:p>
        </w:tc>
      </w:tr>
      <w:tr>
        <w:trPr>
          <w:trHeight w:val="180"/>
        </w:trPr>
        <w:tc>
          <w:tcPr>
            <w:tcW w:w="61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w w:val="95"/>
              </w:rPr>
              <w:t>Net income attributable to Pilgrim’s Pride Corporation per share of common stock outstanding:</w:t>
            </w: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r>
      <w:tr>
        <w:trPr>
          <w:trHeight w:val="180"/>
        </w:trPr>
        <w:tc>
          <w:tcPr>
            <w:tcW w:w="6120" w:type="dxa"/>
            <w:vAlign w:val="bottom"/>
          </w:tcPr>
          <w:p>
            <w:pPr>
              <w:ind w:left="180"/>
              <w:spacing w:after="0"/>
              <w:rPr>
                <w:sz w:val="20"/>
                <w:szCs w:val="20"/>
                <w:color w:val="auto"/>
              </w:rPr>
            </w:pPr>
            <w:r>
              <w:rPr>
                <w:rFonts w:ascii="Arial" w:cs="Arial" w:eastAsia="Arial" w:hAnsi="Arial"/>
                <w:sz w:val="14"/>
                <w:szCs w:val="14"/>
                <w:color w:val="auto"/>
              </w:rPr>
              <w:t>Basic</w:t>
            </w: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0.13</w:t>
            </w:r>
          </w:p>
        </w:tc>
        <w:tc>
          <w:tcPr>
            <w:tcW w:w="100" w:type="dxa"/>
            <w:vAlign w:val="bottom"/>
          </w:tcPr>
          <w:p>
            <w:pPr>
              <w:spacing w:after="0"/>
              <w:rPr>
                <w:sz w:val="15"/>
                <w:szCs w:val="15"/>
                <w:color w:val="auto"/>
              </w:rPr>
            </w:pPr>
          </w:p>
        </w:tc>
        <w:tc>
          <w:tcPr>
            <w:tcW w:w="220" w:type="dxa"/>
            <w:vAlign w:val="bottom"/>
          </w:tcPr>
          <w:p>
            <w:pPr>
              <w:jc w:val="right"/>
              <w:ind w:right="74"/>
              <w:spacing w:after="0"/>
              <w:rPr>
                <w:sz w:val="20"/>
                <w:szCs w:val="20"/>
                <w:color w:val="auto"/>
              </w:rPr>
            </w:pPr>
            <w:r>
              <w:rPr>
                <w:rFonts w:ascii="Arial" w:cs="Arial" w:eastAsia="Arial" w:hAnsi="Arial"/>
                <w:sz w:val="14"/>
                <w:szCs w:val="14"/>
                <w:color w:val="auto"/>
                <w:w w:val="76"/>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0.39</w:t>
            </w:r>
          </w:p>
        </w:tc>
        <w:tc>
          <w:tcPr>
            <w:tcW w:w="10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1.83</w:t>
            </w:r>
          </w:p>
        </w:tc>
      </w:tr>
      <w:tr>
        <w:trPr>
          <w:trHeight w:val="181"/>
        </w:trPr>
        <w:tc>
          <w:tcPr>
            <w:tcW w:w="6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Diluted</w:t>
            </w: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74"/>
              <w:spacing w:after="0"/>
              <w:rPr>
                <w:sz w:val="20"/>
                <w:szCs w:val="20"/>
                <w:color w:val="auto"/>
              </w:rPr>
            </w:pPr>
            <w:r>
              <w:rPr>
                <w:rFonts w:ascii="Arial" w:cs="Arial" w:eastAsia="Arial" w:hAnsi="Arial"/>
                <w:sz w:val="14"/>
                <w:szCs w:val="14"/>
                <w:color w:val="auto"/>
                <w:w w:val="76"/>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0.39</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w:t>
            </w:r>
          </w:p>
        </w:tc>
      </w:tr>
    </w:tbl>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46" w:name="page47"/>
    <w:bookmarkEnd w:id="46"/>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-6985</wp:posOffset>
            </wp:positionV>
            <wp:extent cx="727075" cy="69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707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PILGRIM’S PRIDE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COMPREHENSIVE INCOME</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616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1"/>
                <w:szCs w:val="11"/>
                <w:b w:val="1"/>
                <w:bCs w:val="1"/>
                <w:color w:val="auto"/>
                <w:w w:val="92"/>
              </w:rPr>
              <w:t>Year Ended</w:t>
            </w:r>
          </w:p>
        </w:tc>
        <w:tc>
          <w:tcPr>
            <w:tcW w:w="6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160" w:type="dxa"/>
            <w:vAlign w:val="bottom"/>
          </w:tcPr>
          <w:p>
            <w:pPr>
              <w:spacing w:after="0"/>
              <w:rPr>
                <w:sz w:val="12"/>
                <w:szCs w:val="12"/>
                <w:color w:val="auto"/>
              </w:rPr>
            </w:pPr>
          </w:p>
        </w:tc>
        <w:tc>
          <w:tcPr>
            <w:tcW w:w="1740" w:type="dxa"/>
            <w:vAlign w:val="bottom"/>
            <w:tcBorders>
              <w:bottom w:val="single" w:sz="8" w:color="auto"/>
            </w:tcBorders>
            <w:gridSpan w:val="3"/>
          </w:tcPr>
          <w:p>
            <w:pPr>
              <w:ind w:left="60"/>
              <w:spacing w:after="0"/>
              <w:rPr>
                <w:sz w:val="20"/>
                <w:szCs w:val="20"/>
                <w:color w:val="auto"/>
              </w:rPr>
            </w:pPr>
            <w:r>
              <w:rPr>
                <w:rFonts w:ascii="Arial" w:cs="Arial" w:eastAsia="Arial" w:hAnsi="Arial"/>
                <w:sz w:val="11"/>
                <w:szCs w:val="11"/>
                <w:b w:val="1"/>
                <w:bCs w:val="1"/>
                <w:color w:val="auto"/>
              </w:rPr>
              <w:t>Year Ended December 26, 2021</w:t>
            </w:r>
          </w:p>
        </w:tc>
        <w:tc>
          <w:tcPr>
            <w:tcW w:w="174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1"/>
                <w:szCs w:val="11"/>
                <w:b w:val="1"/>
                <w:bCs w:val="1"/>
                <w:color w:val="auto"/>
                <w:w w:val="93"/>
              </w:rPr>
              <w:t>Year Ended December 27, 2020</w:t>
            </w:r>
          </w:p>
        </w:tc>
        <w:tc>
          <w:tcPr>
            <w:tcW w:w="164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w w:val="95"/>
              </w:rPr>
              <w:t>Year Ended December 29, 2019</w:t>
            </w:r>
          </w:p>
        </w:tc>
        <w:tc>
          <w:tcPr>
            <w:tcW w:w="0" w:type="dxa"/>
            <w:vAlign w:val="bottom"/>
          </w:tcPr>
          <w:p>
            <w:pPr>
              <w:spacing w:after="0"/>
              <w:rPr>
                <w:sz w:val="1"/>
                <w:szCs w:val="1"/>
                <w:color w:val="auto"/>
              </w:rPr>
            </w:pPr>
          </w:p>
        </w:tc>
      </w:tr>
      <w:tr>
        <w:trPr>
          <w:trHeight w:val="124"/>
        </w:trPr>
        <w:tc>
          <w:tcPr>
            <w:tcW w:w="6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4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87"/>
              </w:rPr>
              <w:t>(In thousands)</w:t>
            </w:r>
          </w:p>
        </w:tc>
        <w:tc>
          <w:tcPr>
            <w:tcW w:w="6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6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620" w:type="dxa"/>
            <w:vAlign w:val="bottom"/>
            <w:shd w:val="clear" w:color="auto" w:fill="CCEEFF"/>
          </w:tcPr>
          <w:p>
            <w:pPr>
              <w:jc w:val="right"/>
              <w:ind w:right="474"/>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31,268</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54"/>
              <w:spacing w:after="0"/>
              <w:rPr>
                <w:sz w:val="20"/>
                <w:szCs w:val="20"/>
                <w:color w:val="auto"/>
              </w:rPr>
            </w:pPr>
            <w:r>
              <w:rPr>
                <w:rFonts w:ascii="Arial" w:cs="Arial" w:eastAsia="Arial" w:hAnsi="Arial"/>
                <w:sz w:val="14"/>
                <w:szCs w:val="14"/>
                <w:color w:val="auto"/>
                <w:w w:val="76"/>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95,070</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454"/>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456,536</w:t>
            </w:r>
          </w:p>
        </w:tc>
        <w:tc>
          <w:tcPr>
            <w:tcW w:w="0" w:type="dxa"/>
            <w:vAlign w:val="bottom"/>
          </w:tcPr>
          <w:p>
            <w:pPr>
              <w:spacing w:after="0"/>
              <w:rPr>
                <w:sz w:val="1"/>
                <w:szCs w:val="1"/>
                <w:color w:val="auto"/>
              </w:rPr>
            </w:pPr>
          </w:p>
        </w:tc>
      </w:tr>
      <w:tr>
        <w:trPr>
          <w:trHeight w:val="180"/>
        </w:trPr>
        <w:tc>
          <w:tcPr>
            <w:tcW w:w="6160" w:type="dxa"/>
            <w:vAlign w:val="bottom"/>
          </w:tcPr>
          <w:p>
            <w:pPr>
              <w:ind w:left="20"/>
              <w:spacing w:after="0"/>
              <w:rPr>
                <w:sz w:val="20"/>
                <w:szCs w:val="20"/>
                <w:color w:val="auto"/>
              </w:rPr>
            </w:pPr>
            <w:r>
              <w:rPr>
                <w:rFonts w:ascii="Arial" w:cs="Arial" w:eastAsia="Arial" w:hAnsi="Arial"/>
                <w:sz w:val="14"/>
                <w:szCs w:val="14"/>
                <w:color w:val="auto"/>
              </w:rPr>
              <w:t>Other comprehensive income:</w:t>
            </w:r>
          </w:p>
        </w:tc>
        <w:tc>
          <w:tcPr>
            <w:tcW w:w="6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1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Foreign currency translation adjustment</w:t>
            </w:r>
          </w:p>
        </w:tc>
        <w:tc>
          <w:tcPr>
            <w:tcW w:w="6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160" w:type="dxa"/>
            <w:vAlign w:val="bottom"/>
          </w:tcPr>
          <w:p>
            <w:pPr>
              <w:ind w:left="280"/>
              <w:spacing w:after="0"/>
              <w:rPr>
                <w:sz w:val="20"/>
                <w:szCs w:val="20"/>
                <w:color w:val="auto"/>
              </w:rPr>
            </w:pPr>
            <w:r>
              <w:rPr>
                <w:rFonts w:ascii="Arial" w:cs="Arial" w:eastAsia="Arial" w:hAnsi="Arial"/>
                <w:sz w:val="14"/>
                <w:szCs w:val="14"/>
                <w:color w:val="auto"/>
              </w:rPr>
              <w:t>Gains (losses) arising during the period</w:t>
            </w:r>
          </w:p>
        </w:tc>
        <w:tc>
          <w:tcPr>
            <w:tcW w:w="6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(55,541)</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83,890</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54,662</w:t>
            </w:r>
          </w:p>
        </w:tc>
        <w:tc>
          <w:tcPr>
            <w:tcW w:w="0" w:type="dxa"/>
            <w:vAlign w:val="bottom"/>
          </w:tcPr>
          <w:p>
            <w:pPr>
              <w:spacing w:after="0"/>
              <w:rPr>
                <w:sz w:val="1"/>
                <w:szCs w:val="1"/>
                <w:color w:val="auto"/>
              </w:rPr>
            </w:pPr>
          </w:p>
        </w:tc>
      </w:tr>
      <w:tr>
        <w:trPr>
          <w:trHeight w:val="138"/>
        </w:trPr>
        <w:tc>
          <w:tcPr>
            <w:tcW w:w="6160" w:type="dxa"/>
            <w:vAlign w:val="bottom"/>
            <w:shd w:val="clear" w:color="auto" w:fill="CCEEFF"/>
          </w:tcPr>
          <w:p>
            <w:pPr>
              <w:ind w:left="120"/>
              <w:spacing w:after="0" w:line="138" w:lineRule="exact"/>
              <w:rPr>
                <w:sz w:val="20"/>
                <w:szCs w:val="20"/>
                <w:color w:val="auto"/>
              </w:rPr>
            </w:pPr>
            <w:r>
              <w:rPr>
                <w:rFonts w:ascii="Arial" w:cs="Arial" w:eastAsia="Arial" w:hAnsi="Arial"/>
                <w:sz w:val="14"/>
                <w:szCs w:val="14"/>
                <w:color w:val="auto"/>
              </w:rPr>
              <w:t>Derivative financial instruments designated as cash</w:t>
            </w: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6160" w:type="dxa"/>
            <w:vAlign w:val="bottom"/>
            <w:shd w:val="clear" w:color="auto" w:fill="CCEEFF"/>
          </w:tcPr>
          <w:p>
            <w:pPr>
              <w:ind w:left="300"/>
              <w:spacing w:after="0"/>
              <w:rPr>
                <w:sz w:val="20"/>
                <w:szCs w:val="20"/>
                <w:color w:val="auto"/>
              </w:rPr>
            </w:pPr>
            <w:r>
              <w:rPr>
                <w:rFonts w:ascii="Arial" w:cs="Arial" w:eastAsia="Arial" w:hAnsi="Arial"/>
                <w:sz w:val="14"/>
                <w:szCs w:val="14"/>
                <w:color w:val="auto"/>
              </w:rPr>
              <w:t>flow hedges</w:t>
            </w:r>
          </w:p>
        </w:tc>
        <w:tc>
          <w:tcPr>
            <w:tcW w:w="6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160" w:type="dxa"/>
            <w:vAlign w:val="bottom"/>
          </w:tcPr>
          <w:p>
            <w:pPr>
              <w:ind w:left="280"/>
              <w:spacing w:after="0"/>
              <w:rPr>
                <w:sz w:val="20"/>
                <w:szCs w:val="20"/>
                <w:color w:val="auto"/>
              </w:rPr>
            </w:pPr>
            <w:r>
              <w:rPr>
                <w:rFonts w:ascii="Arial" w:cs="Arial" w:eastAsia="Arial" w:hAnsi="Arial"/>
                <w:sz w:val="14"/>
                <w:szCs w:val="14"/>
                <w:color w:val="auto"/>
              </w:rPr>
              <w:t>Gains (losses) arising during the period</w:t>
            </w:r>
          </w:p>
        </w:tc>
        <w:tc>
          <w:tcPr>
            <w:tcW w:w="6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398</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3,719</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(2,106)</w:t>
            </w:r>
          </w:p>
        </w:tc>
        <w:tc>
          <w:tcPr>
            <w:tcW w:w="0" w:type="dxa"/>
            <w:vAlign w:val="bottom"/>
          </w:tcPr>
          <w:p>
            <w:pPr>
              <w:spacing w:after="0"/>
              <w:rPr>
                <w:sz w:val="1"/>
                <w:szCs w:val="1"/>
                <w:color w:val="auto"/>
              </w:rPr>
            </w:pPr>
          </w:p>
        </w:tc>
      </w:tr>
      <w:tr>
        <w:trPr>
          <w:trHeight w:val="181"/>
        </w:trPr>
        <w:tc>
          <w:tcPr>
            <w:tcW w:w="6160" w:type="dxa"/>
            <w:vAlign w:val="bottom"/>
            <w:shd w:val="clear" w:color="auto" w:fill="CCEEFF"/>
          </w:tcPr>
          <w:p>
            <w:pPr>
              <w:ind w:left="440"/>
              <w:spacing w:after="0"/>
              <w:rPr>
                <w:sz w:val="20"/>
                <w:szCs w:val="20"/>
                <w:color w:val="auto"/>
              </w:rPr>
            </w:pPr>
            <w:r>
              <w:rPr>
                <w:rFonts w:ascii="Arial" w:cs="Arial" w:eastAsia="Arial" w:hAnsi="Arial"/>
                <w:sz w:val="14"/>
                <w:szCs w:val="14"/>
                <w:color w:val="auto"/>
              </w:rPr>
              <w:t>Income tax effect</w:t>
            </w:r>
          </w:p>
        </w:tc>
        <w:tc>
          <w:tcPr>
            <w:tcW w:w="6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6160" w:type="dxa"/>
            <w:vAlign w:val="bottom"/>
          </w:tcPr>
          <w:p>
            <w:pPr>
              <w:ind w:left="280"/>
              <w:spacing w:after="0" w:line="138" w:lineRule="exact"/>
              <w:rPr>
                <w:sz w:val="20"/>
                <w:szCs w:val="20"/>
                <w:color w:val="auto"/>
              </w:rPr>
            </w:pPr>
            <w:r>
              <w:rPr>
                <w:rFonts w:ascii="Arial" w:cs="Arial" w:eastAsia="Arial" w:hAnsi="Arial"/>
                <w:sz w:val="14"/>
                <w:szCs w:val="14"/>
                <w:color w:val="auto"/>
              </w:rPr>
              <w:t>Reclassification to net earnings for losses (gains)</w:t>
            </w:r>
          </w:p>
        </w:tc>
        <w:tc>
          <w:tcPr>
            <w:tcW w:w="62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(1,437)</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vMerge w:val="restart"/>
          </w:tcPr>
          <w:p>
            <w:pPr>
              <w:jc w:val="right"/>
              <w:spacing w:after="0"/>
              <w:rPr>
                <w:sz w:val="20"/>
                <w:szCs w:val="20"/>
                <w:color w:val="auto"/>
              </w:rPr>
            </w:pPr>
            <w:r>
              <w:rPr>
                <w:rFonts w:ascii="Arial" w:cs="Arial" w:eastAsia="Arial" w:hAnsi="Arial"/>
                <w:sz w:val="14"/>
                <w:szCs w:val="14"/>
                <w:color w:val="auto"/>
              </w:rPr>
              <w:t>(2,664)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383</w:t>
            </w:r>
          </w:p>
        </w:tc>
        <w:tc>
          <w:tcPr>
            <w:tcW w:w="0" w:type="dxa"/>
            <w:vAlign w:val="bottom"/>
          </w:tcPr>
          <w:p>
            <w:pPr>
              <w:spacing w:after="0"/>
              <w:rPr>
                <w:sz w:val="1"/>
                <w:szCs w:val="1"/>
                <w:color w:val="auto"/>
              </w:rPr>
            </w:pPr>
          </w:p>
        </w:tc>
      </w:tr>
      <w:tr>
        <w:trPr>
          <w:trHeight w:val="180"/>
        </w:trPr>
        <w:tc>
          <w:tcPr>
            <w:tcW w:w="6160" w:type="dxa"/>
            <w:vAlign w:val="bottom"/>
          </w:tcPr>
          <w:p>
            <w:pPr>
              <w:ind w:left="460"/>
              <w:spacing w:after="0"/>
              <w:rPr>
                <w:sz w:val="20"/>
                <w:szCs w:val="20"/>
                <w:color w:val="auto"/>
              </w:rPr>
            </w:pPr>
            <w:r>
              <w:rPr>
                <w:rFonts w:ascii="Arial" w:cs="Arial" w:eastAsia="Arial" w:hAnsi="Arial"/>
                <w:sz w:val="14"/>
                <w:szCs w:val="14"/>
                <w:color w:val="auto"/>
              </w:rPr>
              <w:t>realized</w:t>
            </w:r>
          </w:p>
        </w:tc>
        <w:tc>
          <w:tcPr>
            <w:tcW w:w="62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160" w:type="dxa"/>
            <w:vAlign w:val="bottom"/>
            <w:shd w:val="clear" w:color="auto" w:fill="CCEEFF"/>
          </w:tcPr>
          <w:p>
            <w:pPr>
              <w:ind w:left="440"/>
              <w:spacing w:after="0"/>
              <w:rPr>
                <w:sz w:val="20"/>
                <w:szCs w:val="20"/>
                <w:color w:val="auto"/>
              </w:rPr>
            </w:pPr>
            <w:r>
              <w:rPr>
                <w:rFonts w:ascii="Arial" w:cs="Arial" w:eastAsia="Arial" w:hAnsi="Arial"/>
                <w:sz w:val="14"/>
                <w:szCs w:val="14"/>
                <w:color w:val="auto"/>
              </w:rPr>
              <w:t>Income tax effect</w:t>
            </w:r>
          </w:p>
        </w:tc>
        <w:tc>
          <w:tcPr>
            <w:tcW w:w="6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6160" w:type="dxa"/>
            <w:vAlign w:val="bottom"/>
          </w:tcPr>
          <w:p>
            <w:pPr>
              <w:ind w:left="120"/>
              <w:spacing w:after="0"/>
              <w:rPr>
                <w:sz w:val="20"/>
                <w:szCs w:val="20"/>
                <w:color w:val="auto"/>
              </w:rPr>
            </w:pPr>
            <w:r>
              <w:rPr>
                <w:rFonts w:ascii="Arial" w:cs="Arial" w:eastAsia="Arial" w:hAnsi="Arial"/>
                <w:sz w:val="14"/>
                <w:szCs w:val="14"/>
                <w:color w:val="auto"/>
              </w:rPr>
              <w:t>Available-for-sale securities</w:t>
            </w:r>
          </w:p>
        </w:tc>
        <w:tc>
          <w:tcPr>
            <w:tcW w:w="6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1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Gains arising during the period</w:t>
            </w:r>
          </w:p>
        </w:tc>
        <w:tc>
          <w:tcPr>
            <w:tcW w:w="6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510</w:t>
            </w:r>
          </w:p>
        </w:tc>
        <w:tc>
          <w:tcPr>
            <w:tcW w:w="0" w:type="dxa"/>
            <w:vAlign w:val="bottom"/>
          </w:tcPr>
          <w:p>
            <w:pPr>
              <w:spacing w:after="0"/>
              <w:rPr>
                <w:sz w:val="1"/>
                <w:szCs w:val="1"/>
                <w:color w:val="auto"/>
              </w:rPr>
            </w:pPr>
          </w:p>
        </w:tc>
      </w:tr>
      <w:tr>
        <w:trPr>
          <w:trHeight w:val="180"/>
        </w:trPr>
        <w:tc>
          <w:tcPr>
            <w:tcW w:w="6160" w:type="dxa"/>
            <w:vAlign w:val="bottom"/>
          </w:tcPr>
          <w:p>
            <w:pPr>
              <w:ind w:left="440"/>
              <w:spacing w:after="0"/>
              <w:rPr>
                <w:sz w:val="20"/>
                <w:szCs w:val="20"/>
                <w:color w:val="auto"/>
              </w:rPr>
            </w:pPr>
            <w:r>
              <w:rPr>
                <w:rFonts w:ascii="Arial" w:cs="Arial" w:eastAsia="Arial" w:hAnsi="Arial"/>
                <w:sz w:val="14"/>
                <w:szCs w:val="14"/>
                <w:color w:val="auto"/>
              </w:rPr>
              <w:t>Income tax effect</w:t>
            </w:r>
          </w:p>
        </w:tc>
        <w:tc>
          <w:tcPr>
            <w:tcW w:w="62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(124)</w:t>
            </w:r>
          </w:p>
        </w:tc>
        <w:tc>
          <w:tcPr>
            <w:tcW w:w="0" w:type="dxa"/>
            <w:vAlign w:val="bottom"/>
          </w:tcPr>
          <w:p>
            <w:pPr>
              <w:spacing w:after="0"/>
              <w:rPr>
                <w:sz w:val="1"/>
                <w:szCs w:val="1"/>
                <w:color w:val="auto"/>
              </w:rPr>
            </w:pPr>
          </w:p>
        </w:tc>
      </w:tr>
      <w:tr>
        <w:trPr>
          <w:trHeight w:val="181"/>
        </w:trPr>
        <w:tc>
          <w:tcPr>
            <w:tcW w:w="61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Reclassification to net earnings for gains realized</w:t>
            </w:r>
          </w:p>
        </w:tc>
        <w:tc>
          <w:tcPr>
            <w:tcW w:w="6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(619)</w:t>
            </w:r>
          </w:p>
        </w:tc>
        <w:tc>
          <w:tcPr>
            <w:tcW w:w="0" w:type="dxa"/>
            <w:vAlign w:val="bottom"/>
          </w:tcPr>
          <w:p>
            <w:pPr>
              <w:spacing w:after="0"/>
              <w:rPr>
                <w:sz w:val="1"/>
                <w:szCs w:val="1"/>
                <w:color w:val="auto"/>
              </w:rPr>
            </w:pPr>
          </w:p>
        </w:tc>
      </w:tr>
      <w:tr>
        <w:trPr>
          <w:trHeight w:val="180"/>
        </w:trPr>
        <w:tc>
          <w:tcPr>
            <w:tcW w:w="6160" w:type="dxa"/>
            <w:vAlign w:val="bottom"/>
          </w:tcPr>
          <w:p>
            <w:pPr>
              <w:ind w:left="440"/>
              <w:spacing w:after="0"/>
              <w:rPr>
                <w:sz w:val="20"/>
                <w:szCs w:val="20"/>
                <w:color w:val="auto"/>
              </w:rPr>
            </w:pPr>
            <w:r>
              <w:rPr>
                <w:rFonts w:ascii="Arial" w:cs="Arial" w:eastAsia="Arial" w:hAnsi="Arial"/>
                <w:sz w:val="14"/>
                <w:szCs w:val="14"/>
                <w:color w:val="auto"/>
              </w:rPr>
              <w:t>Income tax effect</w:t>
            </w:r>
          </w:p>
        </w:tc>
        <w:tc>
          <w:tcPr>
            <w:tcW w:w="62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151</w:t>
            </w:r>
          </w:p>
        </w:tc>
        <w:tc>
          <w:tcPr>
            <w:tcW w:w="0" w:type="dxa"/>
            <w:vAlign w:val="bottom"/>
          </w:tcPr>
          <w:p>
            <w:pPr>
              <w:spacing w:after="0"/>
              <w:rPr>
                <w:sz w:val="1"/>
                <w:szCs w:val="1"/>
                <w:color w:val="auto"/>
              </w:rPr>
            </w:pPr>
          </w:p>
        </w:tc>
      </w:tr>
      <w:tr>
        <w:trPr>
          <w:trHeight w:val="181"/>
        </w:trPr>
        <w:tc>
          <w:tcPr>
            <w:tcW w:w="61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Defined benefit plans</w:t>
            </w:r>
          </w:p>
        </w:tc>
        <w:tc>
          <w:tcPr>
            <w:tcW w:w="6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160" w:type="dxa"/>
            <w:vAlign w:val="bottom"/>
          </w:tcPr>
          <w:p>
            <w:pPr>
              <w:ind w:left="280"/>
              <w:spacing w:after="0"/>
              <w:rPr>
                <w:sz w:val="20"/>
                <w:szCs w:val="20"/>
                <w:color w:val="auto"/>
              </w:rPr>
            </w:pPr>
            <w:r>
              <w:rPr>
                <w:rFonts w:ascii="Arial" w:cs="Arial" w:eastAsia="Arial" w:hAnsi="Arial"/>
                <w:sz w:val="14"/>
                <w:szCs w:val="14"/>
                <w:color w:val="auto"/>
              </w:rPr>
              <w:t>Gains (losses) realized during the period</w:t>
            </w:r>
          </w:p>
        </w:tc>
        <w:tc>
          <w:tcPr>
            <w:tcW w:w="6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35,122</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(38,845)</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(2,161)</w:t>
            </w:r>
          </w:p>
        </w:tc>
        <w:tc>
          <w:tcPr>
            <w:tcW w:w="0" w:type="dxa"/>
            <w:vAlign w:val="bottom"/>
          </w:tcPr>
          <w:p>
            <w:pPr>
              <w:spacing w:after="0"/>
              <w:rPr>
                <w:sz w:val="1"/>
                <w:szCs w:val="1"/>
                <w:color w:val="auto"/>
              </w:rPr>
            </w:pPr>
          </w:p>
        </w:tc>
      </w:tr>
      <w:tr>
        <w:trPr>
          <w:trHeight w:val="181"/>
        </w:trPr>
        <w:tc>
          <w:tcPr>
            <w:tcW w:w="6160" w:type="dxa"/>
            <w:vAlign w:val="bottom"/>
            <w:shd w:val="clear" w:color="auto" w:fill="CCEEFF"/>
          </w:tcPr>
          <w:p>
            <w:pPr>
              <w:ind w:left="440"/>
              <w:spacing w:after="0"/>
              <w:rPr>
                <w:sz w:val="20"/>
                <w:szCs w:val="20"/>
                <w:color w:val="auto"/>
              </w:rPr>
            </w:pPr>
            <w:r>
              <w:rPr>
                <w:rFonts w:ascii="Arial" w:cs="Arial" w:eastAsia="Arial" w:hAnsi="Arial"/>
                <w:sz w:val="14"/>
                <w:szCs w:val="14"/>
                <w:color w:val="auto"/>
              </w:rPr>
              <w:t>Income tax effect</w:t>
            </w:r>
          </w:p>
        </w:tc>
        <w:tc>
          <w:tcPr>
            <w:tcW w:w="6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(7,524)</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7,121</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1,016</w:t>
            </w:r>
          </w:p>
        </w:tc>
        <w:tc>
          <w:tcPr>
            <w:tcW w:w="0" w:type="dxa"/>
            <w:vAlign w:val="bottom"/>
          </w:tcPr>
          <w:p>
            <w:pPr>
              <w:spacing w:after="0"/>
              <w:rPr>
                <w:sz w:val="1"/>
                <w:szCs w:val="1"/>
                <w:color w:val="auto"/>
              </w:rPr>
            </w:pPr>
          </w:p>
        </w:tc>
      </w:tr>
      <w:tr>
        <w:trPr>
          <w:trHeight w:val="180"/>
        </w:trPr>
        <w:tc>
          <w:tcPr>
            <w:tcW w:w="6160" w:type="dxa"/>
            <w:vAlign w:val="bottom"/>
          </w:tcPr>
          <w:p>
            <w:pPr>
              <w:ind w:left="280"/>
              <w:spacing w:after="0"/>
              <w:rPr>
                <w:sz w:val="20"/>
                <w:szCs w:val="20"/>
                <w:color w:val="auto"/>
              </w:rPr>
            </w:pPr>
            <w:r>
              <w:rPr>
                <w:rFonts w:ascii="Arial" w:cs="Arial" w:eastAsia="Arial" w:hAnsi="Arial"/>
                <w:sz w:val="14"/>
                <w:szCs w:val="14"/>
                <w:color w:val="auto"/>
              </w:rPr>
              <w:t>Reclassification to net earnings of losses realized</w:t>
            </w:r>
          </w:p>
        </w:tc>
        <w:tc>
          <w:tcPr>
            <w:tcW w:w="6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2,278</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1,502</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1,313</w:t>
            </w:r>
          </w:p>
        </w:tc>
        <w:tc>
          <w:tcPr>
            <w:tcW w:w="0" w:type="dxa"/>
            <w:vAlign w:val="bottom"/>
          </w:tcPr>
          <w:p>
            <w:pPr>
              <w:spacing w:after="0"/>
              <w:rPr>
                <w:sz w:val="1"/>
                <w:szCs w:val="1"/>
                <w:color w:val="auto"/>
              </w:rPr>
            </w:pPr>
          </w:p>
        </w:tc>
      </w:tr>
      <w:tr>
        <w:trPr>
          <w:trHeight w:val="181"/>
        </w:trPr>
        <w:tc>
          <w:tcPr>
            <w:tcW w:w="6160" w:type="dxa"/>
            <w:vAlign w:val="bottom"/>
            <w:shd w:val="clear" w:color="auto" w:fill="CCEEFF"/>
          </w:tcPr>
          <w:p>
            <w:pPr>
              <w:ind w:left="440"/>
              <w:spacing w:after="0"/>
              <w:rPr>
                <w:sz w:val="20"/>
                <w:szCs w:val="20"/>
                <w:color w:val="auto"/>
              </w:rPr>
            </w:pPr>
            <w:r>
              <w:rPr>
                <w:rFonts w:ascii="Arial" w:cs="Arial" w:eastAsia="Arial" w:hAnsi="Arial"/>
                <w:sz w:val="14"/>
                <w:szCs w:val="14"/>
                <w:color w:val="auto"/>
              </w:rPr>
              <w:t>Income tax effect</w:t>
            </w:r>
          </w:p>
        </w:tc>
        <w:tc>
          <w:tcPr>
            <w:tcW w:w="62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(538)</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(374)</w:t>
            </w:r>
          </w:p>
        </w:tc>
        <w:tc>
          <w:tcPr>
            <w:tcW w:w="100" w:type="dxa"/>
            <w:vAlign w:val="bottom"/>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(320)</w:t>
            </w:r>
          </w:p>
        </w:tc>
        <w:tc>
          <w:tcPr>
            <w:tcW w:w="0" w:type="dxa"/>
            <w:vAlign w:val="bottom"/>
          </w:tcPr>
          <w:p>
            <w:pPr>
              <w:spacing w:after="0"/>
              <w:rPr>
                <w:sz w:val="1"/>
                <w:szCs w:val="1"/>
                <w:color w:val="auto"/>
              </w:rPr>
            </w:pPr>
          </w:p>
        </w:tc>
      </w:tr>
      <w:tr>
        <w:trPr>
          <w:trHeight w:val="171"/>
        </w:trPr>
        <w:tc>
          <w:tcPr>
            <w:tcW w:w="61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other comprehensive income (loss), net of tax</w:t>
            </w:r>
          </w:p>
        </w:tc>
        <w:tc>
          <w:tcPr>
            <w:tcW w:w="6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(27,377)</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54,509</w:t>
            </w:r>
          </w:p>
        </w:tc>
        <w:tc>
          <w:tcPr>
            <w:tcW w:w="10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52,705</w:t>
            </w:r>
          </w:p>
        </w:tc>
        <w:tc>
          <w:tcPr>
            <w:tcW w:w="0" w:type="dxa"/>
            <w:vAlign w:val="bottom"/>
          </w:tcPr>
          <w:p>
            <w:pPr>
              <w:spacing w:after="0"/>
              <w:rPr>
                <w:sz w:val="1"/>
                <w:szCs w:val="1"/>
                <w:color w:val="auto"/>
              </w:rPr>
            </w:pPr>
          </w:p>
        </w:tc>
      </w:tr>
      <w:tr>
        <w:trPr>
          <w:trHeight w:val="171"/>
        </w:trPr>
        <w:tc>
          <w:tcPr>
            <w:tcW w:w="6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Comprehensive income</w:t>
            </w:r>
          </w:p>
        </w:tc>
        <w:tc>
          <w:tcPr>
            <w:tcW w:w="6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3,891</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149,579</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509,241</w:t>
            </w:r>
          </w:p>
        </w:tc>
        <w:tc>
          <w:tcPr>
            <w:tcW w:w="0" w:type="dxa"/>
            <w:vAlign w:val="bottom"/>
          </w:tcPr>
          <w:p>
            <w:pPr>
              <w:spacing w:after="0"/>
              <w:rPr>
                <w:sz w:val="1"/>
                <w:szCs w:val="1"/>
                <w:color w:val="auto"/>
              </w:rPr>
            </w:pPr>
          </w:p>
        </w:tc>
      </w:tr>
      <w:tr>
        <w:trPr>
          <w:trHeight w:val="138"/>
        </w:trPr>
        <w:tc>
          <w:tcPr>
            <w:tcW w:w="6160" w:type="dxa"/>
            <w:vAlign w:val="bottom"/>
          </w:tcPr>
          <w:p>
            <w:pPr>
              <w:ind w:left="20"/>
              <w:spacing w:after="0" w:line="138" w:lineRule="exact"/>
              <w:rPr>
                <w:sz w:val="20"/>
                <w:szCs w:val="20"/>
                <w:color w:val="auto"/>
              </w:rPr>
            </w:pPr>
            <w:r>
              <w:rPr>
                <w:rFonts w:ascii="Arial" w:cs="Arial" w:eastAsia="Arial" w:hAnsi="Arial"/>
                <w:sz w:val="14"/>
                <w:szCs w:val="14"/>
                <w:color w:val="auto"/>
              </w:rPr>
              <w:t>Less: Comprehensive income attributable to</w:t>
            </w:r>
          </w:p>
        </w:tc>
        <w:tc>
          <w:tcPr>
            <w:tcW w:w="62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268</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vMerge w:val="restart"/>
          </w:tcPr>
          <w:p>
            <w:pPr>
              <w:jc w:val="right"/>
              <w:spacing w:after="0"/>
              <w:rPr>
                <w:sz w:val="20"/>
                <w:szCs w:val="20"/>
                <w:color w:val="auto"/>
              </w:rPr>
            </w:pPr>
            <w:r>
              <w:rPr>
                <w:rFonts w:ascii="Arial" w:cs="Arial" w:eastAsia="Arial" w:hAnsi="Arial"/>
                <w:sz w:val="14"/>
                <w:szCs w:val="14"/>
                <w:color w:val="auto"/>
              </w:rPr>
              <w:t>313</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612</w:t>
            </w:r>
          </w:p>
        </w:tc>
        <w:tc>
          <w:tcPr>
            <w:tcW w:w="0" w:type="dxa"/>
            <w:vAlign w:val="bottom"/>
          </w:tcPr>
          <w:p>
            <w:pPr>
              <w:spacing w:after="0"/>
              <w:rPr>
                <w:sz w:val="1"/>
                <w:szCs w:val="1"/>
                <w:color w:val="auto"/>
              </w:rPr>
            </w:pPr>
          </w:p>
        </w:tc>
      </w:tr>
      <w:tr>
        <w:trPr>
          <w:trHeight w:val="180"/>
        </w:trPr>
        <w:tc>
          <w:tcPr>
            <w:tcW w:w="6160" w:type="dxa"/>
            <w:vAlign w:val="bottom"/>
            <w:tcBorders>
              <w:bottom w:val="single" w:sz="8" w:color="CCEEFF"/>
            </w:tcBorders>
          </w:tcPr>
          <w:p>
            <w:pPr>
              <w:ind w:left="200"/>
              <w:spacing w:after="0"/>
              <w:rPr>
                <w:sz w:val="20"/>
                <w:szCs w:val="20"/>
                <w:color w:val="auto"/>
              </w:rPr>
            </w:pPr>
            <w:r>
              <w:rPr>
                <w:rFonts w:ascii="Arial" w:cs="Arial" w:eastAsia="Arial" w:hAnsi="Arial"/>
                <w:sz w:val="14"/>
                <w:szCs w:val="14"/>
                <w:color w:val="auto"/>
              </w:rPr>
              <w:t>noncontrolling interests</w:t>
            </w:r>
          </w:p>
        </w:tc>
        <w:tc>
          <w:tcPr>
            <w:tcW w:w="6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160" w:type="dxa"/>
            <w:vAlign w:val="bottom"/>
            <w:shd w:val="clear" w:color="auto" w:fill="CCEEFF"/>
          </w:tcPr>
          <w:p>
            <w:pPr>
              <w:ind w:left="20"/>
              <w:spacing w:after="0" w:line="118" w:lineRule="exact"/>
              <w:rPr>
                <w:sz w:val="20"/>
                <w:szCs w:val="20"/>
                <w:color w:val="auto"/>
              </w:rPr>
            </w:pPr>
            <w:r>
              <w:rPr>
                <w:rFonts w:ascii="Arial" w:cs="Arial" w:eastAsia="Arial" w:hAnsi="Arial"/>
                <w:sz w:val="13"/>
                <w:szCs w:val="13"/>
                <w:color w:val="auto"/>
              </w:rPr>
              <w:t>Comprehensive income attributable to Pilgrim's Pride</w:t>
            </w:r>
          </w:p>
        </w:tc>
        <w:tc>
          <w:tcPr>
            <w:tcW w:w="620" w:type="dxa"/>
            <w:vAlign w:val="bottom"/>
            <w:vMerge w:val="restart"/>
            <w:shd w:val="clear" w:color="auto" w:fill="CCEEFF"/>
          </w:tcPr>
          <w:p>
            <w:pPr>
              <w:jc w:val="right"/>
              <w:ind w:right="474"/>
              <w:spacing w:after="0"/>
              <w:rPr>
                <w:sz w:val="20"/>
                <w:szCs w:val="20"/>
                <w:color w:val="auto"/>
              </w:rPr>
            </w:pPr>
            <w:r>
              <w:rPr>
                <w:rFonts w:ascii="Arial" w:cs="Arial" w:eastAsia="Arial" w:hAnsi="Arial"/>
                <w:sz w:val="14"/>
                <w:szCs w:val="14"/>
                <w:color w:val="auto"/>
                <w:w w:val="76"/>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3,623</w:t>
            </w:r>
          </w:p>
        </w:tc>
        <w:tc>
          <w:tcPr>
            <w:tcW w:w="100" w:type="dxa"/>
            <w:vAlign w:val="bottom"/>
            <w:shd w:val="clear" w:color="auto" w:fill="CCEEFF"/>
          </w:tcPr>
          <w:p>
            <w:pPr>
              <w:spacing w:after="0"/>
              <w:rPr>
                <w:sz w:val="10"/>
                <w:szCs w:val="10"/>
                <w:color w:val="auto"/>
              </w:rPr>
            </w:pPr>
          </w:p>
        </w:tc>
        <w:tc>
          <w:tcPr>
            <w:tcW w:w="300" w:type="dxa"/>
            <w:vAlign w:val="bottom"/>
            <w:vMerge w:val="restart"/>
            <w:shd w:val="clear" w:color="auto" w:fill="CCEEFF"/>
          </w:tcPr>
          <w:p>
            <w:pPr>
              <w:jc w:val="right"/>
              <w:ind w:right="154"/>
              <w:spacing w:after="0"/>
              <w:rPr>
                <w:sz w:val="20"/>
                <w:szCs w:val="20"/>
                <w:color w:val="auto"/>
              </w:rPr>
            </w:pPr>
            <w:r>
              <w:rPr>
                <w:rFonts w:ascii="Arial" w:cs="Arial" w:eastAsia="Arial" w:hAnsi="Arial"/>
                <w:sz w:val="14"/>
                <w:szCs w:val="14"/>
                <w:color w:val="auto"/>
                <w:w w:val="76"/>
              </w:rPr>
              <w:t>$</w:t>
            </w: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149,266</w:t>
            </w:r>
          </w:p>
        </w:tc>
        <w:tc>
          <w:tcPr>
            <w:tcW w:w="10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ind w:right="454"/>
              <w:spacing w:after="0"/>
              <w:rPr>
                <w:sz w:val="20"/>
                <w:szCs w:val="20"/>
                <w:color w:val="auto"/>
              </w:rPr>
            </w:pPr>
            <w:r>
              <w:rPr>
                <w:rFonts w:ascii="Arial" w:cs="Arial" w:eastAsia="Arial" w:hAnsi="Arial"/>
                <w:sz w:val="14"/>
                <w:szCs w:val="14"/>
                <w:color w:val="auto"/>
                <w:w w:val="76"/>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508,629</w:t>
            </w:r>
          </w:p>
        </w:tc>
        <w:tc>
          <w:tcPr>
            <w:tcW w:w="0" w:type="dxa"/>
            <w:vAlign w:val="bottom"/>
          </w:tcPr>
          <w:p>
            <w:pPr>
              <w:spacing w:after="0"/>
              <w:rPr>
                <w:sz w:val="1"/>
                <w:szCs w:val="1"/>
                <w:color w:val="auto"/>
              </w:rPr>
            </w:pPr>
          </w:p>
        </w:tc>
      </w:tr>
      <w:tr>
        <w:trPr>
          <w:trHeight w:val="179"/>
        </w:trPr>
        <w:tc>
          <w:tcPr>
            <w:tcW w:w="6160" w:type="dxa"/>
            <w:vAlign w:val="bottom"/>
            <w:tcBorders>
              <w:bottom w:val="single" w:sz="8" w:color="CCEEFF"/>
            </w:tcBorders>
            <w:shd w:val="clear" w:color="auto" w:fill="CCEEFF"/>
          </w:tcPr>
          <w:p>
            <w:pPr>
              <w:ind w:left="200"/>
              <w:spacing w:after="0" w:line="159" w:lineRule="exact"/>
              <w:rPr>
                <w:sz w:val="20"/>
                <w:szCs w:val="20"/>
                <w:color w:val="auto"/>
              </w:rPr>
            </w:pPr>
            <w:r>
              <w:rPr>
                <w:rFonts w:ascii="Arial" w:cs="Arial" w:eastAsia="Arial" w:hAnsi="Arial"/>
                <w:sz w:val="14"/>
                <w:szCs w:val="14"/>
                <w:color w:val="auto"/>
              </w:rPr>
              <w:t>Corporation</w:t>
            </w:r>
          </w:p>
        </w:tc>
        <w:tc>
          <w:tcPr>
            <w:tcW w:w="620" w:type="dxa"/>
            <w:vAlign w:val="bottom"/>
            <w:tcBorders>
              <w:bottom w:val="single" w:sz="8" w:color="auto"/>
            </w:tcBorders>
            <w:vMerge w:val="continue"/>
            <w:shd w:val="clear" w:color="auto" w:fill="CCEEFF"/>
          </w:tcPr>
          <w:p>
            <w:pPr>
              <w:spacing w:after="0"/>
              <w:rPr>
                <w:sz w:val="15"/>
                <w:szCs w:val="15"/>
                <w:color w:val="auto"/>
              </w:rPr>
            </w:pPr>
          </w:p>
        </w:tc>
        <w:tc>
          <w:tcPr>
            <w:tcW w:w="10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vMerge w:val="continue"/>
            <w:shd w:val="clear" w:color="auto" w:fill="CCEEFF"/>
          </w:tcPr>
          <w:p>
            <w:pPr>
              <w:spacing w:after="0"/>
              <w:rPr>
                <w:sz w:val="15"/>
                <w:szCs w:val="15"/>
                <w:color w:val="auto"/>
              </w:rPr>
            </w:pPr>
          </w:p>
        </w:tc>
        <w:tc>
          <w:tcPr>
            <w:tcW w:w="134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auto"/>
            </w:tcBorders>
            <w:vMerge w:val="continue"/>
            <w:shd w:val="clear" w:color="auto" w:fill="CCEEFF"/>
          </w:tcPr>
          <w:p>
            <w:pPr>
              <w:spacing w:after="0"/>
              <w:rPr>
                <w:sz w:val="15"/>
                <w:szCs w:val="15"/>
                <w:color w:val="auto"/>
              </w:rPr>
            </w:pPr>
          </w:p>
        </w:tc>
        <w:tc>
          <w:tcPr>
            <w:tcW w:w="104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7" w:name="page48"/>
    <w:bookmarkEnd w:id="47"/>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-6985</wp:posOffset>
            </wp:positionV>
            <wp:extent cx="727075" cy="69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7075" cy="6985"/>
                    </a:xfrm>
                    <a:prstGeom prst="rect">
                      <a:avLst/>
                    </a:prstGeom>
                    <a:noFill/>
                  </pic:spPr>
                </pic:pic>
              </a:graphicData>
            </a:graphic>
          </wp:anchor>
        </w:drawing>
      </w: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PILGRIM’S PRIDE CORPORATION</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CONSOLIDATED STATEMENTS OF STOCKHOLDERS’ EQUITY</w:t>
      </w:r>
    </w:p>
    <w:p>
      <w:pPr>
        <w:spacing w:after="0" w:line="102" w:lineRule="exact"/>
        <w:rPr>
          <w:sz w:val="20"/>
          <w:szCs w:val="20"/>
          <w:color w:val="auto"/>
        </w:rPr>
      </w:pPr>
    </w:p>
    <w:tbl>
      <w:tblPr>
        <w:tblLayout w:type="fixed"/>
        <w:tblInd w:w="20" w:type="dxa"/>
        <w:tblCellMar>
          <w:top w:w="0" w:type="dxa"/>
          <w:left w:w="0" w:type="dxa"/>
          <w:bottom w:w="0" w:type="dxa"/>
          <w:right w:w="0" w:type="dxa"/>
        </w:tblCellMar>
      </w:tblPr>
      <w:tr>
        <w:trPr>
          <w:trHeight w:val="133"/>
        </w:trPr>
        <w:tc>
          <w:tcPr>
            <w:tcW w:w="380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960" w:type="dxa"/>
            <w:vAlign w:val="bottom"/>
            <w:tcBorders>
              <w:bottom w:val="single" w:sz="8" w:color="auto"/>
            </w:tcBorders>
            <w:gridSpan w:val="8"/>
          </w:tcPr>
          <w:p>
            <w:pPr>
              <w:jc w:val="right"/>
              <w:ind w:right="111"/>
              <w:spacing w:after="0"/>
              <w:rPr>
                <w:sz w:val="20"/>
                <w:szCs w:val="20"/>
                <w:color w:val="auto"/>
              </w:rPr>
            </w:pPr>
            <w:r>
              <w:rPr>
                <w:rFonts w:ascii="Arial" w:cs="Arial" w:eastAsia="Arial" w:hAnsi="Arial"/>
                <w:sz w:val="10"/>
                <w:szCs w:val="10"/>
                <w:b w:val="1"/>
                <w:bCs w:val="1"/>
                <w:color w:val="auto"/>
                <w:w w:val="90"/>
              </w:rPr>
              <w:t>Pilgrim’s Pride Corporation Stockholders</w:t>
            </w:r>
          </w:p>
        </w:tc>
        <w:tc>
          <w:tcPr>
            <w:tcW w:w="5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3800" w:type="dxa"/>
            <w:vAlign w:val="bottom"/>
          </w:tcPr>
          <w:p>
            <w:pPr>
              <w:spacing w:after="0"/>
              <w:rPr>
                <w:sz w:val="9"/>
                <w:szCs w:val="9"/>
                <w:color w:val="auto"/>
              </w:rPr>
            </w:pPr>
          </w:p>
        </w:tc>
        <w:tc>
          <w:tcPr>
            <w:tcW w:w="1280" w:type="dxa"/>
            <w:vAlign w:val="bottom"/>
            <w:gridSpan w:val="5"/>
          </w:tcPr>
          <w:p>
            <w:pPr>
              <w:ind w:left="280"/>
              <w:spacing w:after="0"/>
              <w:rPr>
                <w:sz w:val="20"/>
                <w:szCs w:val="20"/>
                <w:color w:val="auto"/>
              </w:rPr>
            </w:pPr>
            <w:r>
              <w:rPr>
                <w:rFonts w:ascii="Arial" w:cs="Arial" w:eastAsia="Arial" w:hAnsi="Arial"/>
                <w:sz w:val="10"/>
                <w:szCs w:val="10"/>
                <w:b w:val="1"/>
                <w:bCs w:val="1"/>
                <w:color w:val="auto"/>
              </w:rPr>
              <w:t>Common Stock</w:t>
            </w:r>
          </w:p>
        </w:tc>
        <w:tc>
          <w:tcPr>
            <w:tcW w:w="1280" w:type="dxa"/>
            <w:vAlign w:val="bottom"/>
            <w:gridSpan w:val="5"/>
          </w:tcPr>
          <w:p>
            <w:pPr>
              <w:ind w:left="280"/>
              <w:spacing w:after="0"/>
              <w:rPr>
                <w:sz w:val="20"/>
                <w:szCs w:val="20"/>
                <w:color w:val="auto"/>
              </w:rPr>
            </w:pPr>
            <w:r>
              <w:rPr>
                <w:rFonts w:ascii="Arial" w:cs="Arial" w:eastAsia="Arial" w:hAnsi="Arial"/>
                <w:sz w:val="10"/>
                <w:szCs w:val="10"/>
                <w:b w:val="1"/>
                <w:bCs w:val="1"/>
                <w:color w:val="auto"/>
              </w:rPr>
              <w:t>Treasury Stock</w:t>
            </w: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jc w:val="center"/>
              <w:ind w:right="111"/>
              <w:spacing w:after="0"/>
              <w:rPr>
                <w:sz w:val="20"/>
                <w:szCs w:val="20"/>
                <w:color w:val="auto"/>
              </w:rPr>
            </w:pPr>
            <w:r>
              <w:rPr>
                <w:rFonts w:ascii="Arial" w:cs="Arial" w:eastAsia="Arial" w:hAnsi="Arial"/>
                <w:sz w:val="10"/>
                <w:szCs w:val="10"/>
                <w:b w:val="1"/>
                <w:bCs w:val="1"/>
                <w:color w:val="auto"/>
                <w:w w:val="89"/>
              </w:rPr>
              <w:t>Accumulated</w:t>
            </w: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3800" w:type="dxa"/>
            <w:vAlign w:val="bottom"/>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tcPr>
          <w:p>
            <w:pPr>
              <w:jc w:val="right"/>
              <w:ind w:right="151"/>
              <w:spacing w:after="0" w:line="55" w:lineRule="exact"/>
              <w:rPr>
                <w:sz w:val="20"/>
                <w:szCs w:val="20"/>
                <w:color w:val="auto"/>
              </w:rPr>
            </w:pPr>
            <w:r>
              <w:rPr>
                <w:rFonts w:ascii="Arial" w:cs="Arial" w:eastAsia="Arial" w:hAnsi="Arial"/>
                <w:sz w:val="6"/>
                <w:szCs w:val="6"/>
                <w:b w:val="1"/>
                <w:bCs w:val="1"/>
                <w:color w:val="auto"/>
              </w:rPr>
              <w:t>Additional</w:t>
            </w:r>
          </w:p>
        </w:tc>
        <w:tc>
          <w:tcPr>
            <w:tcW w:w="60" w:type="dxa"/>
            <w:vAlign w:val="bottom"/>
          </w:tcPr>
          <w:p>
            <w:pPr>
              <w:spacing w:after="0"/>
              <w:rPr>
                <w:sz w:val="4"/>
                <w:szCs w:val="4"/>
                <w:color w:val="auto"/>
              </w:rPr>
            </w:pPr>
          </w:p>
        </w:tc>
        <w:tc>
          <w:tcPr>
            <w:tcW w:w="32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gridSpan w:val="2"/>
          </w:tcPr>
          <w:p>
            <w:pPr>
              <w:jc w:val="center"/>
              <w:ind w:right="200"/>
              <w:spacing w:after="0" w:line="55" w:lineRule="exact"/>
              <w:rPr>
                <w:sz w:val="20"/>
                <w:szCs w:val="20"/>
                <w:color w:val="auto"/>
              </w:rPr>
            </w:pPr>
            <w:r>
              <w:rPr>
                <w:rFonts w:ascii="Arial" w:cs="Arial" w:eastAsia="Arial" w:hAnsi="Arial"/>
                <w:sz w:val="6"/>
                <w:szCs w:val="6"/>
                <w:b w:val="1"/>
                <w:bCs w:val="1"/>
                <w:color w:val="auto"/>
              </w:rPr>
              <w:t>Other</w:t>
            </w:r>
          </w:p>
        </w:tc>
        <w:tc>
          <w:tcPr>
            <w:tcW w:w="120" w:type="dxa"/>
            <w:vAlign w:val="bottom"/>
          </w:tcPr>
          <w:p>
            <w:pPr>
              <w:spacing w:after="0"/>
              <w:rPr>
                <w:sz w:val="4"/>
                <w:szCs w:val="4"/>
                <w:color w:val="auto"/>
              </w:rPr>
            </w:pPr>
          </w:p>
        </w:tc>
        <w:tc>
          <w:tcPr>
            <w:tcW w:w="920" w:type="dxa"/>
            <w:vAlign w:val="bottom"/>
            <w:gridSpan w:val="2"/>
            <w:vMerge w:val="restart"/>
          </w:tcPr>
          <w:p>
            <w:pPr>
              <w:jc w:val="center"/>
              <w:ind w:right="180"/>
              <w:spacing w:after="0"/>
              <w:rPr>
                <w:sz w:val="20"/>
                <w:szCs w:val="20"/>
                <w:color w:val="auto"/>
              </w:rPr>
            </w:pPr>
            <w:r>
              <w:rPr>
                <w:rFonts w:ascii="Arial" w:cs="Arial" w:eastAsia="Arial" w:hAnsi="Arial"/>
                <w:sz w:val="10"/>
                <w:szCs w:val="10"/>
                <w:b w:val="1"/>
                <w:bCs w:val="1"/>
                <w:color w:val="auto"/>
                <w:w w:val="87"/>
              </w:rPr>
              <w:t>Noncontrolling</w:t>
            </w:r>
          </w:p>
        </w:tc>
        <w:tc>
          <w:tcPr>
            <w:tcW w:w="180" w:type="dxa"/>
            <w:vAlign w:val="bottom"/>
          </w:tcPr>
          <w:p>
            <w:pPr>
              <w:spacing w:after="0"/>
              <w:rPr>
                <w:sz w:val="4"/>
                <w:szCs w:val="4"/>
                <w:color w:val="auto"/>
              </w:rPr>
            </w:pP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3800" w:type="dxa"/>
            <w:vAlign w:val="bottom"/>
          </w:tcPr>
          <w:p>
            <w:pPr>
              <w:spacing w:after="0"/>
              <w:rPr>
                <w:sz w:val="8"/>
                <w:szCs w:val="8"/>
                <w:color w:val="auto"/>
              </w:rPr>
            </w:pPr>
          </w:p>
        </w:tc>
        <w:tc>
          <w:tcPr>
            <w:tcW w:w="640" w:type="dxa"/>
            <w:vAlign w:val="bottom"/>
            <w:gridSpan w:val="2"/>
            <w:vMerge w:val="restart"/>
          </w:tcPr>
          <w:p>
            <w:pPr>
              <w:ind w:left="140"/>
              <w:spacing w:after="0"/>
              <w:rPr>
                <w:sz w:val="20"/>
                <w:szCs w:val="20"/>
                <w:color w:val="auto"/>
              </w:rPr>
            </w:pPr>
            <w:r>
              <w:rPr>
                <w:rFonts w:ascii="Arial" w:cs="Arial" w:eastAsia="Arial" w:hAnsi="Arial"/>
                <w:sz w:val="10"/>
                <w:szCs w:val="10"/>
                <w:b w:val="1"/>
                <w:bCs w:val="1"/>
                <w:color w:val="auto"/>
              </w:rPr>
              <w:t>Shares</w:t>
            </w:r>
          </w:p>
        </w:tc>
        <w:tc>
          <w:tcPr>
            <w:tcW w:w="80" w:type="dxa"/>
            <w:vAlign w:val="bottom"/>
          </w:tcPr>
          <w:p>
            <w:pPr>
              <w:spacing w:after="0"/>
              <w:rPr>
                <w:sz w:val="8"/>
                <w:szCs w:val="8"/>
                <w:color w:val="auto"/>
              </w:rPr>
            </w:pPr>
          </w:p>
        </w:tc>
        <w:tc>
          <w:tcPr>
            <w:tcW w:w="560" w:type="dxa"/>
            <w:vAlign w:val="bottom"/>
            <w:gridSpan w:val="2"/>
            <w:vMerge w:val="restart"/>
          </w:tcPr>
          <w:p>
            <w:pPr>
              <w:ind w:left="20"/>
              <w:spacing w:after="0"/>
              <w:rPr>
                <w:sz w:val="20"/>
                <w:szCs w:val="20"/>
                <w:color w:val="auto"/>
              </w:rPr>
            </w:pPr>
            <w:r>
              <w:rPr>
                <w:rFonts w:ascii="Arial" w:cs="Arial" w:eastAsia="Arial" w:hAnsi="Arial"/>
                <w:sz w:val="10"/>
                <w:szCs w:val="10"/>
                <w:b w:val="1"/>
                <w:bCs w:val="1"/>
                <w:color w:val="auto"/>
              </w:rPr>
              <w:t>Amount</w:t>
            </w:r>
          </w:p>
        </w:tc>
        <w:tc>
          <w:tcPr>
            <w:tcW w:w="560" w:type="dxa"/>
            <w:vAlign w:val="bottom"/>
            <w:vMerge w:val="restart"/>
          </w:tcPr>
          <w:p>
            <w:pPr>
              <w:jc w:val="right"/>
              <w:ind w:right="91"/>
              <w:spacing w:after="0"/>
              <w:rPr>
                <w:sz w:val="20"/>
                <w:szCs w:val="20"/>
                <w:color w:val="auto"/>
              </w:rPr>
            </w:pPr>
            <w:r>
              <w:rPr>
                <w:rFonts w:ascii="Arial" w:cs="Arial" w:eastAsia="Arial" w:hAnsi="Arial"/>
                <w:sz w:val="10"/>
                <w:szCs w:val="10"/>
                <w:b w:val="1"/>
                <w:bCs w:val="1"/>
                <w:color w:val="auto"/>
              </w:rPr>
              <w:t>Shares</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gridSpan w:val="2"/>
            <w:vMerge w:val="restart"/>
          </w:tcPr>
          <w:p>
            <w:pPr>
              <w:ind w:left="20"/>
              <w:spacing w:after="0"/>
              <w:rPr>
                <w:sz w:val="20"/>
                <w:szCs w:val="20"/>
                <w:color w:val="auto"/>
              </w:rPr>
            </w:pPr>
            <w:r>
              <w:rPr>
                <w:rFonts w:ascii="Arial" w:cs="Arial" w:eastAsia="Arial" w:hAnsi="Arial"/>
                <w:sz w:val="10"/>
                <w:szCs w:val="10"/>
                <w:b w:val="1"/>
                <w:bCs w:val="1"/>
                <w:color w:val="auto"/>
              </w:rPr>
              <w:t>Amount</w:t>
            </w:r>
          </w:p>
        </w:tc>
        <w:tc>
          <w:tcPr>
            <w:tcW w:w="140" w:type="dxa"/>
            <w:vAlign w:val="bottom"/>
          </w:tcPr>
          <w:p>
            <w:pPr>
              <w:spacing w:after="0"/>
              <w:rPr>
                <w:sz w:val="8"/>
                <w:szCs w:val="8"/>
                <w:color w:val="auto"/>
              </w:rPr>
            </w:pPr>
          </w:p>
        </w:tc>
        <w:tc>
          <w:tcPr>
            <w:tcW w:w="720" w:type="dxa"/>
            <w:vAlign w:val="bottom"/>
          </w:tcPr>
          <w:p>
            <w:pPr>
              <w:jc w:val="right"/>
              <w:ind w:right="231"/>
              <w:spacing w:after="0" w:line="96" w:lineRule="exact"/>
              <w:rPr>
                <w:sz w:val="20"/>
                <w:szCs w:val="20"/>
                <w:color w:val="auto"/>
              </w:rPr>
            </w:pPr>
            <w:r>
              <w:rPr>
                <w:rFonts w:ascii="Arial" w:cs="Arial" w:eastAsia="Arial" w:hAnsi="Arial"/>
                <w:sz w:val="10"/>
                <w:szCs w:val="10"/>
                <w:b w:val="1"/>
                <w:bCs w:val="1"/>
                <w:color w:val="auto"/>
              </w:rPr>
              <w:t>Paid-in</w:t>
            </w:r>
          </w:p>
        </w:tc>
        <w:tc>
          <w:tcPr>
            <w:tcW w:w="60" w:type="dxa"/>
            <w:vAlign w:val="bottom"/>
          </w:tcPr>
          <w:p>
            <w:pPr>
              <w:spacing w:after="0"/>
              <w:rPr>
                <w:sz w:val="8"/>
                <w:szCs w:val="8"/>
                <w:color w:val="auto"/>
              </w:rPr>
            </w:pPr>
          </w:p>
        </w:tc>
        <w:tc>
          <w:tcPr>
            <w:tcW w:w="980" w:type="dxa"/>
            <w:vAlign w:val="bottom"/>
            <w:gridSpan w:val="3"/>
            <w:vMerge w:val="restart"/>
          </w:tcPr>
          <w:p>
            <w:pPr>
              <w:ind w:left="60"/>
              <w:spacing w:after="0"/>
              <w:rPr>
                <w:sz w:val="20"/>
                <w:szCs w:val="20"/>
                <w:color w:val="auto"/>
              </w:rPr>
            </w:pPr>
            <w:r>
              <w:rPr>
                <w:rFonts w:ascii="Arial" w:cs="Arial" w:eastAsia="Arial" w:hAnsi="Arial"/>
                <w:sz w:val="10"/>
                <w:szCs w:val="10"/>
                <w:b w:val="1"/>
                <w:bCs w:val="1"/>
                <w:color w:val="auto"/>
              </w:rPr>
              <w:t>Retained Earnings</w:t>
            </w:r>
          </w:p>
        </w:tc>
        <w:tc>
          <w:tcPr>
            <w:tcW w:w="140" w:type="dxa"/>
            <w:vAlign w:val="bottom"/>
          </w:tcPr>
          <w:p>
            <w:pPr>
              <w:spacing w:after="0"/>
              <w:rPr>
                <w:sz w:val="8"/>
                <w:szCs w:val="8"/>
                <w:color w:val="auto"/>
              </w:rPr>
            </w:pPr>
          </w:p>
        </w:tc>
        <w:tc>
          <w:tcPr>
            <w:tcW w:w="980" w:type="dxa"/>
            <w:vAlign w:val="bottom"/>
            <w:gridSpan w:val="2"/>
          </w:tcPr>
          <w:p>
            <w:pPr>
              <w:jc w:val="center"/>
              <w:ind w:right="200"/>
              <w:spacing w:after="0" w:line="96" w:lineRule="exact"/>
              <w:rPr>
                <w:sz w:val="20"/>
                <w:szCs w:val="20"/>
                <w:color w:val="auto"/>
              </w:rPr>
            </w:pPr>
            <w:r>
              <w:rPr>
                <w:rFonts w:ascii="Arial" w:cs="Arial" w:eastAsia="Arial" w:hAnsi="Arial"/>
                <w:sz w:val="10"/>
                <w:szCs w:val="10"/>
                <w:b w:val="1"/>
                <w:bCs w:val="1"/>
                <w:color w:val="auto"/>
                <w:w w:val="87"/>
              </w:rPr>
              <w:t>Comprehensive</w:t>
            </w:r>
          </w:p>
        </w:tc>
        <w:tc>
          <w:tcPr>
            <w:tcW w:w="120" w:type="dxa"/>
            <w:vAlign w:val="bottom"/>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vMerge w:val="restart"/>
          </w:tcPr>
          <w:p>
            <w:pPr>
              <w:jc w:val="right"/>
              <w:ind w:right="251"/>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32"/>
        </w:trPr>
        <w:tc>
          <w:tcPr>
            <w:tcW w:w="3800" w:type="dxa"/>
            <w:vAlign w:val="bottom"/>
          </w:tcPr>
          <w:p>
            <w:pPr>
              <w:spacing w:after="0"/>
              <w:rPr>
                <w:sz w:val="11"/>
                <w:szCs w:val="11"/>
                <w:color w:val="auto"/>
              </w:rPr>
            </w:pPr>
          </w:p>
        </w:tc>
        <w:tc>
          <w:tcPr>
            <w:tcW w:w="640" w:type="dxa"/>
            <w:vAlign w:val="bottom"/>
            <w:tcBorders>
              <w:bottom w:val="single" w:sz="8" w:color="auto"/>
            </w:tcBorders>
            <w:gridSpan w:val="2"/>
            <w:vMerge w:val="continue"/>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gridSpan w:val="2"/>
            <w:vMerge w:val="continue"/>
          </w:tcPr>
          <w:p>
            <w:pPr>
              <w:spacing w:after="0"/>
              <w:rPr>
                <w:sz w:val="11"/>
                <w:szCs w:val="11"/>
                <w:color w:val="auto"/>
              </w:rPr>
            </w:pPr>
          </w:p>
        </w:tc>
        <w:tc>
          <w:tcPr>
            <w:tcW w:w="56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gridSpan w:val="2"/>
            <w:vMerge w:val="continue"/>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231"/>
              <w:spacing w:after="0"/>
              <w:rPr>
                <w:sz w:val="20"/>
                <w:szCs w:val="20"/>
                <w:color w:val="auto"/>
              </w:rPr>
            </w:pPr>
            <w:r>
              <w:rPr>
                <w:rFonts w:ascii="Arial" w:cs="Arial" w:eastAsia="Arial" w:hAnsi="Arial"/>
                <w:sz w:val="10"/>
                <w:szCs w:val="10"/>
                <w:b w:val="1"/>
                <w:bCs w:val="1"/>
                <w:color w:val="auto"/>
              </w:rPr>
              <w:t>Capital</w:t>
            </w:r>
          </w:p>
        </w:tc>
        <w:tc>
          <w:tcPr>
            <w:tcW w:w="6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gridSpan w:val="3"/>
            <w:vMerge w:val="continue"/>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0"/>
                <w:szCs w:val="10"/>
                <w:b w:val="1"/>
                <w:bCs w:val="1"/>
                <w:color w:val="auto"/>
                <w:w w:val="85"/>
              </w:rPr>
              <w:t>Loss</w:t>
            </w:r>
          </w:p>
        </w:tc>
        <w:tc>
          <w:tcPr>
            <w:tcW w:w="1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0"/>
                <w:szCs w:val="10"/>
                <w:b w:val="1"/>
                <w:bCs w:val="1"/>
                <w:color w:val="auto"/>
                <w:w w:val="93"/>
              </w:rPr>
              <w:t>Interest</w:t>
            </w:r>
          </w:p>
        </w:tc>
        <w:tc>
          <w:tcPr>
            <w:tcW w:w="1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38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40" w:type="dxa"/>
            <w:vAlign w:val="bottom"/>
            <w:gridSpan w:val="4"/>
          </w:tcPr>
          <w:p>
            <w:pPr>
              <w:ind w:left="40"/>
              <w:spacing w:after="0"/>
              <w:rPr>
                <w:sz w:val="20"/>
                <w:szCs w:val="20"/>
                <w:color w:val="auto"/>
              </w:rPr>
            </w:pPr>
            <w:r>
              <w:rPr>
                <w:rFonts w:ascii="Arial" w:cs="Arial" w:eastAsia="Arial" w:hAnsi="Arial"/>
                <w:sz w:val="8"/>
                <w:szCs w:val="8"/>
                <w:b w:val="1"/>
                <w:bCs w:val="1"/>
                <w:color w:val="auto"/>
              </w:rPr>
              <w:t>(In thousands)</w:t>
            </w: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3800" w:type="dxa"/>
            <w:vAlign w:val="bottom"/>
            <w:shd w:val="clear" w:color="auto" w:fill="CCEEFF"/>
          </w:tcPr>
          <w:p>
            <w:pPr>
              <w:ind w:left="20"/>
              <w:spacing w:after="0"/>
              <w:rPr>
                <w:sz w:val="20"/>
                <w:szCs w:val="20"/>
                <w:color w:val="auto"/>
              </w:rPr>
            </w:pPr>
            <w:r>
              <w:rPr>
                <w:rFonts w:ascii="Arial" w:cs="Arial" w:eastAsia="Arial" w:hAnsi="Arial"/>
                <w:sz w:val="10"/>
                <w:szCs w:val="10"/>
                <w:color w:val="auto"/>
              </w:rPr>
              <w:t>Balance at December 30, 2018</w:t>
            </w: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260,396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2,604</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(11,431)</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(231,994)</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1,945,136</w:t>
            </w:r>
          </w:p>
        </w:tc>
        <w:tc>
          <w:tcPr>
            <w:tcW w:w="380" w:type="dxa"/>
            <w:vAlign w:val="bottom"/>
            <w:gridSpan w:val="2"/>
            <w:shd w:val="clear" w:color="auto" w:fill="CCEEFF"/>
          </w:tcPr>
          <w:p>
            <w:pPr>
              <w:jc w:val="right"/>
              <w:ind w:right="211"/>
              <w:spacing w:after="0"/>
              <w:rPr>
                <w:sz w:val="20"/>
                <w:szCs w:val="20"/>
                <w:color w:val="auto"/>
              </w:rPr>
            </w:pPr>
            <w:r>
              <w:rPr>
                <w:rFonts w:ascii="Arial" w:cs="Arial" w:eastAsia="Arial" w:hAnsi="Arial"/>
                <w:sz w:val="10"/>
                <w:szCs w:val="10"/>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421,888</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(127,834)</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9,785</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2,019,585</w:t>
            </w:r>
          </w:p>
        </w:tc>
        <w:tc>
          <w:tcPr>
            <w:tcW w:w="0" w:type="dxa"/>
            <w:vAlign w:val="bottom"/>
          </w:tcPr>
          <w:p>
            <w:pPr>
              <w:spacing w:after="0"/>
              <w:rPr>
                <w:sz w:val="1"/>
                <w:szCs w:val="1"/>
                <w:color w:val="auto"/>
              </w:rPr>
            </w:pPr>
          </w:p>
        </w:tc>
      </w:tr>
      <w:tr>
        <w:trPr>
          <w:trHeight w:val="131"/>
        </w:trPr>
        <w:tc>
          <w:tcPr>
            <w:tcW w:w="3800" w:type="dxa"/>
            <w:vAlign w:val="bottom"/>
          </w:tcPr>
          <w:p>
            <w:pPr>
              <w:ind w:left="20"/>
              <w:spacing w:after="0"/>
              <w:rPr>
                <w:sz w:val="20"/>
                <w:szCs w:val="20"/>
                <w:color w:val="auto"/>
              </w:rPr>
            </w:pPr>
            <w:r>
              <w:rPr>
                <w:rFonts w:ascii="Arial" w:cs="Arial" w:eastAsia="Arial" w:hAnsi="Arial"/>
                <w:sz w:val="10"/>
                <w:szCs w:val="10"/>
                <w:color w:val="auto"/>
              </w:rPr>
              <w:t>Comprehensive income:</w:t>
            </w: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3800" w:type="dxa"/>
            <w:vAlign w:val="bottom"/>
            <w:shd w:val="clear" w:color="auto" w:fill="CCEEFF"/>
          </w:tcPr>
          <w:p>
            <w:pPr>
              <w:ind w:left="120"/>
              <w:spacing w:after="0"/>
              <w:rPr>
                <w:sz w:val="20"/>
                <w:szCs w:val="20"/>
                <w:color w:val="auto"/>
              </w:rPr>
            </w:pPr>
            <w:r>
              <w:rPr>
                <w:rFonts w:ascii="Arial" w:cs="Arial" w:eastAsia="Arial" w:hAnsi="Arial"/>
                <w:sz w:val="10"/>
                <w:szCs w:val="10"/>
                <w:color w:val="auto"/>
              </w:rPr>
              <w:t>Net income</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ind w:left="3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455,924</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612</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456,536</w:t>
            </w:r>
          </w:p>
        </w:tc>
        <w:tc>
          <w:tcPr>
            <w:tcW w:w="0" w:type="dxa"/>
            <w:vAlign w:val="bottom"/>
          </w:tcPr>
          <w:p>
            <w:pPr>
              <w:spacing w:after="0"/>
              <w:rPr>
                <w:sz w:val="1"/>
                <w:szCs w:val="1"/>
                <w:color w:val="auto"/>
              </w:rPr>
            </w:pPr>
          </w:p>
        </w:tc>
      </w:tr>
      <w:tr>
        <w:trPr>
          <w:trHeight w:val="131"/>
        </w:trPr>
        <w:tc>
          <w:tcPr>
            <w:tcW w:w="3800" w:type="dxa"/>
            <w:vAlign w:val="bottom"/>
          </w:tcPr>
          <w:p>
            <w:pPr>
              <w:ind w:left="120"/>
              <w:spacing w:after="0"/>
              <w:rPr>
                <w:sz w:val="20"/>
                <w:szCs w:val="20"/>
                <w:color w:val="auto"/>
              </w:rPr>
            </w:pPr>
            <w:r>
              <w:rPr>
                <w:rFonts w:ascii="Arial" w:cs="Arial" w:eastAsia="Arial" w:hAnsi="Arial"/>
                <w:sz w:val="10"/>
                <w:szCs w:val="10"/>
                <w:color w:val="auto"/>
              </w:rPr>
              <w:t>Other comprehensive income, net of tax benefit of $723</w:t>
            </w:r>
          </w:p>
        </w:tc>
        <w:tc>
          <w:tcPr>
            <w:tcW w:w="6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560" w:type="dxa"/>
            <w:vAlign w:val="bottom"/>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ind w:left="3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72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920" w:type="dxa"/>
            <w:vAlign w:val="bottom"/>
          </w:tcPr>
          <w:p>
            <w:pPr>
              <w:jc w:val="right"/>
              <w:ind w:right="11"/>
              <w:spacing w:after="0"/>
              <w:rPr>
                <w:sz w:val="20"/>
                <w:szCs w:val="20"/>
                <w:color w:val="auto"/>
              </w:rPr>
            </w:pPr>
            <w:r>
              <w:rPr>
                <w:rFonts w:ascii="Arial" w:cs="Arial" w:eastAsia="Arial" w:hAnsi="Arial"/>
                <w:sz w:val="10"/>
                <w:szCs w:val="10"/>
                <w:color w:val="auto"/>
              </w:rPr>
              <w:t>52,705</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52,705</w:t>
            </w:r>
          </w:p>
        </w:tc>
        <w:tc>
          <w:tcPr>
            <w:tcW w:w="0" w:type="dxa"/>
            <w:vAlign w:val="bottom"/>
          </w:tcPr>
          <w:p>
            <w:pPr>
              <w:spacing w:after="0"/>
              <w:rPr>
                <w:sz w:val="1"/>
                <w:szCs w:val="1"/>
                <w:color w:val="auto"/>
              </w:rPr>
            </w:pPr>
          </w:p>
        </w:tc>
      </w:tr>
      <w:tr>
        <w:trPr>
          <w:trHeight w:val="145"/>
        </w:trPr>
        <w:tc>
          <w:tcPr>
            <w:tcW w:w="3800" w:type="dxa"/>
            <w:vAlign w:val="bottom"/>
            <w:shd w:val="clear" w:color="auto" w:fill="CCEEFF"/>
          </w:tcPr>
          <w:p>
            <w:pPr>
              <w:ind w:left="20"/>
              <w:spacing w:after="0"/>
              <w:rPr>
                <w:sz w:val="20"/>
                <w:szCs w:val="20"/>
                <w:color w:val="auto"/>
              </w:rPr>
            </w:pPr>
            <w:r>
              <w:rPr>
                <w:rFonts w:ascii="Arial" w:cs="Arial" w:eastAsia="Arial" w:hAnsi="Arial"/>
                <w:sz w:val="10"/>
                <w:szCs w:val="10"/>
                <w:color w:val="auto"/>
              </w:rPr>
              <w:t>Stock-based compensation plans:</w:t>
            </w: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3800" w:type="dxa"/>
            <w:vAlign w:val="bottom"/>
          </w:tcPr>
          <w:p>
            <w:pPr>
              <w:ind w:left="120"/>
              <w:spacing w:after="0"/>
              <w:rPr>
                <w:sz w:val="20"/>
                <w:szCs w:val="20"/>
                <w:color w:val="auto"/>
              </w:rPr>
            </w:pPr>
            <w:r>
              <w:rPr>
                <w:rFonts w:ascii="Arial" w:cs="Arial" w:eastAsia="Arial" w:hAnsi="Arial"/>
                <w:sz w:val="10"/>
                <w:szCs w:val="10"/>
                <w:color w:val="auto"/>
              </w:rPr>
              <w:t>Common stock issued under compensation plans</w:t>
            </w:r>
          </w:p>
        </w:tc>
        <w:tc>
          <w:tcPr>
            <w:tcW w:w="560" w:type="dxa"/>
            <w:vAlign w:val="bottom"/>
          </w:tcPr>
          <w:p>
            <w:pPr>
              <w:jc w:val="right"/>
              <w:spacing w:after="0"/>
              <w:rPr>
                <w:sz w:val="20"/>
                <w:szCs w:val="20"/>
                <w:color w:val="auto"/>
              </w:rPr>
            </w:pPr>
            <w:r>
              <w:rPr>
                <w:rFonts w:ascii="Arial" w:cs="Arial" w:eastAsia="Arial" w:hAnsi="Arial"/>
                <w:sz w:val="10"/>
                <w:szCs w:val="10"/>
                <w:color w:val="auto"/>
              </w:rPr>
              <w:t>723</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7</w:t>
            </w:r>
          </w:p>
        </w:tc>
        <w:tc>
          <w:tcPr>
            <w:tcW w:w="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ind w:left="3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0"/>
                <w:szCs w:val="10"/>
                <w:color w:val="auto"/>
              </w:rPr>
              <w:t>(7)</w:t>
            </w: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5"/>
        </w:trPr>
        <w:tc>
          <w:tcPr>
            <w:tcW w:w="3800" w:type="dxa"/>
            <w:vAlign w:val="bottom"/>
            <w:shd w:val="clear" w:color="auto" w:fill="CCEEFF"/>
          </w:tcPr>
          <w:p>
            <w:pPr>
              <w:ind w:left="120"/>
              <w:spacing w:after="0"/>
              <w:rPr>
                <w:sz w:val="20"/>
                <w:szCs w:val="20"/>
                <w:color w:val="auto"/>
              </w:rPr>
            </w:pPr>
            <w:r>
              <w:rPr>
                <w:rFonts w:ascii="Arial" w:cs="Arial" w:eastAsia="Arial" w:hAnsi="Arial"/>
                <w:sz w:val="10"/>
                <w:szCs w:val="10"/>
                <w:color w:val="auto"/>
              </w:rPr>
              <w:t>Requisite service period recognition</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ind w:left="3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10,132</w:t>
            </w: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10,132</w:t>
            </w:r>
          </w:p>
        </w:tc>
        <w:tc>
          <w:tcPr>
            <w:tcW w:w="0" w:type="dxa"/>
            <w:vAlign w:val="bottom"/>
          </w:tcPr>
          <w:p>
            <w:pPr>
              <w:spacing w:after="0"/>
              <w:rPr>
                <w:sz w:val="1"/>
                <w:szCs w:val="1"/>
                <w:color w:val="auto"/>
              </w:rPr>
            </w:pPr>
          </w:p>
        </w:tc>
      </w:tr>
      <w:tr>
        <w:trPr>
          <w:trHeight w:val="131"/>
        </w:trPr>
        <w:tc>
          <w:tcPr>
            <w:tcW w:w="3800" w:type="dxa"/>
            <w:vAlign w:val="bottom"/>
          </w:tcPr>
          <w:p>
            <w:pPr>
              <w:ind w:left="20"/>
              <w:spacing w:after="0"/>
              <w:rPr>
                <w:sz w:val="20"/>
                <w:szCs w:val="20"/>
                <w:color w:val="auto"/>
              </w:rPr>
            </w:pPr>
            <w:r>
              <w:rPr>
                <w:rFonts w:ascii="Arial" w:cs="Arial" w:eastAsia="Arial" w:hAnsi="Arial"/>
                <w:sz w:val="10"/>
                <w:szCs w:val="10"/>
                <w:color w:val="auto"/>
              </w:rPr>
              <w:t>Common stock purchased under share repurchase program</w:t>
            </w:r>
          </w:p>
        </w:tc>
        <w:tc>
          <w:tcPr>
            <w:tcW w:w="6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560" w:type="dxa"/>
            <w:vAlign w:val="bottom"/>
          </w:tcPr>
          <w:p>
            <w:pPr>
              <w:jc w:val="right"/>
              <w:spacing w:after="0"/>
              <w:rPr>
                <w:sz w:val="20"/>
                <w:szCs w:val="20"/>
                <w:color w:val="auto"/>
              </w:rPr>
            </w:pPr>
            <w:r>
              <w:rPr>
                <w:rFonts w:ascii="Arial" w:cs="Arial" w:eastAsia="Arial" w:hAnsi="Arial"/>
                <w:sz w:val="10"/>
                <w:szCs w:val="10"/>
                <w:color w:val="auto"/>
              </w:rPr>
              <w:t>(116)</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(2,898)</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(2,898)</w:t>
            </w:r>
          </w:p>
        </w:tc>
        <w:tc>
          <w:tcPr>
            <w:tcW w:w="0" w:type="dxa"/>
            <w:vAlign w:val="bottom"/>
          </w:tcPr>
          <w:p>
            <w:pPr>
              <w:spacing w:after="0"/>
              <w:rPr>
                <w:sz w:val="1"/>
                <w:szCs w:val="1"/>
                <w:color w:val="auto"/>
              </w:rPr>
            </w:pPr>
          </w:p>
        </w:tc>
      </w:tr>
      <w:tr>
        <w:trPr>
          <w:trHeight w:val="135"/>
        </w:trPr>
        <w:tc>
          <w:tcPr>
            <w:tcW w:w="3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Balance at December 29, 2019</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261,119</w:t>
            </w: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2,611</w:t>
            </w:r>
          </w:p>
        </w:tc>
        <w:tc>
          <w:tcPr>
            <w:tcW w:w="8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(11,547)</w:t>
            </w: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(234,892)</w:t>
            </w: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1,955,261</w:t>
            </w:r>
          </w:p>
        </w:tc>
        <w:tc>
          <w:tcPr>
            <w:tcW w:w="6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jc w:val="right"/>
              <w:ind w:right="211"/>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877,812</w:t>
            </w: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(75,129)</w:t>
            </w:r>
          </w:p>
        </w:tc>
        <w:tc>
          <w:tcPr>
            <w:tcW w:w="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10,397</w:t>
            </w:r>
          </w:p>
        </w:tc>
        <w:tc>
          <w:tcPr>
            <w:tcW w:w="6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2,536,060</w:t>
            </w:r>
          </w:p>
        </w:tc>
        <w:tc>
          <w:tcPr>
            <w:tcW w:w="0" w:type="dxa"/>
            <w:vAlign w:val="bottom"/>
          </w:tcPr>
          <w:p>
            <w:pPr>
              <w:spacing w:after="0"/>
              <w:rPr>
                <w:sz w:val="1"/>
                <w:szCs w:val="1"/>
                <w:color w:val="auto"/>
              </w:rPr>
            </w:pPr>
          </w:p>
        </w:tc>
      </w:tr>
      <w:tr>
        <w:trPr>
          <w:trHeight w:val="131"/>
        </w:trPr>
        <w:tc>
          <w:tcPr>
            <w:tcW w:w="3800" w:type="dxa"/>
            <w:vAlign w:val="bottom"/>
          </w:tcPr>
          <w:p>
            <w:pPr>
              <w:ind w:left="20"/>
              <w:spacing w:after="0"/>
              <w:rPr>
                <w:sz w:val="20"/>
                <w:szCs w:val="20"/>
                <w:color w:val="auto"/>
              </w:rPr>
            </w:pPr>
            <w:r>
              <w:rPr>
                <w:rFonts w:ascii="Arial" w:cs="Arial" w:eastAsia="Arial" w:hAnsi="Arial"/>
                <w:sz w:val="10"/>
                <w:szCs w:val="10"/>
                <w:color w:val="auto"/>
              </w:rPr>
              <w:t>Comprehensive income:</w:t>
            </w: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3800" w:type="dxa"/>
            <w:vAlign w:val="bottom"/>
            <w:shd w:val="clear" w:color="auto" w:fill="CCEEFF"/>
          </w:tcPr>
          <w:p>
            <w:pPr>
              <w:ind w:left="120"/>
              <w:spacing w:after="0"/>
              <w:rPr>
                <w:sz w:val="20"/>
                <w:szCs w:val="20"/>
                <w:color w:val="auto"/>
              </w:rPr>
            </w:pPr>
            <w:r>
              <w:rPr>
                <w:rFonts w:ascii="Arial" w:cs="Arial" w:eastAsia="Arial" w:hAnsi="Arial"/>
                <w:sz w:val="10"/>
                <w:szCs w:val="10"/>
                <w:color w:val="auto"/>
              </w:rPr>
              <w:t>Net income</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ind w:left="3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94,757</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313</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95,070</w:t>
            </w:r>
          </w:p>
        </w:tc>
        <w:tc>
          <w:tcPr>
            <w:tcW w:w="0" w:type="dxa"/>
            <w:vAlign w:val="bottom"/>
          </w:tcPr>
          <w:p>
            <w:pPr>
              <w:spacing w:after="0"/>
              <w:rPr>
                <w:sz w:val="1"/>
                <w:szCs w:val="1"/>
                <w:color w:val="auto"/>
              </w:rPr>
            </w:pPr>
          </w:p>
        </w:tc>
      </w:tr>
      <w:tr>
        <w:trPr>
          <w:trHeight w:val="131"/>
        </w:trPr>
        <w:tc>
          <w:tcPr>
            <w:tcW w:w="3800" w:type="dxa"/>
            <w:vAlign w:val="bottom"/>
          </w:tcPr>
          <w:p>
            <w:pPr>
              <w:ind w:left="120"/>
              <w:spacing w:after="0"/>
              <w:rPr>
                <w:sz w:val="20"/>
                <w:szCs w:val="20"/>
                <w:color w:val="auto"/>
              </w:rPr>
            </w:pPr>
            <w:r>
              <w:rPr>
                <w:rFonts w:ascii="Arial" w:cs="Arial" w:eastAsia="Arial" w:hAnsi="Arial"/>
                <w:sz w:val="10"/>
                <w:szCs w:val="10"/>
                <w:color w:val="auto"/>
              </w:rPr>
              <w:t>Other comprehensive income, net of tax benefit of $6,907</w:t>
            </w:r>
          </w:p>
        </w:tc>
        <w:tc>
          <w:tcPr>
            <w:tcW w:w="6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560" w:type="dxa"/>
            <w:vAlign w:val="bottom"/>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ind w:left="3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72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920" w:type="dxa"/>
            <w:vAlign w:val="bottom"/>
          </w:tcPr>
          <w:p>
            <w:pPr>
              <w:jc w:val="right"/>
              <w:ind w:right="11"/>
              <w:spacing w:after="0"/>
              <w:rPr>
                <w:sz w:val="20"/>
                <w:szCs w:val="20"/>
                <w:color w:val="auto"/>
              </w:rPr>
            </w:pPr>
            <w:r>
              <w:rPr>
                <w:rFonts w:ascii="Arial" w:cs="Arial" w:eastAsia="Arial" w:hAnsi="Arial"/>
                <w:sz w:val="10"/>
                <w:szCs w:val="10"/>
                <w:color w:val="auto"/>
              </w:rPr>
              <w:t>54,509</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54,509</w:t>
            </w:r>
          </w:p>
        </w:tc>
        <w:tc>
          <w:tcPr>
            <w:tcW w:w="0" w:type="dxa"/>
            <w:vAlign w:val="bottom"/>
          </w:tcPr>
          <w:p>
            <w:pPr>
              <w:spacing w:after="0"/>
              <w:rPr>
                <w:sz w:val="1"/>
                <w:szCs w:val="1"/>
                <w:color w:val="auto"/>
              </w:rPr>
            </w:pPr>
          </w:p>
        </w:tc>
      </w:tr>
      <w:tr>
        <w:trPr>
          <w:trHeight w:val="102"/>
        </w:trPr>
        <w:tc>
          <w:tcPr>
            <w:tcW w:w="3800" w:type="dxa"/>
            <w:vAlign w:val="bottom"/>
            <w:shd w:val="clear" w:color="auto" w:fill="CCEEFF"/>
          </w:tcPr>
          <w:p>
            <w:pPr>
              <w:ind w:left="20"/>
              <w:spacing w:after="0" w:line="103" w:lineRule="exact"/>
              <w:rPr>
                <w:sz w:val="20"/>
                <w:szCs w:val="20"/>
                <w:color w:val="auto"/>
              </w:rPr>
            </w:pPr>
            <w:r>
              <w:rPr>
                <w:rFonts w:ascii="Arial" w:cs="Arial" w:eastAsia="Arial" w:hAnsi="Arial"/>
                <w:sz w:val="10"/>
                <w:szCs w:val="10"/>
                <w:color w:val="auto"/>
                <w:w w:val="92"/>
              </w:rPr>
              <w:t>Capital distribution under Tax Sharing Agreement between JBS USA Holdings and Pilgrim's</w:t>
            </w:r>
          </w:p>
        </w:tc>
        <w:tc>
          <w:tcPr>
            <w:tcW w:w="6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8"/>
                <w:szCs w:val="8"/>
                <w:color w:val="auto"/>
              </w:rPr>
            </w:pPr>
          </w:p>
        </w:tc>
        <w:tc>
          <w:tcPr>
            <w:tcW w:w="5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60" w:type="dxa"/>
            <w:vAlign w:val="bottom"/>
            <w:gridSpan w:val="2"/>
            <w:vMerge w:val="restart"/>
            <w:shd w:val="clear" w:color="auto" w:fill="CCEEFF"/>
          </w:tcPr>
          <w:p>
            <w:pPr>
              <w:ind w:left="3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8"/>
                <w:szCs w:val="8"/>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(650)</w:t>
            </w:r>
          </w:p>
        </w:tc>
        <w:tc>
          <w:tcPr>
            <w:tcW w:w="6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6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8"/>
                <w:szCs w:val="8"/>
                <w:color w:val="auto"/>
              </w:rPr>
            </w:pPr>
          </w:p>
        </w:tc>
        <w:tc>
          <w:tcPr>
            <w:tcW w:w="9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8"/>
                <w:szCs w:val="8"/>
                <w:color w:val="auto"/>
              </w:rPr>
            </w:pPr>
          </w:p>
        </w:tc>
        <w:tc>
          <w:tcPr>
            <w:tcW w:w="9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8"/>
                <w:szCs w:val="8"/>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(650)</w:t>
            </w:r>
          </w:p>
        </w:tc>
        <w:tc>
          <w:tcPr>
            <w:tcW w:w="0" w:type="dxa"/>
            <w:vAlign w:val="bottom"/>
          </w:tcPr>
          <w:p>
            <w:pPr>
              <w:spacing w:after="0"/>
              <w:rPr>
                <w:sz w:val="1"/>
                <w:szCs w:val="1"/>
                <w:color w:val="auto"/>
              </w:rPr>
            </w:pPr>
          </w:p>
        </w:tc>
      </w:tr>
      <w:tr>
        <w:trPr>
          <w:trHeight w:val="138"/>
        </w:trPr>
        <w:tc>
          <w:tcPr>
            <w:tcW w:w="3800" w:type="dxa"/>
            <w:vAlign w:val="bottom"/>
            <w:shd w:val="clear" w:color="auto" w:fill="CCEEFF"/>
          </w:tcPr>
          <w:p>
            <w:pPr>
              <w:ind w:left="140"/>
              <w:spacing w:after="0"/>
              <w:rPr>
                <w:sz w:val="20"/>
                <w:szCs w:val="20"/>
                <w:color w:val="auto"/>
              </w:rPr>
            </w:pPr>
            <w:r>
              <w:rPr>
                <w:rFonts w:ascii="Arial" w:cs="Arial" w:eastAsia="Arial" w:hAnsi="Arial"/>
                <w:sz w:val="10"/>
                <w:szCs w:val="10"/>
                <w:color w:val="auto"/>
              </w:rPr>
              <w:t>Pride Corporation (the “TSA”)</w:t>
            </w:r>
          </w:p>
        </w:tc>
        <w:tc>
          <w:tcPr>
            <w:tcW w:w="640" w:type="dxa"/>
            <w:vAlign w:val="bottom"/>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gridSpan w:val="2"/>
            <w:vMerge w:val="continue"/>
            <w:shd w:val="clear" w:color="auto" w:fill="CCEEFF"/>
          </w:tcPr>
          <w:p>
            <w:pPr>
              <w:spacing w:after="0"/>
              <w:rPr>
                <w:sz w:val="11"/>
                <w:szCs w:val="11"/>
                <w:color w:val="auto"/>
              </w:rPr>
            </w:pPr>
          </w:p>
        </w:tc>
        <w:tc>
          <w:tcPr>
            <w:tcW w:w="56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gridSpan w:val="2"/>
            <w:vMerge w:val="continue"/>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60" w:type="dxa"/>
            <w:vAlign w:val="bottom"/>
            <w:gridSpan w:val="2"/>
            <w:vMerge w:val="continue"/>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gridSpan w:val="2"/>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gridSpan w:val="2"/>
            <w:vMerge w:val="continue"/>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800" w:type="dxa"/>
            <w:vAlign w:val="bottom"/>
          </w:tcPr>
          <w:p>
            <w:pPr>
              <w:ind w:left="20"/>
              <w:spacing w:after="0"/>
              <w:rPr>
                <w:sz w:val="20"/>
                <w:szCs w:val="20"/>
                <w:color w:val="auto"/>
              </w:rPr>
            </w:pPr>
            <w:r>
              <w:rPr>
                <w:rFonts w:ascii="Arial" w:cs="Arial" w:eastAsia="Arial" w:hAnsi="Arial"/>
                <w:sz w:val="10"/>
                <w:szCs w:val="10"/>
                <w:color w:val="auto"/>
              </w:rPr>
              <w:t>Stock-based compensation plans:</w:t>
            </w: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3800" w:type="dxa"/>
            <w:vAlign w:val="bottom"/>
            <w:shd w:val="clear" w:color="auto" w:fill="CCEEFF"/>
          </w:tcPr>
          <w:p>
            <w:pPr>
              <w:ind w:left="120"/>
              <w:spacing w:after="0"/>
              <w:rPr>
                <w:sz w:val="20"/>
                <w:szCs w:val="20"/>
                <w:color w:val="auto"/>
              </w:rPr>
            </w:pPr>
            <w:r>
              <w:rPr>
                <w:rFonts w:ascii="Arial" w:cs="Arial" w:eastAsia="Arial" w:hAnsi="Arial"/>
                <w:sz w:val="10"/>
                <w:szCs w:val="10"/>
                <w:color w:val="auto"/>
              </w:rPr>
              <w:t>Common stock issued under compensation plans</w:t>
            </w: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ind w:left="3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w:t>
            </w: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1"/>
        </w:trPr>
        <w:tc>
          <w:tcPr>
            <w:tcW w:w="3800" w:type="dxa"/>
            <w:vAlign w:val="bottom"/>
          </w:tcPr>
          <w:p>
            <w:pPr>
              <w:ind w:left="120"/>
              <w:spacing w:after="0"/>
              <w:rPr>
                <w:sz w:val="20"/>
                <w:szCs w:val="20"/>
                <w:color w:val="auto"/>
              </w:rPr>
            </w:pPr>
            <w:r>
              <w:rPr>
                <w:rFonts w:ascii="Arial" w:cs="Arial" w:eastAsia="Arial" w:hAnsi="Arial"/>
                <w:sz w:val="10"/>
                <w:szCs w:val="10"/>
                <w:color w:val="auto"/>
              </w:rPr>
              <w:t>Requisite service period recognition</w:t>
            </w:r>
          </w:p>
        </w:tc>
        <w:tc>
          <w:tcPr>
            <w:tcW w:w="6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560" w:type="dxa"/>
            <w:vAlign w:val="bottom"/>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ind w:left="3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0"/>
                <w:szCs w:val="10"/>
                <w:color w:val="auto"/>
              </w:rPr>
              <w:t>(276)</w:t>
            </w: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(276)</w:t>
            </w:r>
          </w:p>
        </w:tc>
        <w:tc>
          <w:tcPr>
            <w:tcW w:w="0" w:type="dxa"/>
            <w:vAlign w:val="bottom"/>
          </w:tcPr>
          <w:p>
            <w:pPr>
              <w:spacing w:after="0"/>
              <w:rPr>
                <w:sz w:val="1"/>
                <w:szCs w:val="1"/>
                <w:color w:val="auto"/>
              </w:rPr>
            </w:pPr>
          </w:p>
        </w:tc>
      </w:tr>
      <w:tr>
        <w:trPr>
          <w:trHeight w:val="145"/>
        </w:trPr>
        <w:tc>
          <w:tcPr>
            <w:tcW w:w="3800" w:type="dxa"/>
            <w:vAlign w:val="bottom"/>
            <w:shd w:val="clear" w:color="auto" w:fill="CCEEFF"/>
          </w:tcPr>
          <w:p>
            <w:pPr>
              <w:ind w:left="20"/>
              <w:spacing w:after="0"/>
              <w:rPr>
                <w:sz w:val="20"/>
                <w:szCs w:val="20"/>
                <w:color w:val="auto"/>
              </w:rPr>
            </w:pPr>
            <w:r>
              <w:rPr>
                <w:rFonts w:ascii="Arial" w:cs="Arial" w:eastAsia="Arial" w:hAnsi="Arial"/>
                <w:sz w:val="10"/>
                <w:szCs w:val="10"/>
                <w:color w:val="auto"/>
              </w:rPr>
              <w:t>Common stock purchased under share repurchase program</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(6,126)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(110,242)</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(110,242)</w:t>
            </w:r>
          </w:p>
        </w:tc>
        <w:tc>
          <w:tcPr>
            <w:tcW w:w="0" w:type="dxa"/>
            <w:vAlign w:val="bottom"/>
          </w:tcPr>
          <w:p>
            <w:pPr>
              <w:spacing w:after="0"/>
              <w:rPr>
                <w:sz w:val="1"/>
                <w:szCs w:val="1"/>
                <w:color w:val="auto"/>
              </w:rPr>
            </w:pPr>
          </w:p>
        </w:tc>
      </w:tr>
      <w:tr>
        <w:trPr>
          <w:trHeight w:val="131"/>
        </w:trPr>
        <w:tc>
          <w:tcPr>
            <w:tcW w:w="3800" w:type="dxa"/>
            <w:vAlign w:val="bottom"/>
          </w:tcPr>
          <w:p>
            <w:pPr>
              <w:ind w:left="20"/>
              <w:spacing w:after="0"/>
              <w:rPr>
                <w:sz w:val="20"/>
                <w:szCs w:val="20"/>
                <w:color w:val="auto"/>
              </w:rPr>
            </w:pPr>
            <w:r>
              <w:rPr>
                <w:rFonts w:ascii="Arial" w:cs="Arial" w:eastAsia="Arial" w:hAnsi="Arial"/>
                <w:sz w:val="10"/>
                <w:szCs w:val="10"/>
                <w:color w:val="auto"/>
              </w:rPr>
              <w:t>Dissolution of subsidiary</w:t>
            </w:r>
          </w:p>
        </w:tc>
        <w:tc>
          <w:tcPr>
            <w:tcW w:w="6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560" w:type="dxa"/>
            <w:vAlign w:val="bottom"/>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ind w:left="3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72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860" w:type="dxa"/>
            <w:vAlign w:val="bottom"/>
          </w:tcPr>
          <w:p>
            <w:pPr>
              <w:jc w:val="right"/>
              <w:ind w:right="11"/>
              <w:spacing w:after="0"/>
              <w:rPr>
                <w:sz w:val="20"/>
                <w:szCs w:val="20"/>
                <w:color w:val="auto"/>
              </w:rPr>
            </w:pPr>
            <w:r>
              <w:rPr>
                <w:rFonts w:ascii="Arial" w:cs="Arial" w:eastAsia="Arial" w:hAnsi="Arial"/>
                <w:sz w:val="10"/>
                <w:szCs w:val="10"/>
                <w:color w:val="auto"/>
              </w:rPr>
              <w:t>876</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876</w:t>
            </w:r>
          </w:p>
        </w:tc>
        <w:tc>
          <w:tcPr>
            <w:tcW w:w="0" w:type="dxa"/>
            <w:vAlign w:val="bottom"/>
          </w:tcPr>
          <w:p>
            <w:pPr>
              <w:spacing w:after="0"/>
              <w:rPr>
                <w:sz w:val="1"/>
                <w:szCs w:val="1"/>
                <w:color w:val="auto"/>
              </w:rPr>
            </w:pPr>
          </w:p>
        </w:tc>
      </w:tr>
      <w:tr>
        <w:trPr>
          <w:trHeight w:val="135"/>
        </w:trPr>
        <w:tc>
          <w:tcPr>
            <w:tcW w:w="3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Balance at December 27, 2020</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261,185</w:t>
            </w: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2,612</w:t>
            </w:r>
          </w:p>
        </w:tc>
        <w:tc>
          <w:tcPr>
            <w:tcW w:w="8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(17,673)</w:t>
            </w: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(345,134)</w:t>
            </w: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1,954,334</w:t>
            </w:r>
          </w:p>
        </w:tc>
        <w:tc>
          <w:tcPr>
            <w:tcW w:w="6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jc w:val="right"/>
              <w:ind w:right="211"/>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972,569</w:t>
            </w: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(20,620)</w:t>
            </w:r>
          </w:p>
        </w:tc>
        <w:tc>
          <w:tcPr>
            <w:tcW w:w="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11,586</w:t>
            </w:r>
          </w:p>
        </w:tc>
        <w:tc>
          <w:tcPr>
            <w:tcW w:w="6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2,575,347</w:t>
            </w:r>
          </w:p>
        </w:tc>
        <w:tc>
          <w:tcPr>
            <w:tcW w:w="0" w:type="dxa"/>
            <w:vAlign w:val="bottom"/>
          </w:tcPr>
          <w:p>
            <w:pPr>
              <w:spacing w:after="0"/>
              <w:rPr>
                <w:sz w:val="1"/>
                <w:szCs w:val="1"/>
                <w:color w:val="auto"/>
              </w:rPr>
            </w:pPr>
          </w:p>
        </w:tc>
      </w:tr>
      <w:tr>
        <w:trPr>
          <w:trHeight w:val="131"/>
        </w:trPr>
        <w:tc>
          <w:tcPr>
            <w:tcW w:w="3800" w:type="dxa"/>
            <w:vAlign w:val="bottom"/>
          </w:tcPr>
          <w:p>
            <w:pPr>
              <w:ind w:left="20"/>
              <w:spacing w:after="0"/>
              <w:rPr>
                <w:sz w:val="20"/>
                <w:szCs w:val="20"/>
                <w:color w:val="auto"/>
              </w:rPr>
            </w:pPr>
            <w:r>
              <w:rPr>
                <w:rFonts w:ascii="Arial" w:cs="Arial" w:eastAsia="Arial" w:hAnsi="Arial"/>
                <w:sz w:val="10"/>
                <w:szCs w:val="10"/>
                <w:color w:val="auto"/>
              </w:rPr>
              <w:t>Comprehensive income:</w:t>
            </w: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3800" w:type="dxa"/>
            <w:vAlign w:val="bottom"/>
            <w:shd w:val="clear" w:color="auto" w:fill="CCEEFF"/>
          </w:tcPr>
          <w:p>
            <w:pPr>
              <w:ind w:left="120"/>
              <w:spacing w:after="0"/>
              <w:rPr>
                <w:sz w:val="20"/>
                <w:szCs w:val="20"/>
                <w:color w:val="auto"/>
              </w:rPr>
            </w:pPr>
            <w:r>
              <w:rPr>
                <w:rFonts w:ascii="Arial" w:cs="Arial" w:eastAsia="Arial" w:hAnsi="Arial"/>
                <w:sz w:val="10"/>
                <w:szCs w:val="10"/>
                <w:color w:val="auto"/>
              </w:rPr>
              <w:t>Net income</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ind w:left="3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31,000</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268</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31,268</w:t>
            </w:r>
          </w:p>
        </w:tc>
        <w:tc>
          <w:tcPr>
            <w:tcW w:w="0" w:type="dxa"/>
            <w:vAlign w:val="bottom"/>
          </w:tcPr>
          <w:p>
            <w:pPr>
              <w:spacing w:after="0"/>
              <w:rPr>
                <w:sz w:val="1"/>
                <w:szCs w:val="1"/>
                <w:color w:val="auto"/>
              </w:rPr>
            </w:pPr>
          </w:p>
        </w:tc>
      </w:tr>
      <w:tr>
        <w:trPr>
          <w:trHeight w:val="131"/>
        </w:trPr>
        <w:tc>
          <w:tcPr>
            <w:tcW w:w="3800" w:type="dxa"/>
            <w:vAlign w:val="bottom"/>
          </w:tcPr>
          <w:p>
            <w:pPr>
              <w:ind w:left="120"/>
              <w:spacing w:after="0"/>
              <w:rPr>
                <w:sz w:val="20"/>
                <w:szCs w:val="20"/>
                <w:color w:val="auto"/>
              </w:rPr>
            </w:pPr>
            <w:r>
              <w:rPr>
                <w:rFonts w:ascii="Arial" w:cs="Arial" w:eastAsia="Arial" w:hAnsi="Arial"/>
                <w:sz w:val="10"/>
                <w:szCs w:val="10"/>
                <w:color w:val="auto"/>
              </w:rPr>
              <w:t>Other comprehensive loss, net of tax expense of $8,197</w:t>
            </w:r>
          </w:p>
        </w:tc>
        <w:tc>
          <w:tcPr>
            <w:tcW w:w="6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560" w:type="dxa"/>
            <w:vAlign w:val="bottom"/>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ind w:left="3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72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(27,377)</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(27,377)</w:t>
            </w:r>
          </w:p>
        </w:tc>
        <w:tc>
          <w:tcPr>
            <w:tcW w:w="0" w:type="dxa"/>
            <w:vAlign w:val="bottom"/>
          </w:tcPr>
          <w:p>
            <w:pPr>
              <w:spacing w:after="0"/>
              <w:rPr>
                <w:sz w:val="1"/>
                <w:szCs w:val="1"/>
                <w:color w:val="auto"/>
              </w:rPr>
            </w:pPr>
          </w:p>
        </w:tc>
      </w:tr>
      <w:tr>
        <w:trPr>
          <w:trHeight w:val="145"/>
        </w:trPr>
        <w:tc>
          <w:tcPr>
            <w:tcW w:w="3800" w:type="dxa"/>
            <w:vAlign w:val="bottom"/>
            <w:shd w:val="clear" w:color="auto" w:fill="CCEEFF"/>
          </w:tcPr>
          <w:p>
            <w:pPr>
              <w:ind w:left="20"/>
              <w:spacing w:after="0"/>
              <w:rPr>
                <w:sz w:val="20"/>
                <w:szCs w:val="20"/>
                <w:color w:val="auto"/>
              </w:rPr>
            </w:pPr>
            <w:r>
              <w:rPr>
                <w:rFonts w:ascii="Arial" w:cs="Arial" w:eastAsia="Arial" w:hAnsi="Arial"/>
                <w:sz w:val="10"/>
                <w:szCs w:val="10"/>
                <w:color w:val="auto"/>
              </w:rPr>
              <w:t>Capital distribution under TSA</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ind w:left="3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(1,961)</w:t>
            </w: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(1,961)</w:t>
            </w:r>
          </w:p>
        </w:tc>
        <w:tc>
          <w:tcPr>
            <w:tcW w:w="0" w:type="dxa"/>
            <w:vAlign w:val="bottom"/>
          </w:tcPr>
          <w:p>
            <w:pPr>
              <w:spacing w:after="0"/>
              <w:rPr>
                <w:sz w:val="1"/>
                <w:szCs w:val="1"/>
                <w:color w:val="auto"/>
              </w:rPr>
            </w:pPr>
          </w:p>
        </w:tc>
      </w:tr>
      <w:tr>
        <w:trPr>
          <w:trHeight w:val="131"/>
        </w:trPr>
        <w:tc>
          <w:tcPr>
            <w:tcW w:w="3800" w:type="dxa"/>
            <w:vAlign w:val="bottom"/>
          </w:tcPr>
          <w:p>
            <w:pPr>
              <w:ind w:left="20"/>
              <w:spacing w:after="0"/>
              <w:rPr>
                <w:sz w:val="20"/>
                <w:szCs w:val="20"/>
                <w:color w:val="auto"/>
              </w:rPr>
            </w:pPr>
            <w:r>
              <w:rPr>
                <w:rFonts w:ascii="Arial" w:cs="Arial" w:eastAsia="Arial" w:hAnsi="Arial"/>
                <w:sz w:val="10"/>
                <w:szCs w:val="10"/>
                <w:color w:val="auto"/>
              </w:rPr>
              <w:t>Stock-based compensation plans:</w:t>
            </w: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3800" w:type="dxa"/>
            <w:vAlign w:val="bottom"/>
            <w:shd w:val="clear" w:color="auto" w:fill="CCEEFF"/>
          </w:tcPr>
          <w:p>
            <w:pPr>
              <w:ind w:left="120"/>
              <w:spacing w:after="0"/>
              <w:rPr>
                <w:sz w:val="20"/>
                <w:szCs w:val="20"/>
                <w:color w:val="auto"/>
              </w:rPr>
            </w:pPr>
            <w:r>
              <w:rPr>
                <w:rFonts w:ascii="Arial" w:cs="Arial" w:eastAsia="Arial" w:hAnsi="Arial"/>
                <w:sz w:val="10"/>
                <w:szCs w:val="10"/>
                <w:color w:val="auto"/>
              </w:rPr>
              <w:t>Common stock issued under compensation plans</w:t>
            </w: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162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ind w:left="3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w:t>
            </w: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1"/>
        </w:trPr>
        <w:tc>
          <w:tcPr>
            <w:tcW w:w="3800" w:type="dxa"/>
            <w:vAlign w:val="bottom"/>
          </w:tcPr>
          <w:p>
            <w:pPr>
              <w:ind w:left="120"/>
              <w:spacing w:after="0"/>
              <w:rPr>
                <w:sz w:val="20"/>
                <w:szCs w:val="20"/>
                <w:color w:val="auto"/>
              </w:rPr>
            </w:pPr>
            <w:r>
              <w:rPr>
                <w:rFonts w:ascii="Arial" w:cs="Arial" w:eastAsia="Arial" w:hAnsi="Arial"/>
                <w:sz w:val="10"/>
                <w:szCs w:val="10"/>
                <w:color w:val="auto"/>
              </w:rPr>
              <w:t>Requisite service period recognition</w:t>
            </w:r>
          </w:p>
        </w:tc>
        <w:tc>
          <w:tcPr>
            <w:tcW w:w="6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560" w:type="dxa"/>
            <w:vAlign w:val="bottom"/>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ind w:left="3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720" w:type="dxa"/>
            <w:vAlign w:val="bottom"/>
          </w:tcPr>
          <w:p>
            <w:pPr>
              <w:jc w:val="right"/>
              <w:ind w:right="11"/>
              <w:spacing w:after="0"/>
              <w:rPr>
                <w:sz w:val="20"/>
                <w:szCs w:val="20"/>
                <w:color w:val="auto"/>
              </w:rPr>
            </w:pPr>
            <w:r>
              <w:rPr>
                <w:rFonts w:ascii="Arial" w:cs="Arial" w:eastAsia="Arial" w:hAnsi="Arial"/>
                <w:sz w:val="10"/>
                <w:szCs w:val="10"/>
                <w:color w:val="auto"/>
              </w:rPr>
              <w:t>11,657</w:t>
            </w: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11,657</w:t>
            </w:r>
          </w:p>
        </w:tc>
        <w:tc>
          <w:tcPr>
            <w:tcW w:w="0" w:type="dxa"/>
            <w:vAlign w:val="bottom"/>
          </w:tcPr>
          <w:p>
            <w:pPr>
              <w:spacing w:after="0"/>
              <w:rPr>
                <w:sz w:val="1"/>
                <w:szCs w:val="1"/>
                <w:color w:val="auto"/>
              </w:rPr>
            </w:pPr>
          </w:p>
        </w:tc>
      </w:tr>
      <w:tr>
        <w:trPr>
          <w:trHeight w:val="160"/>
        </w:trPr>
        <w:tc>
          <w:tcPr>
            <w:tcW w:w="3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Balance at December 26, 2021</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261,347</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2,614</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(17,673)</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(345,134)</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1,964,028</w:t>
            </w: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320" w:type="dxa"/>
            <w:vAlign w:val="bottom"/>
            <w:tcBorders>
              <w:top w:val="single" w:sz="8" w:color="auto"/>
              <w:bottom w:val="single" w:sz="8" w:color="auto"/>
            </w:tcBorders>
            <w:shd w:val="clear" w:color="auto" w:fill="CCEEFF"/>
          </w:tcPr>
          <w:p>
            <w:pPr>
              <w:jc w:val="right"/>
              <w:ind w:right="211"/>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1,003,569</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(47,997)</w:t>
            </w: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11,854</w:t>
            </w: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2,588,934</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2" w:lineRule="exact"/>
        <w:rPr>
          <w:sz w:val="20"/>
          <w:szCs w:val="20"/>
          <w:color w:val="auto"/>
        </w:rPr>
      </w:pPr>
    </w:p>
    <w:p>
      <w:pPr>
        <w:jc w:val="center"/>
        <w:ind w:right="-19"/>
        <w:spacing w:after="0"/>
        <w:rPr>
          <w:sz w:val="20"/>
          <w:szCs w:val="20"/>
          <w:color w:val="auto"/>
        </w:rPr>
      </w:pPr>
      <w:r>
        <w:rPr>
          <w:rFonts w:ascii="Arial" w:cs="Arial" w:eastAsia="Arial" w:hAnsi="Arial"/>
          <w:sz w:val="10"/>
          <w:szCs w:val="10"/>
          <w:color w:val="auto"/>
        </w:rPr>
        <w:t>The accompanying notes are an integral part of these Consolidated Financial Statements.</w:t>
      </w: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48" w:name="page49"/>
    <w:bookmarkEnd w:id="48"/>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-6985</wp:posOffset>
            </wp:positionV>
            <wp:extent cx="727075" cy="69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7075" cy="698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PILGRIM’S PRIDE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61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1"/>
                <w:szCs w:val="11"/>
                <w:b w:val="1"/>
                <w:bCs w:val="1"/>
                <w:color w:val="auto"/>
                <w:w w:val="85"/>
              </w:rPr>
              <w:t>Year Ended</w:t>
            </w:r>
          </w:p>
        </w:tc>
        <w:tc>
          <w:tcPr>
            <w:tcW w:w="22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61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gridSpan w:val="2"/>
          </w:tcPr>
          <w:p>
            <w:pPr>
              <w:ind w:left="180"/>
              <w:spacing w:after="0"/>
              <w:rPr>
                <w:sz w:val="20"/>
                <w:szCs w:val="20"/>
                <w:color w:val="auto"/>
              </w:rPr>
            </w:pPr>
            <w:r>
              <w:rPr>
                <w:rFonts w:ascii="Arial" w:cs="Arial" w:eastAsia="Arial" w:hAnsi="Arial"/>
                <w:sz w:val="11"/>
                <w:szCs w:val="11"/>
                <w:b w:val="1"/>
                <w:bCs w:val="1"/>
                <w:color w:val="auto"/>
              </w:rPr>
              <w:t>December 26, 2021</w:t>
            </w:r>
          </w:p>
        </w:tc>
        <w:tc>
          <w:tcPr>
            <w:tcW w:w="22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1"/>
                <w:szCs w:val="11"/>
                <w:b w:val="1"/>
                <w:bCs w:val="1"/>
                <w:color w:val="auto"/>
                <w:w w:val="84"/>
              </w:rPr>
              <w:t>December 27, 2020</w:t>
            </w:r>
          </w:p>
        </w:tc>
        <w:tc>
          <w:tcPr>
            <w:tcW w:w="22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ind w:right="347"/>
              <w:spacing w:after="0"/>
              <w:rPr>
                <w:sz w:val="20"/>
                <w:szCs w:val="20"/>
                <w:color w:val="auto"/>
              </w:rPr>
            </w:pPr>
            <w:r>
              <w:rPr>
                <w:rFonts w:ascii="Arial" w:cs="Arial" w:eastAsia="Arial" w:hAnsi="Arial"/>
                <w:sz w:val="11"/>
                <w:szCs w:val="11"/>
                <w:b w:val="1"/>
                <w:bCs w:val="1"/>
                <w:color w:val="auto"/>
              </w:rPr>
              <w:t>December 29, 2019</w:t>
            </w:r>
          </w:p>
        </w:tc>
        <w:tc>
          <w:tcPr>
            <w:tcW w:w="0" w:type="dxa"/>
            <w:vAlign w:val="bottom"/>
          </w:tcPr>
          <w:p>
            <w:pPr>
              <w:spacing w:after="0"/>
              <w:rPr>
                <w:sz w:val="1"/>
                <w:szCs w:val="1"/>
                <w:color w:val="auto"/>
              </w:rPr>
            </w:pPr>
          </w:p>
        </w:tc>
      </w:tr>
      <w:tr>
        <w:trPr>
          <w:trHeight w:val="131"/>
        </w:trPr>
        <w:tc>
          <w:tcPr>
            <w:tcW w:w="6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20" w:type="dxa"/>
            <w:vAlign w:val="bottom"/>
            <w:gridSpan w:val="2"/>
          </w:tcPr>
          <w:p>
            <w:pPr>
              <w:jc w:val="center"/>
              <w:ind w:right="320"/>
              <w:spacing w:after="0"/>
              <w:rPr>
                <w:sz w:val="20"/>
                <w:szCs w:val="20"/>
                <w:color w:val="auto"/>
              </w:rPr>
            </w:pPr>
            <w:r>
              <w:rPr>
                <w:rFonts w:ascii="Arial" w:cs="Arial" w:eastAsia="Arial" w:hAnsi="Arial"/>
                <w:sz w:val="9"/>
                <w:szCs w:val="9"/>
                <w:b w:val="1"/>
                <w:bCs w:val="1"/>
                <w:color w:val="auto"/>
                <w:w w:val="90"/>
              </w:rPr>
              <w:t>(In thousands)</w:t>
            </w:r>
          </w:p>
        </w:tc>
        <w:tc>
          <w:tcPr>
            <w:tcW w:w="2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616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Cash flows from operating activities:</w:t>
            </w:r>
          </w:p>
        </w:tc>
        <w:tc>
          <w:tcPr>
            <w:tcW w:w="22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6160" w:type="dxa"/>
            <w:vAlign w:val="bottom"/>
          </w:tcPr>
          <w:p>
            <w:pPr>
              <w:ind w:left="100"/>
              <w:spacing w:after="0"/>
              <w:rPr>
                <w:sz w:val="20"/>
                <w:szCs w:val="20"/>
                <w:color w:val="auto"/>
              </w:rPr>
            </w:pPr>
            <w:r>
              <w:rPr>
                <w:rFonts w:ascii="Arial" w:cs="Arial" w:eastAsia="Arial" w:hAnsi="Arial"/>
                <w:sz w:val="11"/>
                <w:szCs w:val="11"/>
                <w:color w:val="auto"/>
              </w:rPr>
              <w:t>Net income</w:t>
            </w: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1420" w:type="dxa"/>
            <w:vAlign w:val="bottom"/>
          </w:tcPr>
          <w:p>
            <w:pPr>
              <w:jc w:val="right"/>
              <w:spacing w:after="0"/>
              <w:rPr>
                <w:sz w:val="20"/>
                <w:szCs w:val="20"/>
                <w:color w:val="auto"/>
              </w:rPr>
            </w:pPr>
            <w:r>
              <w:rPr>
                <w:rFonts w:ascii="Arial" w:cs="Arial" w:eastAsia="Arial" w:hAnsi="Arial"/>
                <w:sz w:val="11"/>
                <w:szCs w:val="11"/>
                <w:color w:val="auto"/>
              </w:rPr>
              <w:t>31,268</w:t>
            </w:r>
          </w:p>
        </w:tc>
        <w:tc>
          <w:tcPr>
            <w:tcW w:w="100" w:type="dxa"/>
            <w:vAlign w:val="bottom"/>
          </w:tcPr>
          <w:p>
            <w:pPr>
              <w:spacing w:after="0"/>
              <w:rPr>
                <w:sz w:val="12"/>
                <w:szCs w:val="12"/>
                <w:color w:val="auto"/>
              </w:rPr>
            </w:pP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1420" w:type="dxa"/>
            <w:vAlign w:val="bottom"/>
          </w:tcPr>
          <w:p>
            <w:pPr>
              <w:jc w:val="right"/>
              <w:spacing w:after="0"/>
              <w:rPr>
                <w:sz w:val="20"/>
                <w:szCs w:val="20"/>
                <w:color w:val="auto"/>
              </w:rPr>
            </w:pPr>
            <w:r>
              <w:rPr>
                <w:rFonts w:ascii="Arial" w:cs="Arial" w:eastAsia="Arial" w:hAnsi="Arial"/>
                <w:sz w:val="11"/>
                <w:szCs w:val="11"/>
                <w:color w:val="auto"/>
              </w:rPr>
              <w:t>95,070</w:t>
            </w:r>
          </w:p>
        </w:tc>
        <w:tc>
          <w:tcPr>
            <w:tcW w:w="100" w:type="dxa"/>
            <w:vAlign w:val="bottom"/>
          </w:tcPr>
          <w:p>
            <w:pPr>
              <w:spacing w:after="0"/>
              <w:rPr>
                <w:sz w:val="12"/>
                <w:szCs w:val="12"/>
                <w:color w:val="auto"/>
              </w:rPr>
            </w:pP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1420" w:type="dxa"/>
            <w:vAlign w:val="bottom"/>
          </w:tcPr>
          <w:p>
            <w:pPr>
              <w:jc w:val="right"/>
              <w:spacing w:after="0"/>
              <w:rPr>
                <w:sz w:val="20"/>
                <w:szCs w:val="20"/>
                <w:color w:val="auto"/>
              </w:rPr>
            </w:pPr>
            <w:r>
              <w:rPr>
                <w:rFonts w:ascii="Arial" w:cs="Arial" w:eastAsia="Arial" w:hAnsi="Arial"/>
                <w:sz w:val="11"/>
                <w:szCs w:val="11"/>
                <w:color w:val="auto"/>
              </w:rPr>
              <w:t>456,536</w:t>
            </w:r>
          </w:p>
        </w:tc>
        <w:tc>
          <w:tcPr>
            <w:tcW w:w="0" w:type="dxa"/>
            <w:vAlign w:val="bottom"/>
          </w:tcPr>
          <w:p>
            <w:pPr>
              <w:spacing w:after="0"/>
              <w:rPr>
                <w:sz w:val="1"/>
                <w:szCs w:val="1"/>
                <w:color w:val="auto"/>
              </w:rPr>
            </w:pPr>
          </w:p>
        </w:tc>
      </w:tr>
      <w:tr>
        <w:trPr>
          <w:trHeight w:val="154"/>
        </w:trPr>
        <w:tc>
          <w:tcPr>
            <w:tcW w:w="6160" w:type="dxa"/>
            <w:vAlign w:val="bottom"/>
            <w:shd w:val="clear" w:color="auto" w:fill="CCEEFF"/>
          </w:tcPr>
          <w:p>
            <w:pPr>
              <w:ind w:left="100"/>
              <w:spacing w:after="0"/>
              <w:rPr>
                <w:sz w:val="20"/>
                <w:szCs w:val="20"/>
                <w:color w:val="auto"/>
              </w:rPr>
            </w:pPr>
            <w:r>
              <w:rPr>
                <w:rFonts w:ascii="Arial" w:cs="Arial" w:eastAsia="Arial" w:hAnsi="Arial"/>
                <w:sz w:val="11"/>
                <w:szCs w:val="11"/>
                <w:color w:val="auto"/>
              </w:rPr>
              <w:t>Adjustments to reconcile net income to cash provided by operating activities:</w:t>
            </w:r>
          </w:p>
        </w:tc>
        <w:tc>
          <w:tcPr>
            <w:tcW w:w="22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6160" w:type="dxa"/>
            <w:vAlign w:val="bottom"/>
          </w:tcPr>
          <w:p>
            <w:pPr>
              <w:ind w:left="180"/>
              <w:spacing w:after="0"/>
              <w:rPr>
                <w:sz w:val="20"/>
                <w:szCs w:val="20"/>
                <w:color w:val="auto"/>
              </w:rPr>
            </w:pPr>
            <w:r>
              <w:rPr>
                <w:rFonts w:ascii="Arial" w:cs="Arial" w:eastAsia="Arial" w:hAnsi="Arial"/>
                <w:sz w:val="11"/>
                <w:szCs w:val="11"/>
                <w:color w:val="auto"/>
              </w:rPr>
              <w:t>Depreciation and amortization</w:t>
            </w:r>
          </w:p>
        </w:tc>
        <w:tc>
          <w:tcPr>
            <w:tcW w:w="22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Arial" w:cs="Arial" w:eastAsia="Arial" w:hAnsi="Arial"/>
                <w:sz w:val="11"/>
                <w:szCs w:val="11"/>
                <w:color w:val="auto"/>
              </w:rPr>
              <w:t>380,824</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Arial" w:cs="Arial" w:eastAsia="Arial" w:hAnsi="Arial"/>
                <w:sz w:val="11"/>
                <w:szCs w:val="11"/>
                <w:color w:val="auto"/>
              </w:rPr>
              <w:t>337,104</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Arial" w:cs="Arial" w:eastAsia="Arial" w:hAnsi="Arial"/>
                <w:sz w:val="11"/>
                <w:szCs w:val="11"/>
                <w:color w:val="auto"/>
              </w:rPr>
              <w:t>287,230</w:t>
            </w:r>
          </w:p>
        </w:tc>
        <w:tc>
          <w:tcPr>
            <w:tcW w:w="0" w:type="dxa"/>
            <w:vAlign w:val="bottom"/>
          </w:tcPr>
          <w:p>
            <w:pPr>
              <w:spacing w:after="0"/>
              <w:rPr>
                <w:sz w:val="1"/>
                <w:szCs w:val="1"/>
                <w:color w:val="auto"/>
              </w:rPr>
            </w:pPr>
          </w:p>
        </w:tc>
      </w:tr>
      <w:tr>
        <w:trPr>
          <w:trHeight w:val="154"/>
        </w:trPr>
        <w:tc>
          <w:tcPr>
            <w:tcW w:w="6160" w:type="dxa"/>
            <w:vAlign w:val="bottom"/>
            <w:shd w:val="clear" w:color="auto" w:fill="CCEEFF"/>
          </w:tcPr>
          <w:p>
            <w:pPr>
              <w:ind w:left="180"/>
              <w:spacing w:after="0"/>
              <w:rPr>
                <w:sz w:val="20"/>
                <w:szCs w:val="20"/>
                <w:color w:val="auto"/>
              </w:rPr>
            </w:pPr>
            <w:r>
              <w:rPr>
                <w:rFonts w:ascii="Arial" w:cs="Arial" w:eastAsia="Arial" w:hAnsi="Arial"/>
                <w:sz w:val="11"/>
                <w:szCs w:val="11"/>
                <w:color w:val="auto"/>
              </w:rPr>
              <w:t>Deferred income tax expense (benefit)</w:t>
            </w:r>
          </w:p>
        </w:tc>
        <w:tc>
          <w:tcPr>
            <w:tcW w:w="220" w:type="dxa"/>
            <w:vAlign w:val="bottom"/>
            <w:shd w:val="clear" w:color="auto" w:fill="CCEEFF"/>
          </w:tcPr>
          <w:p>
            <w:pPr>
              <w:spacing w:after="0"/>
              <w:rPr>
                <w:sz w:val="13"/>
                <w:szCs w:val="1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(86,391)</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37,337</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42,478</w:t>
            </w:r>
          </w:p>
        </w:tc>
        <w:tc>
          <w:tcPr>
            <w:tcW w:w="0" w:type="dxa"/>
            <w:vAlign w:val="bottom"/>
          </w:tcPr>
          <w:p>
            <w:pPr>
              <w:spacing w:after="0"/>
              <w:rPr>
                <w:sz w:val="1"/>
                <w:szCs w:val="1"/>
                <w:color w:val="auto"/>
              </w:rPr>
            </w:pPr>
          </w:p>
        </w:tc>
      </w:tr>
      <w:tr>
        <w:trPr>
          <w:trHeight w:val="143"/>
        </w:trPr>
        <w:tc>
          <w:tcPr>
            <w:tcW w:w="6160" w:type="dxa"/>
            <w:vAlign w:val="bottom"/>
          </w:tcPr>
          <w:p>
            <w:pPr>
              <w:ind w:left="180"/>
              <w:spacing w:after="0"/>
              <w:rPr>
                <w:sz w:val="20"/>
                <w:szCs w:val="20"/>
                <w:color w:val="auto"/>
              </w:rPr>
            </w:pPr>
            <w:r>
              <w:rPr>
                <w:rFonts w:ascii="Arial" w:cs="Arial" w:eastAsia="Arial" w:hAnsi="Arial"/>
                <w:sz w:val="11"/>
                <w:szCs w:val="11"/>
                <w:color w:val="auto"/>
              </w:rPr>
              <w:t>Loss on early extinguishment of debt recognized as a component of interest expense</w:t>
            </w:r>
          </w:p>
        </w:tc>
        <w:tc>
          <w:tcPr>
            <w:tcW w:w="22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Arial" w:cs="Arial" w:eastAsia="Arial" w:hAnsi="Arial"/>
                <w:sz w:val="11"/>
                <w:szCs w:val="11"/>
                <w:color w:val="auto"/>
              </w:rPr>
              <w:t>24,654</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4"/>
        </w:trPr>
        <w:tc>
          <w:tcPr>
            <w:tcW w:w="6160" w:type="dxa"/>
            <w:vAlign w:val="bottom"/>
            <w:shd w:val="clear" w:color="auto" w:fill="CCEEFF"/>
          </w:tcPr>
          <w:p>
            <w:pPr>
              <w:ind w:left="180"/>
              <w:spacing w:after="0"/>
              <w:rPr>
                <w:sz w:val="20"/>
                <w:szCs w:val="20"/>
                <w:color w:val="auto"/>
              </w:rPr>
            </w:pPr>
            <w:r>
              <w:rPr>
                <w:rFonts w:ascii="Arial" w:cs="Arial" w:eastAsia="Arial" w:hAnsi="Arial"/>
                <w:sz w:val="11"/>
                <w:szCs w:val="11"/>
                <w:color w:val="auto"/>
              </w:rPr>
              <w:t>Stock-based compensation activity</w:t>
            </w:r>
          </w:p>
        </w:tc>
        <w:tc>
          <w:tcPr>
            <w:tcW w:w="220" w:type="dxa"/>
            <w:vAlign w:val="bottom"/>
            <w:shd w:val="clear" w:color="auto" w:fill="CCEEFF"/>
          </w:tcPr>
          <w:p>
            <w:pPr>
              <w:spacing w:after="0"/>
              <w:rPr>
                <w:sz w:val="13"/>
                <w:szCs w:val="1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11,655</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(276)</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10,132</w:t>
            </w:r>
          </w:p>
        </w:tc>
        <w:tc>
          <w:tcPr>
            <w:tcW w:w="0" w:type="dxa"/>
            <w:vAlign w:val="bottom"/>
          </w:tcPr>
          <w:p>
            <w:pPr>
              <w:spacing w:after="0"/>
              <w:rPr>
                <w:sz w:val="1"/>
                <w:szCs w:val="1"/>
                <w:color w:val="auto"/>
              </w:rPr>
            </w:pPr>
          </w:p>
        </w:tc>
      </w:tr>
      <w:tr>
        <w:trPr>
          <w:trHeight w:val="143"/>
        </w:trPr>
        <w:tc>
          <w:tcPr>
            <w:tcW w:w="6160" w:type="dxa"/>
            <w:vAlign w:val="bottom"/>
          </w:tcPr>
          <w:p>
            <w:pPr>
              <w:ind w:left="180"/>
              <w:spacing w:after="0"/>
              <w:rPr>
                <w:sz w:val="20"/>
                <w:szCs w:val="20"/>
                <w:color w:val="auto"/>
              </w:rPr>
            </w:pPr>
            <w:r>
              <w:rPr>
                <w:rFonts w:ascii="Arial" w:cs="Arial" w:eastAsia="Arial" w:hAnsi="Arial"/>
                <w:sz w:val="11"/>
                <w:szCs w:val="11"/>
                <w:color w:val="auto"/>
              </w:rPr>
              <w:t>Loan cost amortization</w:t>
            </w:r>
          </w:p>
        </w:tc>
        <w:tc>
          <w:tcPr>
            <w:tcW w:w="22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Arial" w:cs="Arial" w:eastAsia="Arial" w:hAnsi="Arial"/>
                <w:sz w:val="11"/>
                <w:szCs w:val="11"/>
                <w:color w:val="auto"/>
              </w:rPr>
              <w:t>5,095</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Arial" w:cs="Arial" w:eastAsia="Arial" w:hAnsi="Arial"/>
                <w:sz w:val="11"/>
                <w:szCs w:val="11"/>
                <w:color w:val="auto"/>
              </w:rPr>
              <w:t>4,848</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Arial" w:cs="Arial" w:eastAsia="Arial" w:hAnsi="Arial"/>
                <w:sz w:val="11"/>
                <w:szCs w:val="11"/>
                <w:color w:val="auto"/>
              </w:rPr>
              <w:t>4,821</w:t>
            </w:r>
          </w:p>
        </w:tc>
        <w:tc>
          <w:tcPr>
            <w:tcW w:w="0" w:type="dxa"/>
            <w:vAlign w:val="bottom"/>
          </w:tcPr>
          <w:p>
            <w:pPr>
              <w:spacing w:after="0"/>
              <w:rPr>
                <w:sz w:val="1"/>
                <w:szCs w:val="1"/>
                <w:color w:val="auto"/>
              </w:rPr>
            </w:pPr>
          </w:p>
        </w:tc>
      </w:tr>
      <w:tr>
        <w:trPr>
          <w:trHeight w:val="154"/>
        </w:trPr>
        <w:tc>
          <w:tcPr>
            <w:tcW w:w="6160" w:type="dxa"/>
            <w:vAlign w:val="bottom"/>
            <w:shd w:val="clear" w:color="auto" w:fill="CCEEFF"/>
          </w:tcPr>
          <w:p>
            <w:pPr>
              <w:ind w:left="180"/>
              <w:spacing w:after="0"/>
              <w:rPr>
                <w:sz w:val="20"/>
                <w:szCs w:val="20"/>
                <w:color w:val="auto"/>
              </w:rPr>
            </w:pPr>
            <w:r>
              <w:rPr>
                <w:rFonts w:ascii="Arial" w:cs="Arial" w:eastAsia="Arial" w:hAnsi="Arial"/>
                <w:sz w:val="11"/>
                <w:szCs w:val="11"/>
                <w:color w:val="auto"/>
              </w:rPr>
              <w:t>Accretion of bond discount</w:t>
            </w:r>
          </w:p>
        </w:tc>
        <w:tc>
          <w:tcPr>
            <w:tcW w:w="220" w:type="dxa"/>
            <w:vAlign w:val="bottom"/>
            <w:shd w:val="clear" w:color="auto" w:fill="CCEEFF"/>
          </w:tcPr>
          <w:p>
            <w:pPr>
              <w:spacing w:after="0"/>
              <w:rPr>
                <w:sz w:val="13"/>
                <w:szCs w:val="1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1,533</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982</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982</w:t>
            </w:r>
          </w:p>
        </w:tc>
        <w:tc>
          <w:tcPr>
            <w:tcW w:w="0" w:type="dxa"/>
            <w:vAlign w:val="bottom"/>
          </w:tcPr>
          <w:p>
            <w:pPr>
              <w:spacing w:after="0"/>
              <w:rPr>
                <w:sz w:val="1"/>
                <w:szCs w:val="1"/>
                <w:color w:val="auto"/>
              </w:rPr>
            </w:pPr>
          </w:p>
        </w:tc>
      </w:tr>
      <w:tr>
        <w:trPr>
          <w:trHeight w:val="143"/>
        </w:trPr>
        <w:tc>
          <w:tcPr>
            <w:tcW w:w="6160" w:type="dxa"/>
            <w:vAlign w:val="bottom"/>
          </w:tcPr>
          <w:p>
            <w:pPr>
              <w:ind w:left="180"/>
              <w:spacing w:after="0"/>
              <w:rPr>
                <w:sz w:val="20"/>
                <w:szCs w:val="20"/>
                <w:color w:val="auto"/>
              </w:rPr>
            </w:pPr>
            <w:r>
              <w:rPr>
                <w:rFonts w:ascii="Arial" w:cs="Arial" w:eastAsia="Arial" w:hAnsi="Arial"/>
                <w:sz w:val="11"/>
                <w:szCs w:val="11"/>
                <w:color w:val="auto"/>
              </w:rPr>
              <w:t>Gain on property disposals</w:t>
            </w:r>
          </w:p>
        </w:tc>
        <w:tc>
          <w:tcPr>
            <w:tcW w:w="22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Arial" w:cs="Arial" w:eastAsia="Arial" w:hAnsi="Arial"/>
                <w:sz w:val="11"/>
                <w:szCs w:val="11"/>
                <w:color w:val="auto"/>
              </w:rPr>
              <w:t>(1,476)</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Arial" w:cs="Arial" w:eastAsia="Arial" w:hAnsi="Arial"/>
                <w:sz w:val="11"/>
                <w:szCs w:val="11"/>
                <w:color w:val="auto"/>
              </w:rPr>
              <w:t>(13,766)</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Arial" w:cs="Arial" w:eastAsia="Arial" w:hAnsi="Arial"/>
                <w:sz w:val="11"/>
                <w:szCs w:val="11"/>
                <w:color w:val="auto"/>
              </w:rPr>
              <w:t>(10,896)</w:t>
            </w:r>
          </w:p>
        </w:tc>
        <w:tc>
          <w:tcPr>
            <w:tcW w:w="0" w:type="dxa"/>
            <w:vAlign w:val="bottom"/>
          </w:tcPr>
          <w:p>
            <w:pPr>
              <w:spacing w:after="0"/>
              <w:rPr>
                <w:sz w:val="1"/>
                <w:szCs w:val="1"/>
                <w:color w:val="auto"/>
              </w:rPr>
            </w:pPr>
          </w:p>
        </w:tc>
      </w:tr>
      <w:tr>
        <w:trPr>
          <w:trHeight w:val="154"/>
        </w:trPr>
        <w:tc>
          <w:tcPr>
            <w:tcW w:w="6160" w:type="dxa"/>
            <w:vAlign w:val="bottom"/>
            <w:shd w:val="clear" w:color="auto" w:fill="CCEEFF"/>
          </w:tcPr>
          <w:p>
            <w:pPr>
              <w:ind w:left="180"/>
              <w:spacing w:after="0"/>
              <w:rPr>
                <w:sz w:val="20"/>
                <w:szCs w:val="20"/>
                <w:color w:val="auto"/>
              </w:rPr>
            </w:pPr>
            <w:r>
              <w:rPr>
                <w:rFonts w:ascii="Arial" w:cs="Arial" w:eastAsia="Arial" w:hAnsi="Arial"/>
                <w:sz w:val="11"/>
                <w:szCs w:val="11"/>
                <w:color w:val="auto"/>
              </w:rPr>
              <w:t>Amortization of bond premium</w:t>
            </w:r>
          </w:p>
        </w:tc>
        <w:tc>
          <w:tcPr>
            <w:tcW w:w="220" w:type="dxa"/>
            <w:vAlign w:val="bottom"/>
            <w:shd w:val="clear" w:color="auto" w:fill="CCEEFF"/>
          </w:tcPr>
          <w:p>
            <w:pPr>
              <w:spacing w:after="0"/>
              <w:rPr>
                <w:sz w:val="13"/>
                <w:szCs w:val="1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(167)</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(668)</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(668)</w:t>
            </w:r>
          </w:p>
        </w:tc>
        <w:tc>
          <w:tcPr>
            <w:tcW w:w="0" w:type="dxa"/>
            <w:vAlign w:val="bottom"/>
          </w:tcPr>
          <w:p>
            <w:pPr>
              <w:spacing w:after="0"/>
              <w:rPr>
                <w:sz w:val="1"/>
                <w:szCs w:val="1"/>
                <w:color w:val="auto"/>
              </w:rPr>
            </w:pPr>
          </w:p>
        </w:tc>
      </w:tr>
      <w:tr>
        <w:trPr>
          <w:trHeight w:val="143"/>
        </w:trPr>
        <w:tc>
          <w:tcPr>
            <w:tcW w:w="6160" w:type="dxa"/>
            <w:vAlign w:val="bottom"/>
          </w:tcPr>
          <w:p>
            <w:pPr>
              <w:ind w:left="180"/>
              <w:spacing w:after="0"/>
              <w:rPr>
                <w:sz w:val="20"/>
                <w:szCs w:val="20"/>
                <w:color w:val="auto"/>
              </w:rPr>
            </w:pPr>
            <w:r>
              <w:rPr>
                <w:rFonts w:ascii="Arial" w:cs="Arial" w:eastAsia="Arial" w:hAnsi="Arial"/>
                <w:sz w:val="11"/>
                <w:szCs w:val="11"/>
                <w:color w:val="auto"/>
              </w:rPr>
              <w:t>Loss (gain) on equity method investments</w:t>
            </w:r>
          </w:p>
        </w:tc>
        <w:tc>
          <w:tcPr>
            <w:tcW w:w="22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Arial" w:cs="Arial" w:eastAsia="Arial" w:hAnsi="Arial"/>
                <w:sz w:val="11"/>
                <w:szCs w:val="11"/>
                <w:color w:val="auto"/>
              </w:rPr>
              <w:t>(16)</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Arial" w:cs="Arial" w:eastAsia="Arial" w:hAnsi="Arial"/>
                <w:sz w:val="11"/>
                <w:szCs w:val="11"/>
                <w:color w:val="auto"/>
              </w:rPr>
              <w:t>291</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Arial" w:cs="Arial" w:eastAsia="Arial" w:hAnsi="Arial"/>
                <w:sz w:val="11"/>
                <w:szCs w:val="11"/>
                <w:color w:val="auto"/>
              </w:rPr>
              <w:t>(63)</w:t>
            </w:r>
          </w:p>
        </w:tc>
        <w:tc>
          <w:tcPr>
            <w:tcW w:w="0" w:type="dxa"/>
            <w:vAlign w:val="bottom"/>
          </w:tcPr>
          <w:p>
            <w:pPr>
              <w:spacing w:after="0"/>
              <w:rPr>
                <w:sz w:val="1"/>
                <w:szCs w:val="1"/>
                <w:color w:val="auto"/>
              </w:rPr>
            </w:pPr>
          </w:p>
        </w:tc>
      </w:tr>
      <w:tr>
        <w:trPr>
          <w:trHeight w:val="154"/>
        </w:trPr>
        <w:tc>
          <w:tcPr>
            <w:tcW w:w="6160" w:type="dxa"/>
            <w:vAlign w:val="bottom"/>
            <w:shd w:val="clear" w:color="auto" w:fill="CCEEFF"/>
          </w:tcPr>
          <w:p>
            <w:pPr>
              <w:ind w:left="180"/>
              <w:spacing w:after="0"/>
              <w:rPr>
                <w:sz w:val="20"/>
                <w:szCs w:val="20"/>
                <w:color w:val="auto"/>
              </w:rPr>
            </w:pPr>
            <w:r>
              <w:rPr>
                <w:rFonts w:ascii="Arial" w:cs="Arial" w:eastAsia="Arial" w:hAnsi="Arial"/>
                <w:sz w:val="11"/>
                <w:szCs w:val="11"/>
                <w:color w:val="auto"/>
              </w:rPr>
              <w:t>Gain on bargain purchase</w:t>
            </w:r>
          </w:p>
        </w:tc>
        <w:tc>
          <w:tcPr>
            <w:tcW w:w="220" w:type="dxa"/>
            <w:vAlign w:val="bottom"/>
            <w:shd w:val="clear" w:color="auto" w:fill="CCEEFF"/>
          </w:tcPr>
          <w:p>
            <w:pPr>
              <w:spacing w:after="0"/>
              <w:rPr>
                <w:sz w:val="13"/>
                <w:szCs w:val="13"/>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3"/>
                <w:szCs w:val="1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3,746</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(56,880)</w:t>
            </w:r>
          </w:p>
        </w:tc>
        <w:tc>
          <w:tcPr>
            <w:tcW w:w="0" w:type="dxa"/>
            <w:vAlign w:val="bottom"/>
          </w:tcPr>
          <w:p>
            <w:pPr>
              <w:spacing w:after="0"/>
              <w:rPr>
                <w:sz w:val="1"/>
                <w:szCs w:val="1"/>
                <w:color w:val="auto"/>
              </w:rPr>
            </w:pPr>
          </w:p>
        </w:tc>
      </w:tr>
      <w:tr>
        <w:trPr>
          <w:trHeight w:val="143"/>
        </w:trPr>
        <w:tc>
          <w:tcPr>
            <w:tcW w:w="6160" w:type="dxa"/>
            <w:vAlign w:val="bottom"/>
          </w:tcPr>
          <w:p>
            <w:pPr>
              <w:ind w:left="180"/>
              <w:spacing w:after="0"/>
              <w:rPr>
                <w:sz w:val="20"/>
                <w:szCs w:val="20"/>
                <w:color w:val="auto"/>
              </w:rPr>
            </w:pPr>
            <w:r>
              <w:rPr>
                <w:rFonts w:ascii="Arial" w:cs="Arial" w:eastAsia="Arial" w:hAnsi="Arial"/>
                <w:sz w:val="11"/>
                <w:szCs w:val="11"/>
                <w:color w:val="auto"/>
              </w:rPr>
              <w:t>Noncash loss on subsidiary dissolution</w:t>
            </w:r>
          </w:p>
        </w:tc>
        <w:tc>
          <w:tcPr>
            <w:tcW w:w="220" w:type="dxa"/>
            <w:vAlign w:val="bottom"/>
          </w:tcPr>
          <w:p>
            <w:pPr>
              <w:spacing w:after="0"/>
              <w:rPr>
                <w:sz w:val="12"/>
                <w:szCs w:val="12"/>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Arial" w:cs="Arial" w:eastAsia="Arial" w:hAnsi="Arial"/>
                <w:sz w:val="11"/>
                <w:szCs w:val="11"/>
                <w:color w:val="auto"/>
              </w:rPr>
              <w:t>115</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4"/>
        </w:trPr>
        <w:tc>
          <w:tcPr>
            <w:tcW w:w="6160" w:type="dxa"/>
            <w:vAlign w:val="bottom"/>
            <w:shd w:val="clear" w:color="auto" w:fill="CCEEFF"/>
          </w:tcPr>
          <w:p>
            <w:pPr>
              <w:ind w:left="180"/>
              <w:spacing w:after="0"/>
              <w:rPr>
                <w:sz w:val="20"/>
                <w:szCs w:val="20"/>
                <w:color w:val="auto"/>
              </w:rPr>
            </w:pPr>
            <w:r>
              <w:rPr>
                <w:rFonts w:ascii="Arial" w:cs="Arial" w:eastAsia="Arial" w:hAnsi="Arial"/>
                <w:sz w:val="11"/>
                <w:szCs w:val="11"/>
                <w:color w:val="auto"/>
              </w:rPr>
              <w:t>Foreign currency transaction losses (gains) related to borrowing arrangements</w:t>
            </w:r>
          </w:p>
        </w:tc>
        <w:tc>
          <w:tcPr>
            <w:tcW w:w="220" w:type="dxa"/>
            <w:vAlign w:val="bottom"/>
            <w:shd w:val="clear" w:color="auto" w:fill="CCEEFF"/>
          </w:tcPr>
          <w:p>
            <w:pPr>
              <w:spacing w:after="0"/>
              <w:rPr>
                <w:sz w:val="13"/>
                <w:szCs w:val="13"/>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3"/>
                <w:szCs w:val="13"/>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3"/>
                <w:szCs w:val="1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(4,970)</w:t>
            </w:r>
          </w:p>
        </w:tc>
        <w:tc>
          <w:tcPr>
            <w:tcW w:w="0" w:type="dxa"/>
            <w:vAlign w:val="bottom"/>
          </w:tcPr>
          <w:p>
            <w:pPr>
              <w:spacing w:after="0"/>
              <w:rPr>
                <w:sz w:val="1"/>
                <w:szCs w:val="1"/>
                <w:color w:val="auto"/>
              </w:rPr>
            </w:pPr>
          </w:p>
        </w:tc>
      </w:tr>
      <w:tr>
        <w:trPr>
          <w:trHeight w:val="143"/>
        </w:trPr>
        <w:tc>
          <w:tcPr>
            <w:tcW w:w="6160" w:type="dxa"/>
            <w:vAlign w:val="bottom"/>
          </w:tcPr>
          <w:p>
            <w:pPr>
              <w:ind w:left="180"/>
              <w:spacing w:after="0"/>
              <w:rPr>
                <w:sz w:val="20"/>
                <w:szCs w:val="20"/>
                <w:color w:val="auto"/>
              </w:rPr>
            </w:pPr>
            <w:r>
              <w:rPr>
                <w:rFonts w:ascii="Arial" w:cs="Arial" w:eastAsia="Arial" w:hAnsi="Arial"/>
                <w:sz w:val="11"/>
                <w:szCs w:val="11"/>
                <w:color w:val="auto"/>
              </w:rPr>
              <w:t>Changes in operating assets and liabilities:</w:t>
            </w:r>
          </w:p>
        </w:tc>
        <w:tc>
          <w:tcPr>
            <w:tcW w:w="2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6160" w:type="dxa"/>
            <w:vAlign w:val="bottom"/>
            <w:shd w:val="clear" w:color="auto" w:fill="CCEEFF"/>
          </w:tcPr>
          <w:p>
            <w:pPr>
              <w:ind w:left="280"/>
              <w:spacing w:after="0"/>
              <w:rPr>
                <w:sz w:val="20"/>
                <w:szCs w:val="20"/>
                <w:color w:val="auto"/>
              </w:rPr>
            </w:pPr>
            <w:r>
              <w:rPr>
                <w:rFonts w:ascii="Arial" w:cs="Arial" w:eastAsia="Arial" w:hAnsi="Arial"/>
                <w:sz w:val="11"/>
                <w:szCs w:val="11"/>
                <w:color w:val="auto"/>
              </w:rPr>
              <w:t>Trade accounts and other receivables</w:t>
            </w:r>
          </w:p>
        </w:tc>
        <w:tc>
          <w:tcPr>
            <w:tcW w:w="220" w:type="dxa"/>
            <w:vAlign w:val="bottom"/>
            <w:shd w:val="clear" w:color="auto" w:fill="CCEEFF"/>
          </w:tcPr>
          <w:p>
            <w:pPr>
              <w:spacing w:after="0"/>
              <w:rPr>
                <w:sz w:val="13"/>
                <w:szCs w:val="1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(259,377)</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29,154</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(25,000)</w:t>
            </w:r>
          </w:p>
        </w:tc>
        <w:tc>
          <w:tcPr>
            <w:tcW w:w="0" w:type="dxa"/>
            <w:vAlign w:val="bottom"/>
          </w:tcPr>
          <w:p>
            <w:pPr>
              <w:spacing w:after="0"/>
              <w:rPr>
                <w:sz w:val="1"/>
                <w:szCs w:val="1"/>
                <w:color w:val="auto"/>
              </w:rPr>
            </w:pPr>
          </w:p>
        </w:tc>
      </w:tr>
      <w:tr>
        <w:trPr>
          <w:trHeight w:val="143"/>
        </w:trPr>
        <w:tc>
          <w:tcPr>
            <w:tcW w:w="6160" w:type="dxa"/>
            <w:vAlign w:val="bottom"/>
          </w:tcPr>
          <w:p>
            <w:pPr>
              <w:ind w:left="280"/>
              <w:spacing w:after="0"/>
              <w:rPr>
                <w:sz w:val="20"/>
                <w:szCs w:val="20"/>
                <w:color w:val="auto"/>
              </w:rPr>
            </w:pPr>
            <w:r>
              <w:rPr>
                <w:rFonts w:ascii="Arial" w:cs="Arial" w:eastAsia="Arial" w:hAnsi="Arial"/>
                <w:sz w:val="11"/>
                <w:szCs w:val="11"/>
                <w:color w:val="auto"/>
              </w:rPr>
              <w:t>Inventories</w:t>
            </w:r>
          </w:p>
        </w:tc>
        <w:tc>
          <w:tcPr>
            <w:tcW w:w="22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Arial" w:cs="Arial" w:eastAsia="Arial" w:hAnsi="Arial"/>
                <w:sz w:val="11"/>
                <w:szCs w:val="11"/>
                <w:color w:val="auto"/>
              </w:rPr>
              <w:t>(177,864)</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Arial" w:cs="Arial" w:eastAsia="Arial" w:hAnsi="Arial"/>
                <w:sz w:val="11"/>
                <w:szCs w:val="11"/>
                <w:color w:val="auto"/>
              </w:rPr>
              <w:t>26,041</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Arial" w:cs="Arial" w:eastAsia="Arial" w:hAnsi="Arial"/>
                <w:sz w:val="11"/>
                <w:szCs w:val="11"/>
                <w:color w:val="auto"/>
              </w:rPr>
              <w:t>(111,748)</w:t>
            </w:r>
          </w:p>
        </w:tc>
        <w:tc>
          <w:tcPr>
            <w:tcW w:w="0" w:type="dxa"/>
            <w:vAlign w:val="bottom"/>
          </w:tcPr>
          <w:p>
            <w:pPr>
              <w:spacing w:after="0"/>
              <w:rPr>
                <w:sz w:val="1"/>
                <w:szCs w:val="1"/>
                <w:color w:val="auto"/>
              </w:rPr>
            </w:pPr>
          </w:p>
        </w:tc>
      </w:tr>
      <w:tr>
        <w:trPr>
          <w:trHeight w:val="154"/>
        </w:trPr>
        <w:tc>
          <w:tcPr>
            <w:tcW w:w="6160" w:type="dxa"/>
            <w:vAlign w:val="bottom"/>
            <w:shd w:val="clear" w:color="auto" w:fill="CCEEFF"/>
          </w:tcPr>
          <w:p>
            <w:pPr>
              <w:ind w:left="280"/>
              <w:spacing w:after="0"/>
              <w:rPr>
                <w:sz w:val="20"/>
                <w:szCs w:val="20"/>
                <w:color w:val="auto"/>
              </w:rPr>
            </w:pPr>
            <w:r>
              <w:rPr>
                <w:rFonts w:ascii="Arial" w:cs="Arial" w:eastAsia="Arial" w:hAnsi="Arial"/>
                <w:sz w:val="11"/>
                <w:szCs w:val="11"/>
                <w:color w:val="auto"/>
              </w:rPr>
              <w:t>Prepaid expenses and other current assets</w:t>
            </w:r>
          </w:p>
        </w:tc>
        <w:tc>
          <w:tcPr>
            <w:tcW w:w="220" w:type="dxa"/>
            <w:vAlign w:val="bottom"/>
            <w:shd w:val="clear" w:color="auto" w:fill="CCEEFF"/>
          </w:tcPr>
          <w:p>
            <w:pPr>
              <w:spacing w:after="0"/>
              <w:rPr>
                <w:sz w:val="13"/>
                <w:szCs w:val="1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(53,797)</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(50,347)</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(15,490)</w:t>
            </w:r>
          </w:p>
        </w:tc>
        <w:tc>
          <w:tcPr>
            <w:tcW w:w="0" w:type="dxa"/>
            <w:vAlign w:val="bottom"/>
          </w:tcPr>
          <w:p>
            <w:pPr>
              <w:spacing w:after="0"/>
              <w:rPr>
                <w:sz w:val="1"/>
                <w:szCs w:val="1"/>
                <w:color w:val="auto"/>
              </w:rPr>
            </w:pPr>
          </w:p>
        </w:tc>
      </w:tr>
      <w:tr>
        <w:trPr>
          <w:trHeight w:val="143"/>
        </w:trPr>
        <w:tc>
          <w:tcPr>
            <w:tcW w:w="6160" w:type="dxa"/>
            <w:vAlign w:val="bottom"/>
          </w:tcPr>
          <w:p>
            <w:pPr>
              <w:ind w:left="280"/>
              <w:spacing w:after="0"/>
              <w:rPr>
                <w:sz w:val="20"/>
                <w:szCs w:val="20"/>
                <w:color w:val="auto"/>
              </w:rPr>
            </w:pPr>
            <w:r>
              <w:rPr>
                <w:rFonts w:ascii="Arial" w:cs="Arial" w:eastAsia="Arial" w:hAnsi="Arial"/>
                <w:sz w:val="11"/>
                <w:szCs w:val="11"/>
                <w:color w:val="auto"/>
              </w:rPr>
              <w:t>Accounts payable and accrued expenses</w:t>
            </w:r>
          </w:p>
        </w:tc>
        <w:tc>
          <w:tcPr>
            <w:tcW w:w="22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Arial" w:cs="Arial" w:eastAsia="Arial" w:hAnsi="Arial"/>
                <w:sz w:val="11"/>
                <w:szCs w:val="11"/>
                <w:color w:val="auto"/>
              </w:rPr>
              <w:t>359,589</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Arial" w:cs="Arial" w:eastAsia="Arial" w:hAnsi="Arial"/>
                <w:sz w:val="11"/>
                <w:szCs w:val="11"/>
                <w:color w:val="auto"/>
              </w:rPr>
              <w:t>295,327</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Arial" w:cs="Arial" w:eastAsia="Arial" w:hAnsi="Arial"/>
                <w:sz w:val="11"/>
                <w:szCs w:val="11"/>
                <w:color w:val="auto"/>
              </w:rPr>
              <w:t>119,892</w:t>
            </w:r>
          </w:p>
        </w:tc>
        <w:tc>
          <w:tcPr>
            <w:tcW w:w="0" w:type="dxa"/>
            <w:vAlign w:val="bottom"/>
          </w:tcPr>
          <w:p>
            <w:pPr>
              <w:spacing w:after="0"/>
              <w:rPr>
                <w:sz w:val="1"/>
                <w:szCs w:val="1"/>
                <w:color w:val="auto"/>
              </w:rPr>
            </w:pPr>
          </w:p>
        </w:tc>
      </w:tr>
      <w:tr>
        <w:trPr>
          <w:trHeight w:val="154"/>
        </w:trPr>
        <w:tc>
          <w:tcPr>
            <w:tcW w:w="6160" w:type="dxa"/>
            <w:vAlign w:val="bottom"/>
            <w:shd w:val="clear" w:color="auto" w:fill="CCEEFF"/>
          </w:tcPr>
          <w:p>
            <w:pPr>
              <w:ind w:left="280"/>
              <w:spacing w:after="0"/>
              <w:rPr>
                <w:sz w:val="20"/>
                <w:szCs w:val="20"/>
                <w:color w:val="auto"/>
              </w:rPr>
            </w:pPr>
            <w:r>
              <w:rPr>
                <w:rFonts w:ascii="Arial" w:cs="Arial" w:eastAsia="Arial" w:hAnsi="Arial"/>
                <w:sz w:val="11"/>
                <w:szCs w:val="11"/>
                <w:color w:val="auto"/>
              </w:rPr>
              <w:t>Income taxes</w:t>
            </w:r>
          </w:p>
        </w:tc>
        <w:tc>
          <w:tcPr>
            <w:tcW w:w="220" w:type="dxa"/>
            <w:vAlign w:val="bottom"/>
            <w:shd w:val="clear" w:color="auto" w:fill="CCEEFF"/>
          </w:tcPr>
          <w:p>
            <w:pPr>
              <w:spacing w:after="0"/>
              <w:rPr>
                <w:sz w:val="13"/>
                <w:szCs w:val="1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115,216</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(39,436)</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(26,378)</w:t>
            </w:r>
          </w:p>
        </w:tc>
        <w:tc>
          <w:tcPr>
            <w:tcW w:w="0" w:type="dxa"/>
            <w:vAlign w:val="bottom"/>
          </w:tcPr>
          <w:p>
            <w:pPr>
              <w:spacing w:after="0"/>
              <w:rPr>
                <w:sz w:val="1"/>
                <w:szCs w:val="1"/>
                <w:color w:val="auto"/>
              </w:rPr>
            </w:pPr>
          </w:p>
        </w:tc>
      </w:tr>
      <w:tr>
        <w:trPr>
          <w:trHeight w:val="143"/>
        </w:trPr>
        <w:tc>
          <w:tcPr>
            <w:tcW w:w="6160" w:type="dxa"/>
            <w:vAlign w:val="bottom"/>
          </w:tcPr>
          <w:p>
            <w:pPr>
              <w:ind w:left="280"/>
              <w:spacing w:after="0"/>
              <w:rPr>
                <w:sz w:val="20"/>
                <w:szCs w:val="20"/>
                <w:color w:val="auto"/>
              </w:rPr>
            </w:pPr>
            <w:r>
              <w:rPr>
                <w:rFonts w:ascii="Arial" w:cs="Arial" w:eastAsia="Arial" w:hAnsi="Arial"/>
                <w:sz w:val="11"/>
                <w:szCs w:val="11"/>
                <w:color w:val="auto"/>
              </w:rPr>
              <w:t>Long-term pension and other postretirement obligations</w:t>
            </w:r>
          </w:p>
        </w:tc>
        <w:tc>
          <w:tcPr>
            <w:tcW w:w="22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Arial" w:cs="Arial" w:eastAsia="Arial" w:hAnsi="Arial"/>
                <w:sz w:val="11"/>
                <w:szCs w:val="11"/>
                <w:color w:val="auto"/>
              </w:rPr>
              <w:t>(18,461)</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Arial" w:cs="Arial" w:eastAsia="Arial" w:hAnsi="Arial"/>
                <w:sz w:val="11"/>
                <w:szCs w:val="11"/>
                <w:color w:val="auto"/>
              </w:rPr>
              <w:t>(7,883)</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Arial" w:cs="Arial" w:eastAsia="Arial" w:hAnsi="Arial"/>
                <w:sz w:val="11"/>
                <w:szCs w:val="11"/>
                <w:color w:val="auto"/>
              </w:rPr>
              <w:t>(9,221)</w:t>
            </w:r>
          </w:p>
        </w:tc>
        <w:tc>
          <w:tcPr>
            <w:tcW w:w="0" w:type="dxa"/>
            <w:vAlign w:val="bottom"/>
          </w:tcPr>
          <w:p>
            <w:pPr>
              <w:spacing w:after="0"/>
              <w:rPr>
                <w:sz w:val="1"/>
                <w:szCs w:val="1"/>
                <w:color w:val="auto"/>
              </w:rPr>
            </w:pPr>
          </w:p>
        </w:tc>
      </w:tr>
      <w:tr>
        <w:trPr>
          <w:trHeight w:val="154"/>
        </w:trPr>
        <w:tc>
          <w:tcPr>
            <w:tcW w:w="6160" w:type="dxa"/>
            <w:vAlign w:val="bottom"/>
            <w:shd w:val="clear" w:color="auto" w:fill="CCEEFF"/>
          </w:tcPr>
          <w:p>
            <w:pPr>
              <w:ind w:left="280"/>
              <w:spacing w:after="0"/>
              <w:rPr>
                <w:sz w:val="20"/>
                <w:szCs w:val="20"/>
                <w:color w:val="auto"/>
              </w:rPr>
            </w:pPr>
            <w:r>
              <w:rPr>
                <w:rFonts w:ascii="Arial" w:cs="Arial" w:eastAsia="Arial" w:hAnsi="Arial"/>
                <w:sz w:val="11"/>
                <w:szCs w:val="11"/>
                <w:color w:val="auto"/>
              </w:rPr>
              <w:t>Other operating assets and liabilities</w:t>
            </w:r>
          </w:p>
        </w:tc>
        <w:tc>
          <w:tcPr>
            <w:tcW w:w="220" w:type="dxa"/>
            <w:vAlign w:val="bottom"/>
            <w:tcBorders>
              <w:bottom w:val="single" w:sz="8" w:color="auto"/>
            </w:tcBorders>
            <w:shd w:val="clear" w:color="auto" w:fill="CCEEFF"/>
          </w:tcPr>
          <w:p>
            <w:pPr>
              <w:spacing w:after="0"/>
              <w:rPr>
                <w:sz w:val="13"/>
                <w:szCs w:val="1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(5,826)</w:t>
            </w:r>
          </w:p>
        </w:tc>
        <w:tc>
          <w:tcPr>
            <w:tcW w:w="1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6,608</w:t>
            </w:r>
          </w:p>
        </w:tc>
        <w:tc>
          <w:tcPr>
            <w:tcW w:w="1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5,764</w:t>
            </w:r>
          </w:p>
        </w:tc>
        <w:tc>
          <w:tcPr>
            <w:tcW w:w="0" w:type="dxa"/>
            <w:vAlign w:val="bottom"/>
          </w:tcPr>
          <w:p>
            <w:pPr>
              <w:spacing w:after="0"/>
              <w:rPr>
                <w:sz w:val="1"/>
                <w:szCs w:val="1"/>
                <w:color w:val="auto"/>
              </w:rPr>
            </w:pPr>
          </w:p>
        </w:tc>
      </w:tr>
      <w:tr>
        <w:trPr>
          <w:trHeight w:val="134"/>
        </w:trPr>
        <w:tc>
          <w:tcPr>
            <w:tcW w:w="6160" w:type="dxa"/>
            <w:vAlign w:val="bottom"/>
          </w:tcPr>
          <w:p>
            <w:pPr>
              <w:ind w:left="360"/>
              <w:spacing w:after="0"/>
              <w:rPr>
                <w:sz w:val="20"/>
                <w:szCs w:val="20"/>
                <w:color w:val="auto"/>
              </w:rPr>
            </w:pPr>
            <w:r>
              <w:rPr>
                <w:rFonts w:ascii="Arial" w:cs="Arial" w:eastAsia="Arial" w:hAnsi="Arial"/>
                <w:sz w:val="11"/>
                <w:szCs w:val="11"/>
                <w:color w:val="auto"/>
              </w:rPr>
              <w:t>Cash provided by operating activities</w:t>
            </w:r>
          </w:p>
        </w:tc>
        <w:tc>
          <w:tcPr>
            <w:tcW w:w="220" w:type="dxa"/>
            <w:vAlign w:val="bottom"/>
          </w:tcPr>
          <w:p>
            <w:pPr>
              <w:spacing w:after="0"/>
              <w:rPr>
                <w:sz w:val="11"/>
                <w:szCs w:val="11"/>
                <w:color w:val="auto"/>
              </w:rPr>
            </w:pPr>
          </w:p>
        </w:tc>
        <w:tc>
          <w:tcPr>
            <w:tcW w:w="1420" w:type="dxa"/>
            <w:vAlign w:val="bottom"/>
          </w:tcPr>
          <w:p>
            <w:pPr>
              <w:jc w:val="right"/>
              <w:spacing w:after="0"/>
              <w:rPr>
                <w:sz w:val="20"/>
                <w:szCs w:val="20"/>
                <w:color w:val="auto"/>
              </w:rPr>
            </w:pPr>
            <w:r>
              <w:rPr>
                <w:rFonts w:ascii="Arial" w:cs="Arial" w:eastAsia="Arial" w:hAnsi="Arial"/>
                <w:sz w:val="11"/>
                <w:szCs w:val="11"/>
                <w:color w:val="auto"/>
              </w:rPr>
              <w:t>326,459</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20" w:type="dxa"/>
            <w:vAlign w:val="bottom"/>
          </w:tcPr>
          <w:p>
            <w:pPr>
              <w:jc w:val="right"/>
              <w:spacing w:after="0"/>
              <w:rPr>
                <w:sz w:val="20"/>
                <w:szCs w:val="20"/>
                <w:color w:val="auto"/>
              </w:rPr>
            </w:pPr>
            <w:r>
              <w:rPr>
                <w:rFonts w:ascii="Arial" w:cs="Arial" w:eastAsia="Arial" w:hAnsi="Arial"/>
                <w:sz w:val="11"/>
                <w:szCs w:val="11"/>
                <w:color w:val="auto"/>
              </w:rPr>
              <w:t>724,247</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20" w:type="dxa"/>
            <w:vAlign w:val="bottom"/>
          </w:tcPr>
          <w:p>
            <w:pPr>
              <w:jc w:val="right"/>
              <w:spacing w:after="0"/>
              <w:rPr>
                <w:sz w:val="20"/>
                <w:szCs w:val="20"/>
                <w:color w:val="auto"/>
              </w:rPr>
            </w:pPr>
            <w:r>
              <w:rPr>
                <w:rFonts w:ascii="Arial" w:cs="Arial" w:eastAsia="Arial" w:hAnsi="Arial"/>
                <w:sz w:val="11"/>
                <w:szCs w:val="11"/>
                <w:color w:val="auto"/>
              </w:rPr>
              <w:t>666,521</w:t>
            </w:r>
          </w:p>
        </w:tc>
        <w:tc>
          <w:tcPr>
            <w:tcW w:w="0" w:type="dxa"/>
            <w:vAlign w:val="bottom"/>
          </w:tcPr>
          <w:p>
            <w:pPr>
              <w:spacing w:after="0"/>
              <w:rPr>
                <w:sz w:val="1"/>
                <w:szCs w:val="1"/>
                <w:color w:val="auto"/>
              </w:rPr>
            </w:pPr>
          </w:p>
        </w:tc>
      </w:tr>
      <w:tr>
        <w:trPr>
          <w:trHeight w:val="154"/>
        </w:trPr>
        <w:tc>
          <w:tcPr>
            <w:tcW w:w="616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Cash flows from investing activities:</w:t>
            </w:r>
          </w:p>
        </w:tc>
        <w:tc>
          <w:tcPr>
            <w:tcW w:w="22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6160" w:type="dxa"/>
            <w:vAlign w:val="bottom"/>
          </w:tcPr>
          <w:p>
            <w:pPr>
              <w:ind w:left="100"/>
              <w:spacing w:after="0"/>
              <w:rPr>
                <w:sz w:val="20"/>
                <w:szCs w:val="20"/>
                <w:color w:val="auto"/>
              </w:rPr>
            </w:pPr>
            <w:r>
              <w:rPr>
                <w:rFonts w:ascii="Arial" w:cs="Arial" w:eastAsia="Arial" w:hAnsi="Arial"/>
                <w:sz w:val="11"/>
                <w:szCs w:val="11"/>
                <w:color w:val="auto"/>
              </w:rPr>
              <w:t>Purchase of acquired businesses, net of cash acquired</w:t>
            </w:r>
          </w:p>
        </w:tc>
        <w:tc>
          <w:tcPr>
            <w:tcW w:w="22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Arial" w:cs="Arial" w:eastAsia="Arial" w:hAnsi="Arial"/>
                <w:sz w:val="11"/>
                <w:szCs w:val="11"/>
                <w:color w:val="auto"/>
              </w:rPr>
              <w:t>(966,766)</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Arial" w:cs="Arial" w:eastAsia="Arial" w:hAnsi="Arial"/>
                <w:sz w:val="11"/>
                <w:szCs w:val="11"/>
                <w:color w:val="auto"/>
              </w:rPr>
              <w:t>(4,216)</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Arial" w:cs="Arial" w:eastAsia="Arial" w:hAnsi="Arial"/>
                <w:sz w:val="11"/>
                <w:szCs w:val="11"/>
                <w:color w:val="auto"/>
              </w:rPr>
              <w:t>(384,694)</w:t>
            </w:r>
          </w:p>
        </w:tc>
        <w:tc>
          <w:tcPr>
            <w:tcW w:w="0" w:type="dxa"/>
            <w:vAlign w:val="bottom"/>
          </w:tcPr>
          <w:p>
            <w:pPr>
              <w:spacing w:after="0"/>
              <w:rPr>
                <w:sz w:val="1"/>
                <w:szCs w:val="1"/>
                <w:color w:val="auto"/>
              </w:rPr>
            </w:pPr>
          </w:p>
        </w:tc>
      </w:tr>
      <w:tr>
        <w:trPr>
          <w:trHeight w:val="154"/>
        </w:trPr>
        <w:tc>
          <w:tcPr>
            <w:tcW w:w="6160" w:type="dxa"/>
            <w:vAlign w:val="bottom"/>
            <w:shd w:val="clear" w:color="auto" w:fill="CCEEFF"/>
          </w:tcPr>
          <w:p>
            <w:pPr>
              <w:ind w:left="100"/>
              <w:spacing w:after="0"/>
              <w:rPr>
                <w:sz w:val="20"/>
                <w:szCs w:val="20"/>
                <w:color w:val="auto"/>
              </w:rPr>
            </w:pPr>
            <w:r>
              <w:rPr>
                <w:rFonts w:ascii="Arial" w:cs="Arial" w:eastAsia="Arial" w:hAnsi="Arial"/>
                <w:sz w:val="11"/>
                <w:szCs w:val="11"/>
                <w:color w:val="auto"/>
              </w:rPr>
              <w:t>Acquisitions of property, plant and equipment</w:t>
            </w:r>
          </w:p>
        </w:tc>
        <w:tc>
          <w:tcPr>
            <w:tcW w:w="220" w:type="dxa"/>
            <w:vAlign w:val="bottom"/>
            <w:shd w:val="clear" w:color="auto" w:fill="CCEEFF"/>
          </w:tcPr>
          <w:p>
            <w:pPr>
              <w:spacing w:after="0"/>
              <w:rPr>
                <w:sz w:val="13"/>
                <w:szCs w:val="1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(381,671)</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(354,762)</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(348,120)</w:t>
            </w:r>
          </w:p>
        </w:tc>
        <w:tc>
          <w:tcPr>
            <w:tcW w:w="0" w:type="dxa"/>
            <w:vAlign w:val="bottom"/>
          </w:tcPr>
          <w:p>
            <w:pPr>
              <w:spacing w:after="0"/>
              <w:rPr>
                <w:sz w:val="1"/>
                <w:szCs w:val="1"/>
                <w:color w:val="auto"/>
              </w:rPr>
            </w:pPr>
          </w:p>
        </w:tc>
      </w:tr>
      <w:tr>
        <w:trPr>
          <w:trHeight w:val="143"/>
        </w:trPr>
        <w:tc>
          <w:tcPr>
            <w:tcW w:w="6160" w:type="dxa"/>
            <w:vAlign w:val="bottom"/>
            <w:tcBorders>
              <w:bottom w:val="single" w:sz="8" w:color="CCEEFF"/>
            </w:tcBorders>
          </w:tcPr>
          <w:p>
            <w:pPr>
              <w:ind w:left="100"/>
              <w:spacing w:after="0"/>
              <w:rPr>
                <w:sz w:val="20"/>
                <w:szCs w:val="20"/>
                <w:color w:val="auto"/>
              </w:rPr>
            </w:pPr>
            <w:r>
              <w:rPr>
                <w:rFonts w:ascii="Arial" w:cs="Arial" w:eastAsia="Arial" w:hAnsi="Arial"/>
                <w:sz w:val="11"/>
                <w:szCs w:val="11"/>
                <w:color w:val="auto"/>
              </w:rPr>
              <w:t>Proceeds from property disposals</w:t>
            </w:r>
          </w:p>
        </w:tc>
        <w:tc>
          <w:tcPr>
            <w:tcW w:w="22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24,724</w:t>
            </w: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31,976</w:t>
            </w: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15,753</w:t>
            </w:r>
          </w:p>
        </w:tc>
        <w:tc>
          <w:tcPr>
            <w:tcW w:w="0" w:type="dxa"/>
            <w:vAlign w:val="bottom"/>
          </w:tcPr>
          <w:p>
            <w:pPr>
              <w:spacing w:after="0"/>
              <w:rPr>
                <w:sz w:val="1"/>
                <w:szCs w:val="1"/>
                <w:color w:val="auto"/>
              </w:rPr>
            </w:pPr>
          </w:p>
        </w:tc>
      </w:tr>
      <w:tr>
        <w:trPr>
          <w:trHeight w:val="144"/>
        </w:trPr>
        <w:tc>
          <w:tcPr>
            <w:tcW w:w="6160" w:type="dxa"/>
            <w:vAlign w:val="bottom"/>
            <w:shd w:val="clear" w:color="auto" w:fill="CCEEFF"/>
          </w:tcPr>
          <w:p>
            <w:pPr>
              <w:ind w:left="360"/>
              <w:spacing w:after="0"/>
              <w:rPr>
                <w:sz w:val="20"/>
                <w:szCs w:val="20"/>
                <w:color w:val="auto"/>
              </w:rPr>
            </w:pPr>
            <w:r>
              <w:rPr>
                <w:rFonts w:ascii="Arial" w:cs="Arial" w:eastAsia="Arial" w:hAnsi="Arial"/>
                <w:sz w:val="11"/>
                <w:szCs w:val="11"/>
                <w:color w:val="auto"/>
              </w:rPr>
              <w:t>Cash used in investing activities</w:t>
            </w:r>
          </w:p>
        </w:tc>
        <w:tc>
          <w:tcPr>
            <w:tcW w:w="220" w:type="dxa"/>
            <w:vAlign w:val="bottom"/>
            <w:shd w:val="clear" w:color="auto" w:fill="CCEEFF"/>
          </w:tcPr>
          <w:p>
            <w:pPr>
              <w:spacing w:after="0"/>
              <w:rPr>
                <w:sz w:val="12"/>
                <w:szCs w:val="1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(1,323,713)</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(327,002)</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(717,061)</w:t>
            </w:r>
          </w:p>
        </w:tc>
        <w:tc>
          <w:tcPr>
            <w:tcW w:w="0" w:type="dxa"/>
            <w:vAlign w:val="bottom"/>
          </w:tcPr>
          <w:p>
            <w:pPr>
              <w:spacing w:after="0"/>
              <w:rPr>
                <w:sz w:val="1"/>
                <w:szCs w:val="1"/>
                <w:color w:val="auto"/>
              </w:rPr>
            </w:pPr>
          </w:p>
        </w:tc>
      </w:tr>
      <w:tr>
        <w:trPr>
          <w:trHeight w:val="144"/>
        </w:trPr>
        <w:tc>
          <w:tcPr>
            <w:tcW w:w="6160" w:type="dxa"/>
            <w:vAlign w:val="bottom"/>
          </w:tcPr>
          <w:p>
            <w:pPr>
              <w:ind w:left="20"/>
              <w:spacing w:after="0"/>
              <w:rPr>
                <w:sz w:val="20"/>
                <w:szCs w:val="20"/>
                <w:color w:val="auto"/>
              </w:rPr>
            </w:pPr>
            <w:r>
              <w:rPr>
                <w:rFonts w:ascii="Arial" w:cs="Arial" w:eastAsia="Arial" w:hAnsi="Arial"/>
                <w:sz w:val="11"/>
                <w:szCs w:val="11"/>
                <w:b w:val="1"/>
                <w:bCs w:val="1"/>
                <w:color w:val="auto"/>
              </w:rPr>
              <w:t>Cash flows from financing activities:</w:t>
            </w:r>
          </w:p>
        </w:tc>
        <w:tc>
          <w:tcPr>
            <w:tcW w:w="2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6160" w:type="dxa"/>
            <w:vAlign w:val="bottom"/>
            <w:shd w:val="clear" w:color="auto" w:fill="CCEEFF"/>
          </w:tcPr>
          <w:p>
            <w:pPr>
              <w:ind w:left="100"/>
              <w:spacing w:after="0"/>
              <w:rPr>
                <w:sz w:val="20"/>
                <w:szCs w:val="20"/>
                <w:color w:val="auto"/>
              </w:rPr>
            </w:pPr>
            <w:r>
              <w:rPr>
                <w:rFonts w:ascii="Arial" w:cs="Arial" w:eastAsia="Arial" w:hAnsi="Arial"/>
                <w:sz w:val="11"/>
                <w:szCs w:val="11"/>
                <w:color w:val="auto"/>
              </w:rPr>
              <w:t>Proceeds from revolving line of credit and long-term borrowings</w:t>
            </w:r>
          </w:p>
        </w:tc>
        <w:tc>
          <w:tcPr>
            <w:tcW w:w="220" w:type="dxa"/>
            <w:vAlign w:val="bottom"/>
            <w:shd w:val="clear" w:color="auto" w:fill="CCEEFF"/>
          </w:tcPr>
          <w:p>
            <w:pPr>
              <w:spacing w:after="0"/>
              <w:rPr>
                <w:sz w:val="13"/>
                <w:szCs w:val="1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2,951,707</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404,522</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259,466</w:t>
            </w:r>
          </w:p>
        </w:tc>
        <w:tc>
          <w:tcPr>
            <w:tcW w:w="0" w:type="dxa"/>
            <w:vAlign w:val="bottom"/>
          </w:tcPr>
          <w:p>
            <w:pPr>
              <w:spacing w:after="0"/>
              <w:rPr>
                <w:sz w:val="1"/>
                <w:szCs w:val="1"/>
                <w:color w:val="auto"/>
              </w:rPr>
            </w:pPr>
          </w:p>
        </w:tc>
      </w:tr>
      <w:tr>
        <w:trPr>
          <w:trHeight w:val="143"/>
        </w:trPr>
        <w:tc>
          <w:tcPr>
            <w:tcW w:w="6160" w:type="dxa"/>
            <w:vAlign w:val="bottom"/>
          </w:tcPr>
          <w:p>
            <w:pPr>
              <w:ind w:left="100"/>
              <w:spacing w:after="0"/>
              <w:rPr>
                <w:sz w:val="20"/>
                <w:szCs w:val="20"/>
                <w:color w:val="auto"/>
              </w:rPr>
            </w:pPr>
            <w:r>
              <w:rPr>
                <w:rFonts w:ascii="Arial" w:cs="Arial" w:eastAsia="Arial" w:hAnsi="Arial"/>
                <w:sz w:val="11"/>
                <w:szCs w:val="11"/>
                <w:color w:val="auto"/>
              </w:rPr>
              <w:t>Payments on revolving line of credit, long-term borrowings and finance lease obligations</w:t>
            </w:r>
          </w:p>
        </w:tc>
        <w:tc>
          <w:tcPr>
            <w:tcW w:w="22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Arial" w:cs="Arial" w:eastAsia="Arial" w:hAnsi="Arial"/>
                <w:sz w:val="11"/>
                <w:szCs w:val="11"/>
                <w:color w:val="auto"/>
              </w:rPr>
              <w:t>(2,006,195)</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Arial" w:cs="Arial" w:eastAsia="Arial" w:hAnsi="Arial"/>
                <w:sz w:val="11"/>
                <w:szCs w:val="11"/>
                <w:color w:val="auto"/>
              </w:rPr>
              <w:t>(430,988)</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Arial" w:cs="Arial" w:eastAsia="Arial" w:hAnsi="Arial"/>
                <w:sz w:val="11"/>
                <w:szCs w:val="11"/>
                <w:color w:val="auto"/>
              </w:rPr>
              <w:t>(289,917)</w:t>
            </w:r>
          </w:p>
        </w:tc>
        <w:tc>
          <w:tcPr>
            <w:tcW w:w="0" w:type="dxa"/>
            <w:vAlign w:val="bottom"/>
          </w:tcPr>
          <w:p>
            <w:pPr>
              <w:spacing w:after="0"/>
              <w:rPr>
                <w:sz w:val="1"/>
                <w:szCs w:val="1"/>
                <w:color w:val="auto"/>
              </w:rPr>
            </w:pPr>
          </w:p>
        </w:tc>
      </w:tr>
      <w:tr>
        <w:trPr>
          <w:trHeight w:val="154"/>
        </w:trPr>
        <w:tc>
          <w:tcPr>
            <w:tcW w:w="6160" w:type="dxa"/>
            <w:vAlign w:val="bottom"/>
            <w:shd w:val="clear" w:color="auto" w:fill="CCEEFF"/>
          </w:tcPr>
          <w:p>
            <w:pPr>
              <w:ind w:left="100"/>
              <w:spacing w:after="0"/>
              <w:rPr>
                <w:sz w:val="20"/>
                <w:szCs w:val="20"/>
                <w:color w:val="auto"/>
              </w:rPr>
            </w:pPr>
            <w:r>
              <w:rPr>
                <w:rFonts w:ascii="Arial" w:cs="Arial" w:eastAsia="Arial" w:hAnsi="Arial"/>
                <w:sz w:val="11"/>
                <w:szCs w:val="11"/>
                <w:color w:val="auto"/>
              </w:rPr>
              <w:t>Payment of capitalized loan costs</w:t>
            </w:r>
          </w:p>
        </w:tc>
        <w:tc>
          <w:tcPr>
            <w:tcW w:w="220" w:type="dxa"/>
            <w:vAlign w:val="bottom"/>
            <w:shd w:val="clear" w:color="auto" w:fill="CCEEFF"/>
          </w:tcPr>
          <w:p>
            <w:pPr>
              <w:spacing w:after="0"/>
              <w:rPr>
                <w:sz w:val="13"/>
                <w:szCs w:val="1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(22,293)</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3"/>
                <w:szCs w:val="1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(652)</w:t>
            </w:r>
          </w:p>
        </w:tc>
        <w:tc>
          <w:tcPr>
            <w:tcW w:w="0" w:type="dxa"/>
            <w:vAlign w:val="bottom"/>
          </w:tcPr>
          <w:p>
            <w:pPr>
              <w:spacing w:after="0"/>
              <w:rPr>
                <w:sz w:val="1"/>
                <w:szCs w:val="1"/>
                <w:color w:val="auto"/>
              </w:rPr>
            </w:pPr>
          </w:p>
        </w:tc>
      </w:tr>
      <w:tr>
        <w:trPr>
          <w:trHeight w:val="143"/>
        </w:trPr>
        <w:tc>
          <w:tcPr>
            <w:tcW w:w="6160" w:type="dxa"/>
            <w:vAlign w:val="bottom"/>
          </w:tcPr>
          <w:p>
            <w:pPr>
              <w:ind w:left="100"/>
              <w:spacing w:after="0"/>
              <w:rPr>
                <w:sz w:val="20"/>
                <w:szCs w:val="20"/>
                <w:color w:val="auto"/>
              </w:rPr>
            </w:pPr>
            <w:r>
              <w:rPr>
                <w:rFonts w:ascii="Arial" w:cs="Arial" w:eastAsia="Arial" w:hAnsi="Arial"/>
                <w:sz w:val="11"/>
                <w:szCs w:val="11"/>
                <w:color w:val="auto"/>
              </w:rPr>
              <w:t>Payment on early extinguishment of debt</w:t>
            </w:r>
          </w:p>
        </w:tc>
        <w:tc>
          <w:tcPr>
            <w:tcW w:w="22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Arial" w:cs="Arial" w:eastAsia="Arial" w:hAnsi="Arial"/>
                <w:sz w:val="11"/>
                <w:szCs w:val="11"/>
                <w:color w:val="auto"/>
              </w:rPr>
              <w:t>(21,258)</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4"/>
        </w:trPr>
        <w:tc>
          <w:tcPr>
            <w:tcW w:w="6160" w:type="dxa"/>
            <w:vAlign w:val="bottom"/>
            <w:shd w:val="clear" w:color="auto" w:fill="CCEEFF"/>
          </w:tcPr>
          <w:p>
            <w:pPr>
              <w:ind w:left="100"/>
              <w:spacing w:after="0"/>
              <w:rPr>
                <w:sz w:val="20"/>
                <w:szCs w:val="20"/>
                <w:color w:val="auto"/>
              </w:rPr>
            </w:pPr>
            <w:r>
              <w:rPr>
                <w:rFonts w:ascii="Arial" w:cs="Arial" w:eastAsia="Arial" w:hAnsi="Arial"/>
                <w:sz w:val="11"/>
                <w:szCs w:val="11"/>
                <w:color w:val="auto"/>
              </w:rPr>
              <w:t>Distribution of capital under the TSA</w:t>
            </w:r>
          </w:p>
        </w:tc>
        <w:tc>
          <w:tcPr>
            <w:tcW w:w="220" w:type="dxa"/>
            <w:vAlign w:val="bottom"/>
            <w:shd w:val="clear" w:color="auto" w:fill="CCEEFF"/>
          </w:tcPr>
          <w:p>
            <w:pPr>
              <w:spacing w:after="0"/>
              <w:rPr>
                <w:sz w:val="13"/>
                <w:szCs w:val="1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(650)</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3"/>
                <w:szCs w:val="1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(525)</w:t>
            </w:r>
          </w:p>
        </w:tc>
        <w:tc>
          <w:tcPr>
            <w:tcW w:w="0" w:type="dxa"/>
            <w:vAlign w:val="bottom"/>
          </w:tcPr>
          <w:p>
            <w:pPr>
              <w:spacing w:after="0"/>
              <w:rPr>
                <w:sz w:val="1"/>
                <w:szCs w:val="1"/>
                <w:color w:val="auto"/>
              </w:rPr>
            </w:pPr>
          </w:p>
        </w:tc>
      </w:tr>
      <w:tr>
        <w:trPr>
          <w:trHeight w:val="143"/>
        </w:trPr>
        <w:tc>
          <w:tcPr>
            <w:tcW w:w="6160" w:type="dxa"/>
            <w:vAlign w:val="bottom"/>
          </w:tcPr>
          <w:p>
            <w:pPr>
              <w:ind w:left="100"/>
              <w:spacing w:after="0"/>
              <w:rPr>
                <w:sz w:val="20"/>
                <w:szCs w:val="20"/>
                <w:color w:val="auto"/>
              </w:rPr>
            </w:pPr>
            <w:r>
              <w:rPr>
                <w:rFonts w:ascii="Arial" w:cs="Arial" w:eastAsia="Arial" w:hAnsi="Arial"/>
                <w:sz w:val="11"/>
                <w:szCs w:val="11"/>
                <w:color w:val="auto"/>
              </w:rPr>
              <w:t>Purchase of common stock under stock repurchase program</w:t>
            </w:r>
          </w:p>
        </w:tc>
        <w:tc>
          <w:tcPr>
            <w:tcW w:w="220" w:type="dxa"/>
            <w:vAlign w:val="bottom"/>
          </w:tcPr>
          <w:p>
            <w:pPr>
              <w:spacing w:after="0"/>
              <w:rPr>
                <w:sz w:val="12"/>
                <w:szCs w:val="12"/>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Arial" w:cs="Arial" w:eastAsia="Arial" w:hAnsi="Arial"/>
                <w:sz w:val="11"/>
                <w:szCs w:val="11"/>
                <w:color w:val="auto"/>
              </w:rPr>
              <w:t>(110,242)</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Arial" w:cs="Arial" w:eastAsia="Arial" w:hAnsi="Arial"/>
                <w:sz w:val="11"/>
                <w:szCs w:val="11"/>
                <w:color w:val="auto"/>
              </w:rPr>
              <w:t>(2,898)</w:t>
            </w:r>
          </w:p>
        </w:tc>
        <w:tc>
          <w:tcPr>
            <w:tcW w:w="0" w:type="dxa"/>
            <w:vAlign w:val="bottom"/>
          </w:tcPr>
          <w:p>
            <w:pPr>
              <w:spacing w:after="0"/>
              <w:rPr>
                <w:sz w:val="1"/>
                <w:szCs w:val="1"/>
                <w:color w:val="auto"/>
              </w:rPr>
            </w:pPr>
          </w:p>
        </w:tc>
      </w:tr>
      <w:tr>
        <w:trPr>
          <w:trHeight w:val="144"/>
        </w:trPr>
        <w:tc>
          <w:tcPr>
            <w:tcW w:w="616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1"/>
                <w:szCs w:val="11"/>
                <w:color w:val="auto"/>
              </w:rPr>
              <w:t>Cash provided by (used in) financing activities</w:t>
            </w:r>
          </w:p>
        </w:tc>
        <w:tc>
          <w:tcPr>
            <w:tcW w:w="220" w:type="dxa"/>
            <w:vAlign w:val="bottom"/>
            <w:tcBorders>
              <w:top w:val="single" w:sz="8" w:color="auto"/>
            </w:tcBorders>
            <w:shd w:val="clear" w:color="auto" w:fill="CCEEFF"/>
          </w:tcPr>
          <w:p>
            <w:pPr>
              <w:spacing w:after="0"/>
              <w:rPr>
                <w:sz w:val="12"/>
                <w:szCs w:val="12"/>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901,311</w:t>
            </w:r>
          </w:p>
        </w:tc>
        <w:tc>
          <w:tcPr>
            <w:tcW w:w="1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(136,708)</w:t>
            </w:r>
          </w:p>
        </w:tc>
        <w:tc>
          <w:tcPr>
            <w:tcW w:w="1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(34,526)</w:t>
            </w:r>
          </w:p>
        </w:tc>
        <w:tc>
          <w:tcPr>
            <w:tcW w:w="0" w:type="dxa"/>
            <w:vAlign w:val="bottom"/>
          </w:tcPr>
          <w:p>
            <w:pPr>
              <w:spacing w:after="0"/>
              <w:rPr>
                <w:sz w:val="1"/>
                <w:szCs w:val="1"/>
                <w:color w:val="auto"/>
              </w:rPr>
            </w:pPr>
          </w:p>
        </w:tc>
      </w:tr>
      <w:tr>
        <w:trPr>
          <w:trHeight w:val="143"/>
        </w:trPr>
        <w:tc>
          <w:tcPr>
            <w:tcW w:w="616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Effect of exchange rate changes on cash and cash equivalents</w:t>
            </w:r>
          </w:p>
        </w:tc>
        <w:tc>
          <w:tcPr>
            <w:tcW w:w="22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(2,342)</w:t>
            </w: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7,292</w:t>
            </w: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4,065</w:t>
            </w:r>
          </w:p>
        </w:tc>
        <w:tc>
          <w:tcPr>
            <w:tcW w:w="0" w:type="dxa"/>
            <w:vAlign w:val="bottom"/>
          </w:tcPr>
          <w:p>
            <w:pPr>
              <w:spacing w:after="0"/>
              <w:rPr>
                <w:sz w:val="1"/>
                <w:szCs w:val="1"/>
                <w:color w:val="auto"/>
              </w:rPr>
            </w:pPr>
          </w:p>
        </w:tc>
      </w:tr>
      <w:tr>
        <w:trPr>
          <w:trHeight w:val="144"/>
        </w:trPr>
        <w:tc>
          <w:tcPr>
            <w:tcW w:w="6160" w:type="dxa"/>
            <w:vAlign w:val="bottom"/>
            <w:shd w:val="clear" w:color="auto" w:fill="CCEEFF"/>
          </w:tcPr>
          <w:p>
            <w:pPr>
              <w:ind w:left="20"/>
              <w:spacing w:after="0"/>
              <w:rPr>
                <w:sz w:val="20"/>
                <w:szCs w:val="20"/>
                <w:color w:val="auto"/>
              </w:rPr>
            </w:pPr>
            <w:r>
              <w:rPr>
                <w:rFonts w:ascii="Arial" w:cs="Arial" w:eastAsia="Arial" w:hAnsi="Arial"/>
                <w:sz w:val="11"/>
                <w:szCs w:val="11"/>
                <w:color w:val="auto"/>
              </w:rPr>
              <w:t>Increase (decrease) in cash and cash equivalents</w:t>
            </w:r>
          </w:p>
        </w:tc>
        <w:tc>
          <w:tcPr>
            <w:tcW w:w="220" w:type="dxa"/>
            <w:vAlign w:val="bottom"/>
            <w:shd w:val="clear" w:color="auto" w:fill="CCEEFF"/>
          </w:tcPr>
          <w:p>
            <w:pPr>
              <w:spacing w:after="0"/>
              <w:rPr>
                <w:sz w:val="12"/>
                <w:szCs w:val="1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(98,285)</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267,829</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(81,001)</w:t>
            </w:r>
          </w:p>
        </w:tc>
        <w:tc>
          <w:tcPr>
            <w:tcW w:w="0" w:type="dxa"/>
            <w:vAlign w:val="bottom"/>
          </w:tcPr>
          <w:p>
            <w:pPr>
              <w:spacing w:after="0"/>
              <w:rPr>
                <w:sz w:val="1"/>
                <w:szCs w:val="1"/>
                <w:color w:val="auto"/>
              </w:rPr>
            </w:pPr>
          </w:p>
        </w:tc>
      </w:tr>
      <w:tr>
        <w:trPr>
          <w:trHeight w:val="143"/>
        </w:trPr>
        <w:tc>
          <w:tcPr>
            <w:tcW w:w="616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Cash and cash equivalents, beginning of year</w:t>
            </w:r>
          </w:p>
        </w:tc>
        <w:tc>
          <w:tcPr>
            <w:tcW w:w="22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548,406</w:t>
            </w: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280,577</w:t>
            </w: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361,578</w:t>
            </w:r>
          </w:p>
        </w:tc>
        <w:tc>
          <w:tcPr>
            <w:tcW w:w="0" w:type="dxa"/>
            <w:vAlign w:val="bottom"/>
          </w:tcPr>
          <w:p>
            <w:pPr>
              <w:spacing w:after="0"/>
              <w:rPr>
                <w:sz w:val="1"/>
                <w:szCs w:val="1"/>
                <w:color w:val="auto"/>
              </w:rPr>
            </w:pPr>
          </w:p>
        </w:tc>
      </w:tr>
      <w:tr>
        <w:trPr>
          <w:trHeight w:val="169"/>
        </w:trPr>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Cash and cash equivalents, end of year</w:t>
            </w:r>
          </w:p>
        </w:tc>
        <w:tc>
          <w:tcPr>
            <w:tcW w:w="2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450,121</w:t>
            </w: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548,406</w:t>
            </w: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280,577</w:t>
            </w: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bottom w:val="single" w:sz="8" w:color="CCEEFF"/>
            </w:tcBorders>
            <w:vMerge w:val="restart"/>
          </w:tcPr>
          <w:p>
            <w:pPr>
              <w:ind w:left="20"/>
              <w:spacing w:after="0" w:line="125" w:lineRule="exact"/>
              <w:rPr>
                <w:sz w:val="20"/>
                <w:szCs w:val="20"/>
                <w:color w:val="auto"/>
              </w:rPr>
            </w:pPr>
            <w:r>
              <w:rPr>
                <w:rFonts w:ascii="Arial" w:cs="Arial" w:eastAsia="Arial" w:hAnsi="Arial"/>
                <w:sz w:val="11"/>
                <w:szCs w:val="11"/>
                <w:b w:val="1"/>
                <w:bCs w:val="1"/>
                <w:color w:val="auto"/>
              </w:rPr>
              <w:t>Supplemental Disclosure Information:</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
        </w:trPr>
        <w:tc>
          <w:tcPr>
            <w:tcW w:w="61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6160" w:type="dxa"/>
            <w:vAlign w:val="bottom"/>
            <w:shd w:val="clear" w:color="auto" w:fill="CCEEFF"/>
          </w:tcPr>
          <w:p>
            <w:pPr>
              <w:ind w:left="120"/>
              <w:spacing w:after="0"/>
              <w:rPr>
                <w:sz w:val="20"/>
                <w:szCs w:val="20"/>
                <w:color w:val="auto"/>
              </w:rPr>
            </w:pPr>
            <w:r>
              <w:rPr>
                <w:rFonts w:ascii="Arial" w:cs="Arial" w:eastAsia="Arial" w:hAnsi="Arial"/>
                <w:sz w:val="11"/>
                <w:szCs w:val="11"/>
                <w:color w:val="auto"/>
              </w:rPr>
              <w:t>Interest paid (net of amount capitalized)</w:t>
            </w:r>
          </w:p>
        </w:tc>
        <w:tc>
          <w:tcPr>
            <w:tcW w:w="22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119,328</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130,641</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130,882</w:t>
            </w:r>
          </w:p>
        </w:tc>
        <w:tc>
          <w:tcPr>
            <w:tcW w:w="0" w:type="dxa"/>
            <w:vAlign w:val="bottom"/>
          </w:tcPr>
          <w:p>
            <w:pPr>
              <w:spacing w:after="0"/>
              <w:rPr>
                <w:sz w:val="1"/>
                <w:szCs w:val="1"/>
                <w:color w:val="auto"/>
              </w:rPr>
            </w:pPr>
          </w:p>
        </w:tc>
      </w:tr>
      <w:tr>
        <w:trPr>
          <w:trHeight w:val="138"/>
        </w:trPr>
        <w:tc>
          <w:tcPr>
            <w:tcW w:w="6160" w:type="dxa"/>
            <w:vAlign w:val="bottom"/>
          </w:tcPr>
          <w:p>
            <w:pPr>
              <w:ind w:left="120"/>
              <w:spacing w:after="0"/>
              <w:rPr>
                <w:sz w:val="20"/>
                <w:szCs w:val="20"/>
                <w:color w:val="auto"/>
              </w:rPr>
            </w:pPr>
            <w:r>
              <w:rPr>
                <w:rFonts w:ascii="Arial" w:cs="Arial" w:eastAsia="Arial" w:hAnsi="Arial"/>
                <w:sz w:val="11"/>
                <w:szCs w:val="11"/>
                <w:color w:val="auto"/>
              </w:rPr>
              <w:t>Income taxes paid</w:t>
            </w:r>
          </w:p>
        </w:tc>
        <w:tc>
          <w:tcPr>
            <w:tcW w:w="22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Arial" w:cs="Arial" w:eastAsia="Arial" w:hAnsi="Arial"/>
                <w:sz w:val="11"/>
                <w:szCs w:val="11"/>
                <w:color w:val="auto"/>
              </w:rPr>
              <w:t>20,863</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Arial" w:cs="Arial" w:eastAsia="Arial" w:hAnsi="Arial"/>
                <w:sz w:val="11"/>
                <w:szCs w:val="11"/>
                <w:color w:val="auto"/>
              </w:rPr>
              <w:t>51,710</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Arial" w:cs="Arial" w:eastAsia="Arial" w:hAnsi="Arial"/>
                <w:sz w:val="11"/>
                <w:szCs w:val="11"/>
                <w:color w:val="auto"/>
              </w:rPr>
              <w:t>125,856</w:t>
            </w:r>
          </w:p>
        </w:tc>
        <w:tc>
          <w:tcPr>
            <w:tcW w:w="0" w:type="dxa"/>
            <w:vAlign w:val="bottom"/>
          </w:tcPr>
          <w:p>
            <w:pPr>
              <w:spacing w:after="0"/>
              <w:rPr>
                <w:sz w:val="1"/>
                <w:szCs w:val="1"/>
                <w:color w:val="auto"/>
              </w:rPr>
            </w:pPr>
          </w:p>
        </w:tc>
      </w:tr>
    </w:tbl>
    <w:p>
      <w:pPr>
        <w:spacing w:after="0" w:line="101"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The accompanying notes are an integral part of these Consolidated Financial Statements.</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9" w:name="page50"/>
    <w:bookmarkEnd w:id="4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NOTES TO CONSOLIDATED FINANCIAL STATEMENTS</w:t>
      </w:r>
    </w:p>
    <w:p>
      <w:pPr>
        <w:spacing w:after="0" w:line="200" w:lineRule="exact"/>
        <w:rPr>
          <w:sz w:val="20"/>
          <w:szCs w:val="20"/>
          <w:color w:val="auto"/>
        </w:rPr>
      </w:pPr>
    </w:p>
    <w:p>
      <w:pPr>
        <w:spacing w:after="0" w:line="378" w:lineRule="exact"/>
        <w:rPr>
          <w:sz w:val="20"/>
          <w:szCs w:val="20"/>
          <w:color w:val="auto"/>
        </w:rPr>
      </w:pPr>
    </w:p>
    <w:p>
      <w:pPr>
        <w:ind w:right="6280" w:firstLine="5"/>
        <w:spacing w:after="0" w:line="445" w:lineRule="auto"/>
        <w:tabs>
          <w:tab w:leader="none" w:pos="248" w:val="left"/>
        </w:tabs>
        <w:numPr>
          <w:ilvl w:val="0"/>
          <w:numId w:val="21"/>
        </w:numPr>
        <w:rPr>
          <w:rFonts w:ascii="Arial" w:cs="Arial" w:eastAsia="Arial" w:hAnsi="Arial"/>
          <w:sz w:val="14"/>
          <w:szCs w:val="14"/>
          <w:b w:val="1"/>
          <w:bCs w:val="1"/>
          <w:color w:val="auto"/>
        </w:rPr>
      </w:pPr>
      <w:r>
        <w:rPr>
          <w:rFonts w:ascii="Arial" w:cs="Arial" w:eastAsia="Arial" w:hAnsi="Arial"/>
          <w:sz w:val="14"/>
          <w:szCs w:val="14"/>
          <w:b w:val="1"/>
          <w:bCs w:val="1"/>
          <w:color w:val="auto"/>
        </w:rPr>
        <w:t>BUSINESS AND SUMMARY OF SIGNIFICANT ACCOUNTING POLICIES Business</w:t>
      </w:r>
    </w:p>
    <w:p>
      <w:pPr>
        <w:spacing w:after="0" w:line="1"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4"/>
          <w:szCs w:val="14"/>
          <w:color w:val="auto"/>
        </w:rPr>
        <w:t>Pilgrim’s Pride Corporation (referred to herein as “Pilgrim’s,” “PPC,” “the Company,” “we,” “us,” “our,” or similar terms) is one of the largest chicken producers in the world, with operations in the United States (“U.S.”), the United Kingdom (“U.K.”), Mexico, France, Puerto Rico, the Netherlands and the Republic of Ireland. Pilgrim’s products are sold to foodservice, retail and frozen entrée customers. The Company’s primary distribution is through retailers, foodservice distributors and restaurants throughout the countries listed above. Additionally, the Company exports chicken and pork products to approximately 125 countries. Pilgrim’s fresh products consist of refrigerated (nonfrozen) whole chickens, whole cut-up chickens, selected chicken parts that are either marinated or non-marinated, primary pork cuts, added value pork and pork ribs. The Company’s prepared products include fully cooked, ready-to-cook and individually frozen chicken parts, strips, nuggets and patties, processed sausages, bacon, smoked meat, gammon joints, pre-packed meats, sandwich and deli counter meats and meat balls. The Company’s other products include plant-based protein offerings, ready-to-eat meals, multi-protein frozen foods, vegetarian foods and desserts. The Company also provides direct-to-consumer meals and hot food to-go solutions in the U.K. and the Republic of Ireland. We operate feed mills, hatcheries, processing plants and distribution centers in 14 U.S. states, the U.K., Mexico, France, Puerto Rico, the Netherlands and the Republic of Ireland.</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Consolidated Financial Statements</w:t>
      </w:r>
    </w:p>
    <w:p>
      <w:pPr>
        <w:spacing w:after="0" w:line="140" w:lineRule="exact"/>
        <w:rPr>
          <w:sz w:val="20"/>
          <w:szCs w:val="20"/>
          <w:color w:val="auto"/>
        </w:rPr>
      </w:pPr>
    </w:p>
    <w:p>
      <w:pPr>
        <w:jc w:val="both"/>
        <w:ind w:firstLine="509"/>
        <w:spacing w:after="0" w:line="281" w:lineRule="auto"/>
        <w:rPr>
          <w:sz w:val="20"/>
          <w:szCs w:val="20"/>
          <w:color w:val="auto"/>
        </w:rPr>
      </w:pPr>
      <w:r>
        <w:rPr>
          <w:rFonts w:ascii="Arial" w:cs="Arial" w:eastAsia="Arial" w:hAnsi="Arial"/>
          <w:sz w:val="14"/>
          <w:szCs w:val="14"/>
          <w:color w:val="auto"/>
        </w:rPr>
        <w:t>The Company operates on the basis of a 52/53-week fiscal .year ending on the Sunday falling on or before December 31. Any reference we make to a particular year in the notes to these Consolidated Financial Statements applies to our fiscal year and not the calendar year.</w:t>
      </w:r>
    </w:p>
    <w:p>
      <w:pPr>
        <w:spacing w:after="0" w:line="90"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color w:val="auto"/>
        </w:rPr>
        <w:t>On September 24, 2021, the Company acquired 100.0% of the equity of the specialty meats and ready meals businesses of Kerry Group plc, collectively known as Pilgrim’s Food Masters (“PFM”), for cash of £695.3 million, or $954.1 million, subject to customary working capital adjustments. The acquired operations are included in the Company’s U.K. and Europe reportable segment. For the periods subsequent to September 24, 2021, the Consolidated Financial Statements include the accounts of the Company and its majority-owned subsidiaries, including PFM. We eliminate all significant affiliate accounts and transactions upon consolidation.</w:t>
      </w:r>
    </w:p>
    <w:p>
      <w:pPr>
        <w:spacing w:after="0" w:line="103" w:lineRule="exact"/>
        <w:rPr>
          <w:sz w:val="20"/>
          <w:szCs w:val="20"/>
          <w:color w:val="auto"/>
        </w:rPr>
      </w:pPr>
    </w:p>
    <w:p>
      <w:pPr>
        <w:jc w:val="both"/>
        <w:ind w:firstLine="509"/>
        <w:spacing w:after="0" w:line="313" w:lineRule="auto"/>
        <w:rPr>
          <w:sz w:val="20"/>
          <w:szCs w:val="20"/>
          <w:color w:val="auto"/>
        </w:rPr>
      </w:pPr>
      <w:r>
        <w:rPr>
          <w:rFonts w:ascii="Arial" w:cs="Arial" w:eastAsia="Arial" w:hAnsi="Arial"/>
          <w:sz w:val="12"/>
          <w:szCs w:val="12"/>
          <w:color w:val="auto"/>
        </w:rPr>
        <w:t>The Consolidated Financial Statements have been prepared in conformity with accounting principles generally accepted in the U.S. (“U.S. GAAP”) using management’s best estimates and judgments. These estimates and judgments affect the reported amounts of assets and liabilities and disclosure of the contingent assets and liabilities at the date of the financial statements. The estimates and judgments will also affect the reported amounts for certain revenues and expenses during the reporting period. Actual results could differ materially from these estimates and judgments. Significant estimates made by the Company include the allowance for credit losses, reserves related to inventory obsolescence or valuation, useful lives of long-lived assets, goodwill, valuation of deferred tax assets, insurance accruals, valuation of pension and other postretirement benefits obligations, income tax accruals, certain derivative positions and valuations of acquired businesses.</w:t>
      </w:r>
    </w:p>
    <w:p>
      <w:pPr>
        <w:spacing w:after="0" w:line="76"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3"/>
          <w:szCs w:val="13"/>
          <w:color w:val="auto"/>
        </w:rPr>
        <w:t xml:space="preserve">The functional currency of the Company’s U.S. and Mexico operations and certain holding-company subsidiaries in Luxembourg, the U.K., Malta and the Republic of Ireland is the U.S. dollar. The functional currency of its U.K. operations is the British pound. The functional currency of the Company’s operations in France, the Netherlands and the Republic of Ireland is the euro. For foreign currency-denominated entities other than the Company’s Mexico operations, translation from local currencies into U.S. dollars is performed for most assets and liabilities using the exchange rates in effect as of the balance sheet date. Income and expense accounts are remeasured using average exchange rates for the period. Adjustments resulting from translation of these financial records are reflected as a separate component of </w:t>
      </w:r>
      <w:r>
        <w:rPr>
          <w:rFonts w:ascii="Arial" w:cs="Arial" w:eastAsia="Arial" w:hAnsi="Arial"/>
          <w:sz w:val="13"/>
          <w:szCs w:val="13"/>
          <w:i w:val="1"/>
          <w:iCs w:val="1"/>
          <w:color w:val="auto"/>
        </w:rPr>
        <w:t>Accumulated other comprehensive loss</w:t>
      </w:r>
      <w:r>
        <w:rPr>
          <w:rFonts w:ascii="Arial" w:cs="Arial" w:eastAsia="Arial" w:hAnsi="Arial"/>
          <w:sz w:val="13"/>
          <w:szCs w:val="13"/>
          <w:color w:val="auto"/>
        </w:rPr>
        <w:t xml:space="preserve"> in the Consolidated Balance Sheets. For the Company’s Mexico operations, remeasurement from the Mexican peso to U.S. dollars is performed for monetary assets and liabilities using the exchange rate in effect as of the balance sheet date. Remeasurement is performed for non-monetary assets using the historical exchange rate in effect on the date of each asset’s acquisition. Income and expense accounts are remeasured using average exchange rates for the period. Net adjustments resulting from remeasurement of these financial records are reflected in </w:t>
      </w:r>
      <w:r>
        <w:rPr>
          <w:rFonts w:ascii="Arial" w:cs="Arial" w:eastAsia="Arial" w:hAnsi="Arial"/>
          <w:sz w:val="13"/>
          <w:szCs w:val="13"/>
          <w:i w:val="1"/>
          <w:iCs w:val="1"/>
          <w:color w:val="auto"/>
        </w:rPr>
        <w:t>Foreign currency transaction losses (gains)</w:t>
      </w:r>
      <w:r>
        <w:rPr>
          <w:rFonts w:ascii="Arial" w:cs="Arial" w:eastAsia="Arial" w:hAnsi="Arial"/>
          <w:sz w:val="13"/>
          <w:szCs w:val="13"/>
          <w:color w:val="auto"/>
        </w:rPr>
        <w:t xml:space="preserve"> in the Consolidated Statements of Income.</w:t>
      </w:r>
    </w:p>
    <w:p>
      <w:pPr>
        <w:spacing w:after="0" w:line="95" w:lineRule="exact"/>
        <w:rPr>
          <w:sz w:val="20"/>
          <w:szCs w:val="20"/>
          <w:color w:val="auto"/>
        </w:rPr>
      </w:pPr>
    </w:p>
    <w:p>
      <w:pPr>
        <w:jc w:val="both"/>
        <w:ind w:firstLine="509"/>
        <w:spacing w:after="0" w:line="281" w:lineRule="auto"/>
        <w:rPr>
          <w:sz w:val="20"/>
          <w:szCs w:val="20"/>
          <w:color w:val="auto"/>
        </w:rPr>
      </w:pPr>
      <w:r>
        <w:rPr>
          <w:rFonts w:ascii="Arial" w:cs="Arial" w:eastAsia="Arial" w:hAnsi="Arial"/>
          <w:sz w:val="14"/>
          <w:szCs w:val="14"/>
          <w:color w:val="auto"/>
        </w:rPr>
        <w:t>The Company or its subsidiaries may use derivatives for the purpose of mitigating exposure to changes in foreign currency exchange rates. Foreign currency transaction gains or losses are reported in the Consolidated Statements of Income.</w:t>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Revenue Recognition</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0" w:name="page51"/>
    <w:bookmarkEnd w:id="5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NOTES TO CONSOLIDATED FINANCIAL STATEMENTS</w:t>
      </w:r>
    </w:p>
    <w:p>
      <w:pPr>
        <w:spacing w:after="0" w:line="391"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4"/>
          <w:szCs w:val="14"/>
          <w:color w:val="auto"/>
        </w:rPr>
        <w:t>The vast majority of the Company’s revenue is derived from contracts which are based upon a customer ordering its products. While there may be master agreements, the contract is only established when the customer’s order is accepted by the Company. The Company accounts for a contract, which may be verbal or written, when it is approved and committed by both parties, the rights of the parties are identified along with payment terms, the contract has commercial substance and collectability is probable.</w:t>
      </w:r>
    </w:p>
    <w:p>
      <w:pPr>
        <w:spacing w:after="0" w:line="99"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4"/>
          <w:szCs w:val="14"/>
          <w:color w:val="auto"/>
        </w:rPr>
        <w:t>The Company evaluates the transaction for distinct performance obligations, which are the sale of its products to customers. Since its products are commodity market-priced, the sales price is representative of the observable, standalone selling price. Each performance obligation is recognized based upon a pattern of recognition that reflects the transfer of control to the customer at a point in time, which is upon destination (customer location or port of destination), and depicts the transfer of control and recognition of revenue. There are instances of customer pick-up at the Company’s facilities, in which case control transfers to the customer at that point and the Company recognizes revenue. The Company’s performance obligations are typically fulfilled within days to weeks of the acceptance of the order.</w:t>
      </w:r>
    </w:p>
    <w:p>
      <w:pPr>
        <w:spacing w:after="0" w:line="104"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4"/>
          <w:szCs w:val="14"/>
          <w:color w:val="auto"/>
        </w:rPr>
        <w:t>The Company makes judgments regarding the nature, amount, timing and uncertainty of revenue and cash flows arising from revenue and cash flows with customers. Determination of a contract requires evaluation and judgment along with the estimation of the total contract value and if any of the contract value is constrained. Due to the nature of our business, there is minimal variable consideration, as the contract is established at the acceptance of the order from the customer. When applicable, variable consideration is estimated at contract inception and updated on a regular basis until the contract is completed. Allocating the transaction price to a specific performance obligation based upon the relative standalone selling prices includes estimating the standalone selling prices including discounts and variable consideration.</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Shipping and Handling Costs</w:t>
      </w:r>
    </w:p>
    <w:p>
      <w:pPr>
        <w:spacing w:after="0" w:line="140"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4"/>
          <w:szCs w:val="14"/>
          <w:color w:val="auto"/>
        </w:rPr>
        <w:t>In the rare case when shipping and handling activities are performed after a customer obtains control of the good, the Company has elected to account for shipping and handling as activities to fulfill the promise to transfer the good. When revenue is recognized for the related good before the shipping and handling activities occur, the related costs of those shipping and handling activities are accrued. Shipping and handling costs are recorded within cost of sales.</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Advertising Costs</w:t>
      </w:r>
    </w:p>
    <w:p>
      <w:pPr>
        <w:spacing w:after="0" w:line="140" w:lineRule="exact"/>
        <w:rPr>
          <w:sz w:val="20"/>
          <w:szCs w:val="20"/>
          <w:color w:val="auto"/>
        </w:rPr>
      </w:pPr>
    </w:p>
    <w:p>
      <w:pPr>
        <w:jc w:val="both"/>
        <w:ind w:firstLine="509"/>
        <w:spacing w:after="0" w:line="281" w:lineRule="auto"/>
        <w:rPr>
          <w:sz w:val="20"/>
          <w:szCs w:val="20"/>
          <w:color w:val="auto"/>
        </w:rPr>
      </w:pPr>
      <w:r>
        <w:rPr>
          <w:rFonts w:ascii="Arial" w:cs="Arial" w:eastAsia="Arial" w:hAnsi="Arial"/>
          <w:sz w:val="14"/>
          <w:szCs w:val="14"/>
          <w:color w:val="auto"/>
        </w:rPr>
        <w:t>The Company expenses advertising costs as incurred. Advertising costs are included in selling, general and administrative (“SG&amp;A”) expense and totaled $32.4 million, $20.2 million and $26.5 million for 2021, 2020 and 2019, respectively.</w:t>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Research and Development Costs</w:t>
      </w:r>
    </w:p>
    <w:p>
      <w:pPr>
        <w:spacing w:after="0" w:line="140" w:lineRule="exact"/>
        <w:rPr>
          <w:sz w:val="20"/>
          <w:szCs w:val="20"/>
          <w:color w:val="auto"/>
        </w:rPr>
      </w:pPr>
    </w:p>
    <w:p>
      <w:pPr>
        <w:ind w:left="520"/>
        <w:spacing w:after="0"/>
        <w:rPr>
          <w:sz w:val="20"/>
          <w:szCs w:val="20"/>
          <w:color w:val="auto"/>
        </w:rPr>
      </w:pPr>
      <w:r>
        <w:rPr>
          <w:rFonts w:ascii="Arial" w:cs="Arial" w:eastAsia="Arial" w:hAnsi="Arial"/>
          <w:sz w:val="13"/>
          <w:szCs w:val="13"/>
          <w:color w:val="auto"/>
        </w:rPr>
        <w:t>Research and development costs are expensed as incurred. Research and development costs totaled $5.1 million, $5.4 million and $5.1 million for 2021, 2020 and 2019, respectively.</w:t>
      </w:r>
    </w:p>
    <w:p>
      <w:pPr>
        <w:spacing w:after="0" w:line="1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Cash and Cash Equivalents</w:t>
      </w:r>
    </w:p>
    <w:p>
      <w:pPr>
        <w:spacing w:after="0" w:line="140" w:lineRule="exact"/>
        <w:rPr>
          <w:sz w:val="20"/>
          <w:szCs w:val="20"/>
          <w:color w:val="auto"/>
        </w:rPr>
      </w:pPr>
    </w:p>
    <w:p>
      <w:pPr>
        <w:jc w:val="both"/>
        <w:ind w:firstLine="509"/>
        <w:spacing w:after="0" w:line="297" w:lineRule="auto"/>
        <w:rPr>
          <w:sz w:val="20"/>
          <w:szCs w:val="20"/>
          <w:color w:val="auto"/>
        </w:rPr>
      </w:pPr>
      <w:r>
        <w:rPr>
          <w:rFonts w:ascii="Arial" w:cs="Arial" w:eastAsia="Arial" w:hAnsi="Arial"/>
          <w:sz w:val="13"/>
          <w:szCs w:val="13"/>
          <w:color w:val="auto"/>
        </w:rPr>
        <w:t>The Company considers highly liquid investments with an original maturity of three months or less when acquired to be cash equivalents. The majority of the Company’s disbursement bank accounts are zero balance accounts where cash needs are funded as checks are presented for payment by the holder. Checks issued pending clearance that result in overdraft balances for accounting purposes are classified as accounts payable and the change in the related balance is reflected in operating activities on the Consolidated Statements of Cash Flows.</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Restricted Cash</w:t>
      </w:r>
    </w:p>
    <w:p>
      <w:pPr>
        <w:spacing w:after="0" w:line="140"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4"/>
          <w:szCs w:val="14"/>
          <w:color w:val="auto"/>
        </w:rPr>
        <w:t>The Company is required to maintain cash balances with a broker as collateral for exchange traded futures contracts. These balances are classified as restricted cash as they are not available for use by the Company to fund daily operations. The balance of restricted cash may also include investments in U.S. Treasury Bills that qualify as cash equivalents, as required by the broker, to offset the obligation to return cash collateral.</w:t>
      </w:r>
    </w:p>
    <w:p>
      <w:pPr>
        <w:spacing w:after="0" w:line="99" w:lineRule="exact"/>
        <w:rPr>
          <w:sz w:val="20"/>
          <w:szCs w:val="20"/>
          <w:color w:val="auto"/>
        </w:rPr>
      </w:pPr>
    </w:p>
    <w:p>
      <w:pPr>
        <w:jc w:val="both"/>
        <w:ind w:firstLine="509"/>
        <w:spacing w:after="0" w:line="281" w:lineRule="auto"/>
        <w:rPr>
          <w:sz w:val="20"/>
          <w:szCs w:val="20"/>
          <w:color w:val="auto"/>
        </w:rPr>
      </w:pPr>
      <w:r>
        <w:rPr>
          <w:rFonts w:ascii="Arial" w:cs="Arial" w:eastAsia="Arial" w:hAnsi="Arial"/>
          <w:sz w:val="14"/>
          <w:szCs w:val="14"/>
          <w:color w:val="auto"/>
        </w:rPr>
        <w:t>The following table reconciles cash, cash equivalents and restricted cash as reported in the Consolidated Balance Sheets to the total of the same amounts shown in the Consolidated Statements of Cash Flows: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1" w:name="page52"/>
    <w:bookmarkEnd w:id="5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NOTES TO CONSOLIDATED FINANCIAL STATEMENTS</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766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2"/>
          </w:tcPr>
          <w:p>
            <w:pPr>
              <w:ind w:left="160"/>
              <w:spacing w:after="0"/>
              <w:rPr>
                <w:sz w:val="20"/>
                <w:szCs w:val="20"/>
                <w:color w:val="auto"/>
              </w:rPr>
            </w:pPr>
            <w:r>
              <w:rPr>
                <w:rFonts w:ascii="Arial" w:cs="Arial" w:eastAsia="Arial" w:hAnsi="Arial"/>
                <w:sz w:val="11"/>
                <w:szCs w:val="11"/>
                <w:b w:val="1"/>
                <w:bCs w:val="1"/>
                <w:color w:val="auto"/>
              </w:rPr>
              <w:t>December 26, 2021</w:t>
            </w:r>
          </w:p>
        </w:tc>
        <w:tc>
          <w:tcPr>
            <w:tcW w:w="34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ind w:right="358"/>
              <w:spacing w:after="0"/>
              <w:rPr>
                <w:sz w:val="20"/>
                <w:szCs w:val="20"/>
                <w:color w:val="auto"/>
              </w:rPr>
            </w:pPr>
            <w:r>
              <w:rPr>
                <w:rFonts w:ascii="Arial" w:cs="Arial" w:eastAsia="Arial" w:hAnsi="Arial"/>
                <w:sz w:val="11"/>
                <w:szCs w:val="11"/>
                <w:b w:val="1"/>
                <w:bCs w:val="1"/>
                <w:color w:val="auto"/>
                <w:w w:val="98"/>
              </w:rPr>
              <w:t>December 27, 2020</w:t>
            </w:r>
          </w:p>
        </w:tc>
        <w:tc>
          <w:tcPr>
            <w:tcW w:w="0" w:type="dxa"/>
            <w:vAlign w:val="bottom"/>
          </w:tcPr>
          <w:p>
            <w:pPr>
              <w:spacing w:after="0"/>
              <w:rPr>
                <w:sz w:val="1"/>
                <w:szCs w:val="1"/>
                <w:color w:val="auto"/>
              </w:rPr>
            </w:pPr>
          </w:p>
        </w:tc>
      </w:tr>
      <w:tr>
        <w:trPr>
          <w:trHeight w:val="127"/>
        </w:trPr>
        <w:tc>
          <w:tcPr>
            <w:tcW w:w="7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940" w:type="dxa"/>
            <w:vAlign w:val="bottom"/>
            <w:gridSpan w:val="3"/>
          </w:tcPr>
          <w:p>
            <w:pPr>
              <w:jc w:val="right"/>
              <w:ind w:right="16"/>
              <w:spacing w:after="0"/>
              <w:rPr>
                <w:sz w:val="20"/>
                <w:szCs w:val="20"/>
                <w:color w:val="auto"/>
              </w:rPr>
            </w:pPr>
            <w:r>
              <w:rPr>
                <w:rFonts w:ascii="Arial" w:cs="Arial" w:eastAsia="Arial" w:hAnsi="Arial"/>
                <w:sz w:val="10"/>
                <w:szCs w:val="10"/>
                <w:b w:val="1"/>
                <w:bCs w:val="1"/>
                <w:color w:val="auto"/>
              </w:rPr>
              <w:t>(In thousands)</w:t>
            </w:r>
          </w:p>
        </w:tc>
        <w:tc>
          <w:tcPr>
            <w:tcW w:w="1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7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and cash equivalents</w:t>
            </w:r>
          </w:p>
        </w:tc>
        <w:tc>
          <w:tcPr>
            <w:tcW w:w="2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427,661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547,624</w:t>
            </w:r>
          </w:p>
        </w:tc>
        <w:tc>
          <w:tcPr>
            <w:tcW w:w="0" w:type="dxa"/>
            <w:vAlign w:val="bottom"/>
          </w:tcPr>
          <w:p>
            <w:pPr>
              <w:spacing w:after="0"/>
              <w:rPr>
                <w:sz w:val="1"/>
                <w:szCs w:val="1"/>
                <w:color w:val="auto"/>
              </w:rPr>
            </w:pPr>
          </w:p>
        </w:tc>
      </w:tr>
      <w:tr>
        <w:trPr>
          <w:trHeight w:val="168"/>
        </w:trPr>
        <w:tc>
          <w:tcPr>
            <w:tcW w:w="76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Restricted cash</w:t>
            </w:r>
          </w:p>
        </w:tc>
        <w:tc>
          <w:tcPr>
            <w:tcW w:w="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22,460</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782</w:t>
            </w:r>
          </w:p>
        </w:tc>
        <w:tc>
          <w:tcPr>
            <w:tcW w:w="0" w:type="dxa"/>
            <w:vAlign w:val="bottom"/>
          </w:tcPr>
          <w:p>
            <w:pPr>
              <w:spacing w:after="0"/>
              <w:rPr>
                <w:sz w:val="1"/>
                <w:szCs w:val="1"/>
                <w:color w:val="auto"/>
              </w:rPr>
            </w:pPr>
          </w:p>
        </w:tc>
      </w:tr>
      <w:tr>
        <w:trPr>
          <w:trHeight w:val="113"/>
        </w:trPr>
        <w:tc>
          <w:tcPr>
            <w:tcW w:w="7660" w:type="dxa"/>
            <w:vAlign w:val="bottom"/>
            <w:shd w:val="clear" w:color="auto" w:fill="CCEEFF"/>
          </w:tcPr>
          <w:p>
            <w:pPr>
              <w:ind w:left="20"/>
              <w:spacing w:after="0" w:line="114" w:lineRule="exact"/>
              <w:rPr>
                <w:sz w:val="20"/>
                <w:szCs w:val="20"/>
                <w:color w:val="auto"/>
              </w:rPr>
            </w:pPr>
            <w:r>
              <w:rPr>
                <w:rFonts w:ascii="Arial" w:cs="Arial" w:eastAsia="Arial" w:hAnsi="Arial"/>
                <w:sz w:val="13"/>
                <w:szCs w:val="13"/>
                <w:color w:val="auto"/>
              </w:rPr>
              <w:t>Total cash, cash equivalents and restricted cash shown in the</w:t>
            </w:r>
          </w:p>
        </w:tc>
        <w:tc>
          <w:tcPr>
            <w:tcW w:w="260" w:type="dxa"/>
            <w:vAlign w:val="bottom"/>
            <w:vMerge w:val="restart"/>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15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450,121</w:t>
            </w:r>
          </w:p>
        </w:tc>
        <w:tc>
          <w:tcPr>
            <w:tcW w:w="100" w:type="dxa"/>
            <w:vAlign w:val="bottom"/>
            <w:shd w:val="clear" w:color="auto" w:fill="CCEEFF"/>
          </w:tcPr>
          <w:p>
            <w:pPr>
              <w:spacing w:after="0"/>
              <w:rPr>
                <w:sz w:val="9"/>
                <w:szCs w:val="9"/>
                <w:color w:val="auto"/>
              </w:rPr>
            </w:pPr>
          </w:p>
        </w:tc>
        <w:tc>
          <w:tcPr>
            <w:tcW w:w="340" w:type="dxa"/>
            <w:vAlign w:val="bottom"/>
            <w:vMerge w:val="restart"/>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548,406</w:t>
            </w:r>
          </w:p>
        </w:tc>
        <w:tc>
          <w:tcPr>
            <w:tcW w:w="0" w:type="dxa"/>
            <w:vAlign w:val="bottom"/>
          </w:tcPr>
          <w:p>
            <w:pPr>
              <w:spacing w:after="0"/>
              <w:rPr>
                <w:sz w:val="1"/>
                <w:szCs w:val="1"/>
                <w:color w:val="auto"/>
              </w:rPr>
            </w:pPr>
          </w:p>
        </w:tc>
      </w:tr>
      <w:tr>
        <w:trPr>
          <w:trHeight w:val="165"/>
        </w:trPr>
        <w:tc>
          <w:tcPr>
            <w:tcW w:w="7660" w:type="dxa"/>
            <w:vAlign w:val="bottom"/>
            <w:tcBorders>
              <w:bottom w:val="single" w:sz="8" w:color="CCEEFF"/>
            </w:tcBorders>
            <w:shd w:val="clear" w:color="auto" w:fill="CCEEFF"/>
          </w:tcPr>
          <w:p>
            <w:pPr>
              <w:ind w:left="180"/>
              <w:spacing w:after="0" w:line="145" w:lineRule="exact"/>
              <w:rPr>
                <w:sz w:val="20"/>
                <w:szCs w:val="20"/>
                <w:color w:val="auto"/>
              </w:rPr>
            </w:pPr>
            <w:r>
              <w:rPr>
                <w:rFonts w:ascii="Arial" w:cs="Arial" w:eastAsia="Arial" w:hAnsi="Arial"/>
                <w:sz w:val="13"/>
                <w:szCs w:val="13"/>
                <w:color w:val="auto"/>
              </w:rPr>
              <w:t>Consolidated Statements of Cash Flows</w:t>
            </w:r>
          </w:p>
        </w:tc>
        <w:tc>
          <w:tcPr>
            <w:tcW w:w="260" w:type="dxa"/>
            <w:vAlign w:val="bottom"/>
            <w:tcBorders>
              <w:bottom w:val="single" w:sz="8" w:color="auto"/>
            </w:tcBorders>
            <w:vMerge w:val="continue"/>
            <w:shd w:val="clear" w:color="auto" w:fill="CCEEFF"/>
          </w:tcPr>
          <w:p>
            <w:pPr>
              <w:spacing w:after="0"/>
              <w:rPr>
                <w:sz w:val="14"/>
                <w:szCs w:val="14"/>
                <w:color w:val="auto"/>
              </w:rPr>
            </w:pPr>
          </w:p>
        </w:tc>
        <w:tc>
          <w:tcPr>
            <w:tcW w:w="150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vMerge w:val="continue"/>
            <w:shd w:val="clear" w:color="auto" w:fill="CCEEFF"/>
          </w:tcPr>
          <w:p>
            <w:pPr>
              <w:spacing w:after="0"/>
              <w:rPr>
                <w:sz w:val="14"/>
                <w:szCs w:val="14"/>
                <w:color w:val="auto"/>
              </w:rPr>
            </w:pPr>
          </w:p>
        </w:tc>
        <w:tc>
          <w:tcPr>
            <w:tcW w:w="142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Investments</w:t>
      </w:r>
    </w:p>
    <w:p>
      <w:pPr>
        <w:spacing w:after="0" w:line="140"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4"/>
          <w:szCs w:val="14"/>
          <w:color w:val="auto"/>
        </w:rPr>
        <w:t>The Company’s current investments are all highly liquid investments with an original maturity of three months or less when acquired and are, therefore, considered cash equivalents. The Company’s current investments are comprised of fixed income securities, primarily commercial paper and a money market fund. These investments are classified as available-for-sale. These securities are recorded at fair value, and unrealized holding gains and losses are recorded, net of tax, as a separate component of accumulated other comprehensive loss. Investments in fixed income securities with remaining maturities of less than one year and those identified by management at the time of purchase for funding operations in less than one year are classified as current assets. Investments in fixed income securities with remaining maturities in excess of one year that management has not identified at the time of purchase for funding operations in less than one year are classified as long-term assets. Unrealized losses are charged against net earnings when a decline in fair value is determined to be other than temporary. Management reviews several factors to determine whether a loss is other than temporary, such as the length of time a security is in an unrealized loss position, the extent to which fair value is less than amortized cost, the impact of changing interest rates in the short and long term, and the Company’s intent and ability to hold the security for a period of time sufficient to allow for any anticipated recovery in fair value. The Company determines the cost of each security sold and each amount reclassified out of accumulated other comprehensive loss into earnings using the specific identification method. Purchases and sales are recorded on a settlement date basis.</w:t>
      </w:r>
    </w:p>
    <w:p>
      <w:pPr>
        <w:spacing w:after="0" w:line="108" w:lineRule="exact"/>
        <w:rPr>
          <w:sz w:val="20"/>
          <w:szCs w:val="20"/>
          <w:color w:val="auto"/>
        </w:rPr>
      </w:pPr>
    </w:p>
    <w:p>
      <w:pPr>
        <w:jc w:val="both"/>
        <w:ind w:firstLine="509"/>
        <w:spacing w:after="0" w:line="313" w:lineRule="auto"/>
        <w:rPr>
          <w:sz w:val="20"/>
          <w:szCs w:val="20"/>
          <w:color w:val="auto"/>
        </w:rPr>
      </w:pPr>
      <w:r>
        <w:rPr>
          <w:rFonts w:ascii="Arial" w:cs="Arial" w:eastAsia="Arial" w:hAnsi="Arial"/>
          <w:sz w:val="12"/>
          <w:szCs w:val="12"/>
          <w:color w:val="auto"/>
        </w:rPr>
        <w:t>Investments in entities in which the Company has an ownership interest greater than 50% and exercises control over the entity are consolidated in the Consolidated Financial Statements. Investments in entities in which the Company has an ownership interest between 20% and 50% and exercises significant influence are accounted for using the equity method. The Company invests from time to time in ventures in which its ownership interest is less than 20% and over which it does not exercise significant influence. Such investments are accounted for under the cost method. The fair values for investments not traded on a quoted exchange are estimated based upon the historical performance of the ventures, the ventures’ forecasted financial performance and management’s evaluation of the ventures’ viability and business models. To the extent the book value of an investment exceeds its assessed fair value, the Company will record an appropriate impairment charge.</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Accounts Receivable</w:t>
      </w:r>
    </w:p>
    <w:p>
      <w:pPr>
        <w:spacing w:after="0" w:line="140"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color w:val="auto"/>
        </w:rPr>
        <w:t>The Company records accounts receivable when revenue is recognized. We record an allowance for credit losses, reducing our receivables balance to an amount we estimate is collectible from our customers. Estimates used in determining the allowance for credit losses are based on historical collection experience, current trends, aging of accounts receivable, and periodic credit evaluations of our customers’ financial condition. We write off accounts receivable when it becomes apparent, based upon age or customer circumstances, that such amounts will not be collected. Generally, the Company does not require collateral for its accounts receivable.</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Inventories</w:t>
      </w:r>
    </w:p>
    <w:p>
      <w:pPr>
        <w:spacing w:after="0" w:line="140"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4"/>
          <w:szCs w:val="14"/>
          <w:color w:val="auto"/>
        </w:rPr>
        <w:t>Live chicken and pig inventories are stated at the lower of cost or net realizable value and breeder hen, breeder sow and boar inventories are stated at the lower of cost, less accumulated amortization, or net realizable value. The costs associated with breeder hen inventories are accumulated up to the production stage and amortized over their productive lives using the unit-of-production method. The costs associated with breeder sow inventories are accumulated up to the production stage and amortized on a straight-line basis over their productive lives to the estimated residual cull value. Finished poultry products, finished pork products, feed, eggs and other inventories are stated at the lower of cost (average) or net realizable value. Inventory typically transfers from one stage of production to another at a standard cost, where it accumulates additional cost directly incurred with the production of inventory, including overhead. The standard cost at which each type of inventory transfers is set by management to reflect the actual costs incurred in the prior steps. We monitor and adjust standard costs throughout the year to ensure that standard costs reasonably reflect the actual average cost of the inventory produced.</w:t>
      </w:r>
    </w:p>
    <w:p>
      <w:pPr>
        <w:spacing w:after="0" w:line="110"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4"/>
          <w:szCs w:val="14"/>
          <w:color w:val="auto"/>
        </w:rPr>
        <w:t>The Company allocates meat costs between its various finished chicken products based on a by-product costing technique that reduces the cost of the whole bird by estimated yields and amounts to be recovered for certain by-product parts. This primarily includes leg quarters, wings, tenders and offal, which are carried in inventory at the estimated recovery amounts, with the remaining amount being reflected as its breast meat cost. The Company allocates meat costs between its various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2" w:name="page53"/>
    <w:bookmarkEnd w:id="5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NOTES TO CONSOLIDATED FINANCIAL STATEMENTS</w:t>
      </w:r>
    </w:p>
    <w:p>
      <w:pPr>
        <w:spacing w:after="0" w:line="391"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finished pork products based on a by-product costing technique that allocates the cost of the whole pig into the primal cuts by estimated yields and amounts to be recovered for certain by-product parts. This primarily includes legs, shoulders, bellies, offal and fifth quarter parts, which are carried in inventory at the estimated recoverable amounts, with the remaining amount being reflected as our loin meat cost.</w:t>
      </w:r>
    </w:p>
    <w:p>
      <w:pPr>
        <w:spacing w:after="0" w:line="99" w:lineRule="exact"/>
        <w:rPr>
          <w:sz w:val="20"/>
          <w:szCs w:val="20"/>
          <w:color w:val="auto"/>
        </w:rPr>
      </w:pPr>
    </w:p>
    <w:p>
      <w:pPr>
        <w:jc w:val="both"/>
        <w:ind w:firstLine="509"/>
        <w:spacing w:after="0" w:line="331" w:lineRule="auto"/>
        <w:rPr>
          <w:sz w:val="20"/>
          <w:szCs w:val="20"/>
          <w:color w:val="auto"/>
        </w:rPr>
      </w:pPr>
      <w:r>
        <w:rPr>
          <w:rFonts w:ascii="Arial" w:cs="Arial" w:eastAsia="Arial" w:hAnsi="Arial"/>
          <w:sz w:val="12"/>
          <w:szCs w:val="12"/>
          <w:color w:val="auto"/>
        </w:rPr>
        <w:t>The Company values its other prepared foods products, raw materials and packaging materials at the lower of weighted average cost and net realizable value. Work in progress is valued at the latest production cost (raw materials, packaging), finished goods are valued at the lower of the latest actual monthly production cost (raw materials, packaging and direct labor) and attributable overheads and net realizable value, and engineering spares and consumables are valued at cost with an appropriate provision for obsolete engineering spares consistent with historical practice.</w:t>
      </w:r>
    </w:p>
    <w:p>
      <w:pPr>
        <w:spacing w:after="0" w:line="66"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4"/>
          <w:szCs w:val="14"/>
          <w:color w:val="auto"/>
        </w:rPr>
        <w:t>Generally, the Company performs an evaluation of whether any lower of cost or market adjustments are required at the country level based on a number of factors, including: (1) pools of related inventory, (2) product continuation or discontinuation, (3) estimated market selling prices and (4) expected distribution channels. If actual market conditions or other factors are less favorable than those projected by management, additional inventory adjustments may be required. The Company also records valuation adjustments, when necessary, for estimated obsolescence at or equal to the difference between the cost of inventory and the estimated market value based upon known conditions affecting inventory obsolescence, including significantly aged products, discontinued product lines, or damaged or obsolete products.</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Leases</w:t>
      </w:r>
    </w:p>
    <w:p>
      <w:pPr>
        <w:spacing w:after="0" w:line="140"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4"/>
          <w:szCs w:val="14"/>
          <w:color w:val="auto"/>
        </w:rPr>
        <w:t xml:space="preserve">The Company determines if an arrangement is a lease at inception. Operating leases are included in </w:t>
      </w:r>
      <w:r>
        <w:rPr>
          <w:rFonts w:ascii="Arial" w:cs="Arial" w:eastAsia="Arial" w:hAnsi="Arial"/>
          <w:sz w:val="14"/>
          <w:szCs w:val="14"/>
          <w:i w:val="1"/>
          <w:iCs w:val="1"/>
          <w:color w:val="auto"/>
        </w:rPr>
        <w:t>Operating lease assets, net, Accrued expenses and other current liabilities,</w:t>
      </w:r>
      <w:r>
        <w:rPr>
          <w:rFonts w:ascii="Arial" w:cs="Arial" w:eastAsia="Arial" w:hAnsi="Arial"/>
          <w:sz w:val="14"/>
          <w:szCs w:val="14"/>
          <w:color w:val="auto"/>
        </w:rPr>
        <w:t xml:space="preserve"> and </w:t>
      </w:r>
      <w:r>
        <w:rPr>
          <w:rFonts w:ascii="Arial" w:cs="Arial" w:eastAsia="Arial" w:hAnsi="Arial"/>
          <w:sz w:val="14"/>
          <w:szCs w:val="14"/>
          <w:i w:val="1"/>
          <w:iCs w:val="1"/>
          <w:color w:val="auto"/>
        </w:rPr>
        <w:t xml:space="preserve">Noncurrent operating lease liability, less current maturities, </w:t>
      </w:r>
      <w:r>
        <w:rPr>
          <w:rFonts w:ascii="Arial" w:cs="Arial" w:eastAsia="Arial" w:hAnsi="Arial"/>
          <w:sz w:val="14"/>
          <w:szCs w:val="14"/>
          <w:color w:val="auto"/>
        </w:rPr>
        <w:t>in our Consolidated Balance Sheets. Finance leases are included in</w:t>
      </w:r>
      <w:r>
        <w:rPr>
          <w:rFonts w:ascii="Arial" w:cs="Arial" w:eastAsia="Arial" w:hAnsi="Arial"/>
          <w:sz w:val="14"/>
          <w:szCs w:val="14"/>
          <w:i w:val="1"/>
          <w:iCs w:val="1"/>
          <w:color w:val="auto"/>
        </w:rPr>
        <w:t xml:space="preserve"> Property, plant and equipment, net, Current maturities of long-term debt </w:t>
      </w:r>
      <w:r>
        <w:rPr>
          <w:rFonts w:ascii="Arial" w:cs="Arial" w:eastAsia="Arial" w:hAnsi="Arial"/>
          <w:sz w:val="14"/>
          <w:szCs w:val="14"/>
          <w:color w:val="auto"/>
        </w:rPr>
        <w:t>and</w:t>
      </w:r>
      <w:r>
        <w:rPr>
          <w:rFonts w:ascii="Arial" w:cs="Arial" w:eastAsia="Arial" w:hAnsi="Arial"/>
          <w:sz w:val="14"/>
          <w:szCs w:val="14"/>
          <w:i w:val="1"/>
          <w:iCs w:val="1"/>
          <w:color w:val="auto"/>
        </w:rPr>
        <w:t xml:space="preserve"> Long-term debt, less current maturities </w:t>
      </w:r>
      <w:r>
        <w:rPr>
          <w:rFonts w:ascii="Arial" w:cs="Arial" w:eastAsia="Arial" w:hAnsi="Arial"/>
          <w:sz w:val="14"/>
          <w:szCs w:val="14"/>
          <w:color w:val="auto"/>
        </w:rPr>
        <w:t>in our Consolidated Balance Sheets.</w:t>
      </w:r>
    </w:p>
    <w:p>
      <w:pPr>
        <w:spacing w:after="0" w:line="99" w:lineRule="exact"/>
        <w:rPr>
          <w:sz w:val="20"/>
          <w:szCs w:val="20"/>
          <w:color w:val="auto"/>
        </w:rPr>
      </w:pPr>
    </w:p>
    <w:p>
      <w:pPr>
        <w:jc w:val="both"/>
        <w:ind w:firstLine="509"/>
        <w:spacing w:after="0" w:line="280" w:lineRule="auto"/>
        <w:rPr>
          <w:sz w:val="20"/>
          <w:szCs w:val="20"/>
          <w:color w:val="auto"/>
        </w:rPr>
      </w:pPr>
      <w:r>
        <w:rPr>
          <w:rFonts w:ascii="Arial" w:cs="Arial" w:eastAsia="Arial" w:hAnsi="Arial"/>
          <w:sz w:val="13"/>
          <w:szCs w:val="13"/>
          <w:color w:val="auto"/>
        </w:rPr>
        <w:t>Beginning with the adoption of Accounting Standards Update (“ASU”) 2016-02 on December 31, 2018, operating lease assets and operating lease liabilities are initially recognized based on the present value of the future minimum lease payments over the lease term at commencement date. As most of the Company’s leases do not provide an implicit interest rate, the Company uses its incremental borrowing rate (“IBR”) based on the information available at commencement date in determining the present value of future payments. IBR is derived from the Company’s credit facility’s margin as a basis with adjustments to periodically updated LIBOR swap rate and foreign currency curve. The operating lease asset also includes any lease payments made, including upfront costs and prepayments, and excludes lease incentives and initial direct costs incurred. The Company’s lease terms may include options to extend or terminate a lease when it is reasonably certain that it will exercise that option. Leases with an initial term of 12 months or less are not recorded on the balance sheet. Lease expense for minimum lease payments is recognized on a straight-line basis over the lease term with a corresponding reduction to the operating lease asset.</w:t>
      </w:r>
    </w:p>
    <w:p>
      <w:pPr>
        <w:spacing w:after="0" w:line="95" w:lineRule="exact"/>
        <w:rPr>
          <w:sz w:val="20"/>
          <w:szCs w:val="20"/>
          <w:color w:val="auto"/>
        </w:rPr>
      </w:pPr>
    </w:p>
    <w:p>
      <w:pPr>
        <w:jc w:val="both"/>
        <w:ind w:firstLine="509"/>
        <w:spacing w:after="0" w:line="281" w:lineRule="auto"/>
        <w:rPr>
          <w:sz w:val="20"/>
          <w:szCs w:val="20"/>
          <w:color w:val="auto"/>
        </w:rPr>
      </w:pPr>
      <w:r>
        <w:rPr>
          <w:rFonts w:ascii="Arial" w:cs="Arial" w:eastAsia="Arial" w:hAnsi="Arial"/>
          <w:sz w:val="14"/>
          <w:szCs w:val="14"/>
          <w:color w:val="auto"/>
        </w:rPr>
        <w:t>The Company has lease agreements with lease and non-lease components. Beginning in 2019, lease and non-lease components are generally accounted for separately. For certain equipment leases, such as vehicles, the Company accounts for the lease and non-lease components as a single lease component.</w:t>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Property, Plant and Equipment</w:t>
      </w:r>
    </w:p>
    <w:p>
      <w:pPr>
        <w:spacing w:after="0" w:line="140"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4"/>
          <w:szCs w:val="14"/>
          <w:color w:val="auto"/>
        </w:rPr>
        <w:t>Property, plant and equipment are stated at cost, and repair and maintenance costs are expensed as incurred. Depreciation is computed using the straight-line method over the estimated useful lives of these assets. Estimated useful lives for building, machinery and equipment are five to 33 years and for automobiles and trucks are three to ten years. The charge to income resulting from amortization of assets recorded under capital leases is included with depreciation expense.</w:t>
      </w:r>
    </w:p>
    <w:p>
      <w:pPr>
        <w:spacing w:after="0" w:line="99" w:lineRule="exact"/>
        <w:rPr>
          <w:sz w:val="20"/>
          <w:szCs w:val="20"/>
          <w:color w:val="auto"/>
        </w:rPr>
      </w:pPr>
    </w:p>
    <w:p>
      <w:pPr>
        <w:jc w:val="both"/>
        <w:ind w:firstLine="509"/>
        <w:spacing w:after="0" w:line="299" w:lineRule="auto"/>
        <w:rPr>
          <w:sz w:val="20"/>
          <w:szCs w:val="20"/>
          <w:color w:val="auto"/>
        </w:rPr>
      </w:pPr>
      <w:r>
        <w:rPr>
          <w:rFonts w:ascii="Arial" w:cs="Arial" w:eastAsia="Arial" w:hAnsi="Arial"/>
          <w:sz w:val="12"/>
          <w:szCs w:val="12"/>
          <w:color w:val="auto"/>
        </w:rPr>
        <w:t>The Company records impairment charges on long-lived assets held for use when events and circumstances indicate that the assets may be impaired and the undiscounted cash flows estimated to be generated by those assets are less than the carrying amount of those assets. When the above is true, the impairment charge is determined based upon the amount the net book value of the assets exceeds their fair market value. In making these determinations, the Company utilizes certain assumptions, including, but not limited to: (1) future cash flows estimated to be generated by these assets, which are based on additional assumptions such as asset utilization, remaining length of service and estimated salvage values, (2) estimated fair market value of the assets and</w:t>
      </w:r>
    </w:p>
    <w:p>
      <w:pPr>
        <w:spacing w:after="0" w:line="2" w:lineRule="exact"/>
        <w:rPr>
          <w:sz w:val="20"/>
          <w:szCs w:val="20"/>
          <w:color w:val="auto"/>
        </w:rPr>
      </w:pPr>
    </w:p>
    <w:p>
      <w:pPr>
        <w:jc w:val="both"/>
        <w:ind w:firstLine="5"/>
        <w:spacing w:after="0" w:line="257" w:lineRule="auto"/>
        <w:tabs>
          <w:tab w:leader="none" w:pos="214" w:val="left"/>
        </w:tabs>
        <w:numPr>
          <w:ilvl w:val="0"/>
          <w:numId w:val="22"/>
        </w:numPr>
        <w:rPr>
          <w:rFonts w:ascii="Arial" w:cs="Arial" w:eastAsia="Arial" w:hAnsi="Arial"/>
          <w:sz w:val="14"/>
          <w:szCs w:val="14"/>
          <w:color w:val="auto"/>
        </w:rPr>
      </w:pPr>
      <w:r>
        <w:rPr>
          <w:rFonts w:ascii="Arial" w:cs="Arial" w:eastAsia="Arial" w:hAnsi="Arial"/>
          <w:sz w:val="14"/>
          <w:szCs w:val="14"/>
          <w:color w:val="auto"/>
        </w:rPr>
        <w:t>determinations with respect to the lowest level of cash flows relevant to the respective impairment test, generally groupings of related operational facilities. Given the interdependency of the Company’s individual facilities during the production process, which operate as a vertically integrated network, it evaluates impairment of assets held for use at the country level (i.e., the U.S. and Mexico). Management believes this is the lowest level of identifiable cash flows for its assets that are held for use in production activities. At the present time, the Company’s forecasts indicate that it can recover the carrying value of its assets held for use based on the projected undiscounted cash flows of the operations.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3" w:name="page54"/>
    <w:bookmarkEnd w:id="5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NOTES TO CONSOLIDATED FINANCIAL STATEMENTS</w:t>
      </w:r>
    </w:p>
    <w:p>
      <w:pPr>
        <w:spacing w:after="0" w:line="391" w:lineRule="exact"/>
        <w:rPr>
          <w:sz w:val="20"/>
          <w:szCs w:val="20"/>
          <w:color w:val="auto"/>
        </w:rPr>
      </w:pPr>
    </w:p>
    <w:p>
      <w:pPr>
        <w:jc w:val="both"/>
        <w:ind w:firstLine="509"/>
        <w:spacing w:after="0" w:line="282" w:lineRule="auto"/>
        <w:rPr>
          <w:sz w:val="20"/>
          <w:szCs w:val="20"/>
          <w:color w:val="auto"/>
        </w:rPr>
      </w:pPr>
      <w:r>
        <w:rPr>
          <w:rFonts w:ascii="Arial" w:cs="Arial" w:eastAsia="Arial" w:hAnsi="Arial"/>
          <w:sz w:val="13"/>
          <w:szCs w:val="13"/>
          <w:color w:val="auto"/>
        </w:rPr>
        <w:t>The Company records impairment charges on long-lived assets held for sale when the carrying amount of those assets exceeds their fair value less appropriate selling costs. Fair value is based on amounts documented in sales contracts or letters of intent accepted by the Company, amounts included in counteroffers initiated by the Company, or, in the absence of current contract negotiations, amounts determined using a sales comparison approach for real property and amounts determined using a cost approach for personal property. Under the sales comparison approach, sales and asking prices of reasonably comparable properties are considered to develop a range of unit prices within which the current real estate market is operating. Under the cost approach, a current cost to replace the asset new is calculated and then the estimated replacement cost is reduced to reflect the applicable decline in value resulting from physical deterioration, functional obsolescence and economic obsolescence. Appropriate selling costs includes reasonable broker’s commissions, costs to produce title documents, filing fees, legal expenses and the like.</w:t>
      </w:r>
    </w:p>
    <w:p>
      <w:pPr>
        <w:spacing w:after="0" w:line="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Goodwill and Other Intangibles, net</w:t>
      </w:r>
    </w:p>
    <w:p>
      <w:pPr>
        <w:spacing w:after="0" w:line="140"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4"/>
          <w:szCs w:val="14"/>
          <w:color w:val="auto"/>
        </w:rPr>
        <w:t>Goodwill represents the excess of the aggregate purchase price over the fair value of the net identifiable assets acquired in a business combination. Identified intangible assets represent trade names, customer relationships and non-compete agreements arising from acquisitions that are recorded at fair value as of the date acquired less accumulated amortization, if any. The Company uses various market valuation techniques to determine the fair value of its identified intangible assets.</w:t>
      </w:r>
    </w:p>
    <w:p>
      <w:pPr>
        <w:spacing w:after="0" w:line="99"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4"/>
          <w:szCs w:val="14"/>
          <w:color w:val="auto"/>
        </w:rPr>
        <w:t>Goodwill and other intangible assets with indefinite lives are not amortized but are tested for impairment on an annual basis in the fourth quarter of each fiscal year or more frequently if impairment indicators arise. For goodwill, an impairment loss is recognized for any excess of the carrying amount of a reporting unit’s goodwill over the implied fair value of that goodwill. Management first reviews relevant qualitative factors to determine if an indication of impairment exists for a reporting unit. If management determines there is an indication that the carrying amount of reporting unit goodwill might be impaired, a quantitative analysis is performed. Management performed a qualitative analysis noting no indications of goodwill impairment in any of its reporting units as of December 26, 2021. For indefinite-lived intangible assets, an impairment loss is recognized if the carrying amount of an indefinite-lived intangible asset exceeds the estimated fair value of that intangible asset. Management first reviews relevant qualitative factors to determine if an indication of impairment exists. If management determines there is an indication that the carrying amount of the intangible asset might be impaired, a quantitative analysis is performed. Management performed a qualitative analysis noting no indications of impairment for any of its indefinite-lived intangible assets as of December 26, 2021.</w:t>
      </w:r>
    </w:p>
    <w:p>
      <w:pPr>
        <w:spacing w:after="0" w:line="106"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4"/>
          <w:szCs w:val="14"/>
          <w:color w:val="auto"/>
        </w:rPr>
        <w:t>Identifiable intangible assets with definite lives, such as customer relationships, non-compete agreements and trade names that the Company expects to use for a limited amount of time, are amortized over their estimated useful lives on a straight-line basis. The useful lives range from three to 20 years for non-compete agreements and trade names and three to 18 years for customer relationships. Identified intangible assets with definite lives are tested for recoverability whenever events or changes in circumstances indicate that their carrying amount may not be recoverable. Management assessed if events or changes in circumstances indicated that the aggregate carrying amount of its identified intangible assets with definite lives might not be recoverable and determined that there were no impairment indicators during the years ended December 26, 2021 and December 27, 2020.</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Book Overdraft Balances</w:t>
      </w:r>
    </w:p>
    <w:p>
      <w:pPr>
        <w:spacing w:after="0" w:line="140"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4"/>
          <w:szCs w:val="14"/>
          <w:color w:val="auto"/>
        </w:rPr>
        <w:t>The majority of the Company’s disbursement bank accounts are zero balance accounts where cash needs are funded as checks are presented for payment by the holder. Checks issued pending clearance that result in overdraft balances for accounting purposes are classified as accounts payable and the change in the related balance is reflected in operating activities on the Consolidated Statements of Cash Flows.</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Litigation and Contingent Liabilities</w:t>
      </w:r>
    </w:p>
    <w:p>
      <w:pPr>
        <w:spacing w:after="0" w:line="140"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4"/>
          <w:szCs w:val="14"/>
          <w:color w:val="auto"/>
        </w:rPr>
        <w:t>The Company is subject to lawsuits, investigations and other claims related to employment, environmental, product and other matters. The Company is required to assess the likelihood of any adverse judgments or outcomes, as well as potential ranges of probable losses, to these matters. The Company estimates the amount of reserves required for these contingencies when losses are determined to be probable and after considerable analysis of each individual issue. The Company expenses legal costs related to such loss contingencies as they are incurred. The accrual for environmental remediation liabilities is measured on an undiscounted basis. These reserves may change in the future due to changes in the Company’s assumptions, the effectiveness of strategies, or other factors beyond the Company’s control.</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Accrued Self Insurance</w:t>
      </w:r>
    </w:p>
    <w:p>
      <w:pPr>
        <w:spacing w:after="0" w:line="140" w:lineRule="exact"/>
        <w:rPr>
          <w:sz w:val="20"/>
          <w:szCs w:val="20"/>
          <w:color w:val="auto"/>
        </w:rPr>
      </w:pPr>
    </w:p>
    <w:p>
      <w:pPr>
        <w:jc w:val="both"/>
        <w:ind w:firstLine="509"/>
        <w:spacing w:after="0" w:line="281" w:lineRule="auto"/>
        <w:rPr>
          <w:sz w:val="20"/>
          <w:szCs w:val="20"/>
          <w:color w:val="auto"/>
        </w:rPr>
      </w:pPr>
      <w:r>
        <w:rPr>
          <w:rFonts w:ascii="Arial" w:cs="Arial" w:eastAsia="Arial" w:hAnsi="Arial"/>
          <w:sz w:val="14"/>
          <w:szCs w:val="14"/>
          <w:color w:val="auto"/>
        </w:rPr>
        <w:t>Insurance expense for casualty claims and employee-related health care benefits are estimated using historical and current experience and actuarial estimates. Stop-loss coverage is maintained with third-party insurers to limit the Company’s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4" w:name="page55"/>
    <w:bookmarkEnd w:id="5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NOTES TO CONSOLIDATED FINANCIAL STATEMENTS</w:t>
      </w:r>
    </w:p>
    <w:p>
      <w:pPr>
        <w:spacing w:after="0" w:line="391"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total exposure. Certain categories of claim liabilities are actuarially determined. The assumptions used to arrive at periodic expenses are reviewed regularly by management. However, actual expenses could differ from these estimates and could result in adjustments to be recognized.</w:t>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Asset Retirement Obligations</w:t>
      </w:r>
    </w:p>
    <w:p>
      <w:pPr>
        <w:spacing w:after="0" w:line="140" w:lineRule="exact"/>
        <w:rPr>
          <w:sz w:val="20"/>
          <w:szCs w:val="20"/>
          <w:color w:val="auto"/>
        </w:rPr>
      </w:pPr>
    </w:p>
    <w:p>
      <w:pPr>
        <w:jc w:val="both"/>
        <w:ind w:firstLine="509"/>
        <w:spacing w:after="0" w:line="282" w:lineRule="auto"/>
        <w:rPr>
          <w:sz w:val="20"/>
          <w:szCs w:val="20"/>
          <w:color w:val="auto"/>
        </w:rPr>
      </w:pPr>
      <w:r>
        <w:rPr>
          <w:rFonts w:ascii="Arial" w:cs="Arial" w:eastAsia="Arial" w:hAnsi="Arial"/>
          <w:sz w:val="13"/>
          <w:szCs w:val="13"/>
          <w:color w:val="auto"/>
        </w:rPr>
        <w:t>The Company monitors certain asset retirement obligations in connection with its operations. These obligations relate to clean-up, removal or replacement activities and related costs for “in-place” exposures only when those exposures are moved or modified, such as during renovations of our facilities. These in-place exposures include asbestos, refrigerants, wastewater, oil, lubricants and other contaminants common in manufacturing environments. Under existing regulations, the Company is not required to remove these exposures and there are no plans to undertake a renovation that would require removal of the asbestos or the remediation of the other in-place exposures at this time. The facilities are expected to be maintained and repaired by activities that will not result in the removal or disruption of these in-place exposures at this time. As a result, there is an indeterminate settlement date for these asset retirement obligations because the range of time over which the Company may incur these liabilities is unknown and cannot be reasonably estimated. Therefore, the Company has not recorded the fair value of any potential liability.</w:t>
      </w:r>
    </w:p>
    <w:p>
      <w:pPr>
        <w:spacing w:after="0" w:line="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Income Taxes</w:t>
      </w:r>
    </w:p>
    <w:p>
      <w:pPr>
        <w:spacing w:after="0" w:line="140" w:lineRule="exact"/>
        <w:rPr>
          <w:sz w:val="20"/>
          <w:szCs w:val="20"/>
          <w:color w:val="auto"/>
        </w:rPr>
      </w:pPr>
    </w:p>
    <w:p>
      <w:pPr>
        <w:jc w:val="both"/>
        <w:ind w:firstLine="509"/>
        <w:spacing w:after="0" w:line="280" w:lineRule="auto"/>
        <w:rPr>
          <w:sz w:val="20"/>
          <w:szCs w:val="20"/>
          <w:color w:val="auto"/>
        </w:rPr>
      </w:pPr>
      <w:r>
        <w:rPr>
          <w:rFonts w:ascii="Arial" w:cs="Arial" w:eastAsia="Arial" w:hAnsi="Arial"/>
          <w:sz w:val="13"/>
          <w:szCs w:val="13"/>
          <w:color w:val="auto"/>
        </w:rPr>
        <w:t>The Company follows provisions under ASC No. 740-10-30-27 in the Expenses-Income Taxes topic with regard to members of a group that file a consolidated tax return but issue separate financial statements. The Company files its U.S. federal tax return and certain state unitary returns with JBS USA Food Company Holdings (“JBS USA Holdings”). The income tax expense of the Company is computed using the separate return method. The provision for income taxes has been determined using the asset and liability approach of accounting for income taxes. For the unitary states, we have an obligation to make tax payments to JBS USA Holdings for our share of the unitary taxable income, which is included in taxes payable in our Consolidated Balance Sheets. Under this approach, deferred income taxes reflect the net tax effect of temporary differences between the book and tax bases of recorded assets and liabilities, net operating losses and tax credit carry forwards. The amount of deferred tax on these temporary differences is determined using the tax rates expected to apply to the period when the asset is realized or the liability is settled, as applicable, based on the tax rates and laws in the respective tax jurisdiction enacted as of the balance sheet date.</w:t>
      </w:r>
    </w:p>
    <w:p>
      <w:pPr>
        <w:spacing w:after="0" w:line="95" w:lineRule="exact"/>
        <w:rPr>
          <w:sz w:val="20"/>
          <w:szCs w:val="20"/>
          <w:color w:val="auto"/>
        </w:rPr>
      </w:pPr>
    </w:p>
    <w:p>
      <w:pPr>
        <w:jc w:val="both"/>
        <w:ind w:firstLine="509"/>
        <w:spacing w:after="0" w:line="297" w:lineRule="auto"/>
        <w:rPr>
          <w:sz w:val="20"/>
          <w:szCs w:val="20"/>
          <w:color w:val="auto"/>
        </w:rPr>
      </w:pPr>
      <w:r>
        <w:rPr>
          <w:rFonts w:ascii="Arial" w:cs="Arial" w:eastAsia="Arial" w:hAnsi="Arial"/>
          <w:sz w:val="13"/>
          <w:szCs w:val="13"/>
          <w:color w:val="auto"/>
        </w:rPr>
        <w:t>The Company reviews its deferred tax assets for recoverability and establishes a valuation allowance based on historical taxable income, potential for carry back of tax losses, projected future taxable income, applicable tax strategies, and the expected timing of the reversals of existing temporary differences. A valuation allowance is provided when it is more likely than not that some or all of the deferred tax assets will not be realized. Valuation allowances have been established primarily for net operating loss carry forwards of certain foreign subsidiaries.</w:t>
      </w:r>
    </w:p>
    <w:p>
      <w:pPr>
        <w:spacing w:after="0" w:line="82"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4"/>
          <w:szCs w:val="14"/>
          <w:color w:val="auto"/>
        </w:rPr>
        <w:t>The Company deems its earnings from Mexico, Puerto Rico, the U.K., the Republic of Ireland, France, the Netherlands, Luxembourg and Malta as of December 26, 2021 to be permanently reinvested. As such, U.S. deferred income taxes have not been provided on these earnings. If such earnings were not considered indefinitely reinvested, certain deferred foreign and U.S. income taxes would be provided.</w:t>
      </w:r>
    </w:p>
    <w:p>
      <w:pPr>
        <w:spacing w:after="0" w:line="99"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4"/>
          <w:szCs w:val="14"/>
          <w:color w:val="auto"/>
        </w:rPr>
        <w:t>The Company follows provisions under ASC No. 740-10-25 that provide a recognition threshold and measurement criteria for the financial statement recognition of a tax benefit taken or expected to be taken in a tax return. Tax benefits are recognized only when it is more likely than not, based on the technical merits, that the benefits will be sustained on examination. Tax benefits that meet the more-likely-than-not recognition threshold are measured using a probability weighting of the largest amount of tax benefit that has greater than 50% likelihood of being realized upon settlement. Whether the more-likely-than-not recognition threshold is met for a particular tax benefit is a matter of judgment based on the individual facts and circumstances evaluated in light of all available evidence as of the balance sheet date. See “Note 12. Income Taxes” to the Consolidated Financial Statements.</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Pension and Other Postemployment Benefits</w:t>
      </w:r>
    </w:p>
    <w:p>
      <w:pPr>
        <w:spacing w:after="0" w:line="140" w:lineRule="exact"/>
        <w:rPr>
          <w:sz w:val="20"/>
          <w:szCs w:val="20"/>
          <w:color w:val="auto"/>
        </w:rPr>
      </w:pPr>
    </w:p>
    <w:p>
      <w:pPr>
        <w:jc w:val="both"/>
        <w:ind w:firstLine="509"/>
        <w:spacing w:after="0" w:line="284" w:lineRule="auto"/>
        <w:rPr>
          <w:sz w:val="20"/>
          <w:szCs w:val="20"/>
          <w:color w:val="auto"/>
        </w:rPr>
      </w:pPr>
      <w:r>
        <w:rPr>
          <w:rFonts w:ascii="Arial" w:cs="Arial" w:eastAsia="Arial" w:hAnsi="Arial"/>
          <w:sz w:val="13"/>
          <w:szCs w:val="13"/>
          <w:color w:val="auto"/>
        </w:rPr>
        <w:t>Our pension and other postemployment benefit costs and obligations are dependent on the various actuarial assumptions used in calculating such amounts. These assumptions relate to discount rates, long-term return on plan assets and other factors. We base the discount rate assumptions on current investment yields on high-quality corporate long-term bonds. We determine the long-term return on plan assets based on historical portfolio results and management’s expectation of the future economic environment. Actual results that differ from our assumptions are accumulated and, if in excess of the lesser of 10% of the projected benefit obligation or the fair market value of plan assets, amortized over either (1) the estimated average future service period of active plan participants if the plan is active or (2) the estimated average future life expectancy of all plan participants if the plan is frozen.</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5" w:name="page56"/>
    <w:bookmarkEnd w:id="5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NOTES TO CONSOLIDATED FINANCIAL STATEMENTS</w:t>
      </w:r>
    </w:p>
    <w:p>
      <w:pPr>
        <w:spacing w:after="0" w:line="3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Derivative Financial Instruments</w:t>
      </w:r>
    </w:p>
    <w:p>
      <w:pPr>
        <w:spacing w:after="0" w:line="140" w:lineRule="exact"/>
        <w:rPr>
          <w:sz w:val="20"/>
          <w:szCs w:val="20"/>
          <w:color w:val="auto"/>
        </w:rPr>
      </w:pPr>
    </w:p>
    <w:p>
      <w:pPr>
        <w:ind w:firstLine="509"/>
        <w:spacing w:after="0" w:line="281" w:lineRule="auto"/>
        <w:rPr>
          <w:sz w:val="20"/>
          <w:szCs w:val="20"/>
          <w:color w:val="auto"/>
        </w:rPr>
      </w:pPr>
      <w:r>
        <w:rPr>
          <w:rFonts w:ascii="Arial" w:cs="Arial" w:eastAsia="Arial" w:hAnsi="Arial"/>
          <w:sz w:val="14"/>
          <w:szCs w:val="14"/>
          <w:color w:val="auto"/>
        </w:rPr>
        <w:t>The Company uses derivative financial instruments (e.g., futures, forwards options and swaps) for the purpose of mitigating exposure to changes in commodity prices, foreign currency exchange rates and interest rates.</w:t>
      </w:r>
    </w:p>
    <w:p>
      <w:pPr>
        <w:spacing w:after="0" w:line="90" w:lineRule="exact"/>
        <w:rPr>
          <w:sz w:val="20"/>
          <w:szCs w:val="20"/>
          <w:color w:val="auto"/>
        </w:rPr>
      </w:pPr>
    </w:p>
    <w:p>
      <w:pPr>
        <w:jc w:val="both"/>
        <w:ind w:left="760" w:hanging="246"/>
        <w:spacing w:after="0" w:line="258" w:lineRule="auto"/>
        <w:tabs>
          <w:tab w:leader="none" w:pos="756" w:val="left"/>
        </w:tabs>
        <w:numPr>
          <w:ilvl w:val="0"/>
          <w:numId w:val="23"/>
        </w:numPr>
        <w:rPr>
          <w:rFonts w:ascii="Arial" w:cs="Arial" w:eastAsia="Arial" w:hAnsi="Arial"/>
          <w:sz w:val="14"/>
          <w:szCs w:val="14"/>
          <w:b w:val="1"/>
          <w:bCs w:val="1"/>
          <w:i w:val="1"/>
          <w:iCs w:val="1"/>
          <w:color w:val="auto"/>
        </w:rPr>
      </w:pPr>
      <w:r>
        <w:rPr>
          <w:rFonts w:ascii="Arial" w:cs="Arial" w:eastAsia="Arial" w:hAnsi="Arial"/>
          <w:sz w:val="14"/>
          <w:szCs w:val="14"/>
          <w:i w:val="1"/>
          <w:iCs w:val="1"/>
          <w:color w:val="auto"/>
        </w:rPr>
        <w:t xml:space="preserve">Commodity Price Risk - </w:t>
      </w:r>
      <w:r>
        <w:rPr>
          <w:rFonts w:ascii="Arial" w:cs="Arial" w:eastAsia="Arial" w:hAnsi="Arial"/>
          <w:sz w:val="14"/>
          <w:szCs w:val="14"/>
          <w:color w:val="auto"/>
        </w:rPr>
        <w:t>The Company utilizes various raw materials, which are all considered commodities, in its operations, including corn, soybean meal, soybean oil, wheat, natural</w:t>
      </w:r>
      <w:r>
        <w:rPr>
          <w:rFonts w:ascii="Arial" w:cs="Arial" w:eastAsia="Arial" w:hAnsi="Arial"/>
          <w:sz w:val="14"/>
          <w:szCs w:val="14"/>
          <w:i w:val="1"/>
          <w:iCs w:val="1"/>
          <w:color w:val="auto"/>
        </w:rPr>
        <w:t xml:space="preserve"> </w:t>
      </w:r>
      <w:r>
        <w:rPr>
          <w:rFonts w:ascii="Arial" w:cs="Arial" w:eastAsia="Arial" w:hAnsi="Arial"/>
          <w:sz w:val="14"/>
          <w:szCs w:val="14"/>
          <w:color w:val="auto"/>
        </w:rPr>
        <w:t>gas, electricity and diesel fuel. The Company considers these raw materials to be generally available from a number of different sources and believes it can obtain them to meet its requirements. These commodities are subject to price fluctuations and related price risk due to factors beyond our control, such as economic and political conditions, supply and demand, weather, governmental regulation and other circumstances. Generally, the Company enters into derivative contracts such as physical forward contracts and exchange-traded futures or option contracts in an attempt to mitigate price risk related to its anticipated consumption of commodity inputs for periods up to 12 months. The Company may enter into longer-term derivatives on particular commodities if deemed appropriate.</w:t>
      </w:r>
    </w:p>
    <w:p>
      <w:pPr>
        <w:spacing w:after="0" w:line="107" w:lineRule="exact"/>
        <w:rPr>
          <w:rFonts w:ascii="Arial" w:cs="Arial" w:eastAsia="Arial" w:hAnsi="Arial"/>
          <w:sz w:val="14"/>
          <w:szCs w:val="14"/>
          <w:b w:val="1"/>
          <w:bCs w:val="1"/>
          <w:i w:val="1"/>
          <w:iCs w:val="1"/>
          <w:color w:val="auto"/>
        </w:rPr>
      </w:pPr>
    </w:p>
    <w:p>
      <w:pPr>
        <w:jc w:val="both"/>
        <w:ind w:left="760" w:hanging="246"/>
        <w:spacing w:after="0" w:line="288" w:lineRule="auto"/>
        <w:tabs>
          <w:tab w:leader="none" w:pos="756" w:val="left"/>
        </w:tabs>
        <w:numPr>
          <w:ilvl w:val="0"/>
          <w:numId w:val="23"/>
        </w:numPr>
        <w:rPr>
          <w:rFonts w:ascii="Arial" w:cs="Arial" w:eastAsia="Arial" w:hAnsi="Arial"/>
          <w:sz w:val="13"/>
          <w:szCs w:val="13"/>
          <w:b w:val="1"/>
          <w:bCs w:val="1"/>
          <w:i w:val="1"/>
          <w:iCs w:val="1"/>
          <w:color w:val="auto"/>
        </w:rPr>
      </w:pPr>
      <w:r>
        <w:rPr>
          <w:rFonts w:ascii="Arial" w:cs="Arial" w:eastAsia="Arial" w:hAnsi="Arial"/>
          <w:sz w:val="13"/>
          <w:szCs w:val="13"/>
          <w:i w:val="1"/>
          <w:iCs w:val="1"/>
          <w:color w:val="auto"/>
        </w:rPr>
        <w:t xml:space="preserve">Foreign Currency Risk - </w:t>
      </w:r>
      <w:r>
        <w:rPr>
          <w:rFonts w:ascii="Arial" w:cs="Arial" w:eastAsia="Arial" w:hAnsi="Arial"/>
          <w:sz w:val="13"/>
          <w:szCs w:val="13"/>
          <w:color w:val="auto"/>
        </w:rPr>
        <w:t>The Company has foreign operations and, therefore, has exposure to foreign exchange risk when the financial results of those operations are translated to U.S.</w:t>
      </w:r>
      <w:r>
        <w:rPr>
          <w:rFonts w:ascii="Arial" w:cs="Arial" w:eastAsia="Arial" w:hAnsi="Arial"/>
          <w:sz w:val="13"/>
          <w:szCs w:val="13"/>
          <w:i w:val="1"/>
          <w:iCs w:val="1"/>
          <w:color w:val="auto"/>
        </w:rPr>
        <w:t xml:space="preserve"> </w:t>
      </w:r>
      <w:r>
        <w:rPr>
          <w:rFonts w:ascii="Arial" w:cs="Arial" w:eastAsia="Arial" w:hAnsi="Arial"/>
          <w:sz w:val="13"/>
          <w:szCs w:val="13"/>
          <w:color w:val="auto"/>
        </w:rPr>
        <w:t>dollars. The Company will occasionally purchase derivative financial instruments such as foreign currency forward contracts in an attempt to mitigate currency exchange rate exposure related to the net assets of its Mexico reportable segment that are denominated in Mexican pesos. The Company’s U.K. and Europe reportable segment also attempts to mitigate foreign currency exposure on certain transactions denominated in foreign currencies through the use of derivative financial instruments.</w:t>
      </w:r>
    </w:p>
    <w:p>
      <w:pPr>
        <w:spacing w:after="0" w:line="88" w:lineRule="exact"/>
        <w:rPr>
          <w:rFonts w:ascii="Arial" w:cs="Arial" w:eastAsia="Arial" w:hAnsi="Arial"/>
          <w:sz w:val="13"/>
          <w:szCs w:val="13"/>
          <w:b w:val="1"/>
          <w:bCs w:val="1"/>
          <w:i w:val="1"/>
          <w:iCs w:val="1"/>
          <w:color w:val="auto"/>
        </w:rPr>
      </w:pPr>
    </w:p>
    <w:p>
      <w:pPr>
        <w:jc w:val="both"/>
        <w:ind w:left="760" w:hanging="246"/>
        <w:spacing w:after="0" w:line="267" w:lineRule="auto"/>
        <w:tabs>
          <w:tab w:leader="none" w:pos="756" w:val="left"/>
        </w:tabs>
        <w:numPr>
          <w:ilvl w:val="0"/>
          <w:numId w:val="23"/>
        </w:numPr>
        <w:rPr>
          <w:rFonts w:ascii="Arial" w:cs="Arial" w:eastAsia="Arial" w:hAnsi="Arial"/>
          <w:sz w:val="14"/>
          <w:szCs w:val="14"/>
          <w:color w:val="auto"/>
        </w:rPr>
      </w:pPr>
      <w:r>
        <w:rPr>
          <w:rFonts w:ascii="Arial" w:cs="Arial" w:eastAsia="Arial" w:hAnsi="Arial"/>
          <w:sz w:val="14"/>
          <w:szCs w:val="14"/>
          <w:i w:val="1"/>
          <w:iCs w:val="1"/>
          <w:color w:val="auto"/>
        </w:rPr>
        <w:t xml:space="preserve">Interest Rate Risk - </w:t>
      </w:r>
      <w:r>
        <w:rPr>
          <w:rFonts w:ascii="Arial" w:cs="Arial" w:eastAsia="Arial" w:hAnsi="Arial"/>
          <w:sz w:val="14"/>
          <w:szCs w:val="14"/>
          <w:color w:val="auto"/>
        </w:rPr>
        <w:t>The Company has exposure to variability in cash flows from interest payments due to the use of variable interest rates on certain long-term debt arrangements. The</w:t>
      </w:r>
      <w:r>
        <w:rPr>
          <w:rFonts w:ascii="Arial" w:cs="Arial" w:eastAsia="Arial" w:hAnsi="Arial"/>
          <w:sz w:val="14"/>
          <w:szCs w:val="14"/>
          <w:i w:val="1"/>
          <w:iCs w:val="1"/>
          <w:color w:val="auto"/>
        </w:rPr>
        <w:t xml:space="preserve"> </w:t>
      </w:r>
      <w:r>
        <w:rPr>
          <w:rFonts w:ascii="Arial" w:cs="Arial" w:eastAsia="Arial" w:hAnsi="Arial"/>
          <w:sz w:val="14"/>
          <w:szCs w:val="14"/>
          <w:color w:val="auto"/>
        </w:rPr>
        <w:t>Company has purchased an interest rate swap contract to convert the variable interest rate to a fixed interest rate on a portion of its outstanding long-term debt arrangements in order to manage this interest rate risk and add stability to interest expense and cash flows.</w:t>
      </w:r>
    </w:p>
    <w:p>
      <w:pPr>
        <w:spacing w:after="0" w:line="99" w:lineRule="exact"/>
        <w:rPr>
          <w:sz w:val="20"/>
          <w:szCs w:val="20"/>
          <w:color w:val="auto"/>
        </w:rPr>
      </w:pPr>
    </w:p>
    <w:p>
      <w:pPr>
        <w:jc w:val="both"/>
        <w:ind w:firstLine="509"/>
        <w:spacing w:after="0" w:line="288" w:lineRule="auto"/>
        <w:rPr>
          <w:sz w:val="20"/>
          <w:szCs w:val="20"/>
          <w:color w:val="auto"/>
        </w:rPr>
      </w:pPr>
      <w:r>
        <w:rPr>
          <w:rFonts w:ascii="Arial" w:cs="Arial" w:eastAsia="Arial" w:hAnsi="Arial"/>
          <w:sz w:val="13"/>
          <w:szCs w:val="13"/>
          <w:color w:val="auto"/>
        </w:rPr>
        <w:t>Pilgrim’s recognizes all commodity derivative instruments that qualify for derivative accounting treatment as either assets or liabilities and measures those instruments at fair value unless they qualify for, and we elect, the normal purchases and normal sales scope exception (“NPNS”). The permitted accounting treatments include: cash flow hedge; fair value hedge; and undesignated contracts. Undesignated contract accounting is the default accounting treatment for all derivatives unless they qualify, and we specifically designate them, for one of the other accounting treatments. Derivatives designated for any of the elective accounting treatments must meet specific, restrictive criteria both at the time of designation and on an ongoing basis.</w:t>
      </w:r>
    </w:p>
    <w:p>
      <w:pPr>
        <w:spacing w:after="0" w:line="89" w:lineRule="exact"/>
        <w:rPr>
          <w:sz w:val="20"/>
          <w:szCs w:val="20"/>
          <w:color w:val="auto"/>
        </w:rPr>
      </w:pPr>
    </w:p>
    <w:p>
      <w:pPr>
        <w:jc w:val="both"/>
        <w:ind w:firstLine="509"/>
        <w:spacing w:after="0" w:line="281" w:lineRule="auto"/>
        <w:rPr>
          <w:sz w:val="20"/>
          <w:szCs w:val="20"/>
          <w:color w:val="auto"/>
        </w:rPr>
      </w:pPr>
      <w:r>
        <w:rPr>
          <w:rFonts w:ascii="Arial" w:cs="Arial" w:eastAsia="Arial" w:hAnsi="Arial"/>
          <w:sz w:val="14"/>
          <w:szCs w:val="14"/>
          <w:color w:val="auto"/>
        </w:rPr>
        <w:t>The Company has generally applied the NPNS exception to its forward physical grain purchase contracts. NPNS contracts are accounted for using the accrual method of accounting; therefore, there were no amounts recorded in the Consolidated Financial Statements at December 26, 2021 and December 27, 2020.</w:t>
      </w:r>
    </w:p>
    <w:p>
      <w:pPr>
        <w:spacing w:after="0" w:line="90"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4"/>
          <w:szCs w:val="14"/>
          <w:color w:val="auto"/>
        </w:rPr>
        <w:t xml:space="preserve">Undesignated contracts may include contracts not designated as a hedge or for which the NPNS exception was not elected, contracts that do not qualify for hedge accounting and derivatives that do not or no longer qualify for the NPNS scope exception. The fair value of these derivatives is recognized in the Consolidated Balance Sheets within </w:t>
      </w:r>
      <w:r>
        <w:rPr>
          <w:rFonts w:ascii="Arial" w:cs="Arial" w:eastAsia="Arial" w:hAnsi="Arial"/>
          <w:sz w:val="14"/>
          <w:szCs w:val="14"/>
          <w:i w:val="1"/>
          <w:iCs w:val="1"/>
          <w:color w:val="auto"/>
        </w:rPr>
        <w:t>Prepaid expenses and other current assets</w:t>
      </w:r>
      <w:r>
        <w:rPr>
          <w:rFonts w:ascii="Arial" w:cs="Arial" w:eastAsia="Arial" w:hAnsi="Arial"/>
          <w:sz w:val="14"/>
          <w:szCs w:val="14"/>
          <w:color w:val="auto"/>
        </w:rPr>
        <w:t xml:space="preserve"> or </w:t>
      </w:r>
      <w:r>
        <w:rPr>
          <w:rFonts w:ascii="Arial" w:cs="Arial" w:eastAsia="Arial" w:hAnsi="Arial"/>
          <w:sz w:val="14"/>
          <w:szCs w:val="14"/>
          <w:i w:val="1"/>
          <w:iCs w:val="1"/>
          <w:color w:val="auto"/>
        </w:rPr>
        <w:t>Accrued expenses and other current liabilities</w:t>
      </w:r>
      <w:r>
        <w:rPr>
          <w:rFonts w:ascii="Arial" w:cs="Arial" w:eastAsia="Arial" w:hAnsi="Arial"/>
          <w:sz w:val="14"/>
          <w:szCs w:val="14"/>
          <w:color w:val="auto"/>
        </w:rPr>
        <w:t xml:space="preserve">. Changes in fair value of these derivatives are recognized immediately in the Consolidated Statements of Income within </w:t>
      </w:r>
      <w:r>
        <w:rPr>
          <w:rFonts w:ascii="Arial" w:cs="Arial" w:eastAsia="Arial" w:hAnsi="Arial"/>
          <w:sz w:val="14"/>
          <w:szCs w:val="14"/>
          <w:i w:val="1"/>
          <w:iCs w:val="1"/>
          <w:color w:val="auto"/>
        </w:rPr>
        <w:t>Net sales</w:t>
      </w:r>
      <w:r>
        <w:rPr>
          <w:rFonts w:ascii="Arial" w:cs="Arial" w:eastAsia="Arial" w:hAnsi="Arial"/>
          <w:sz w:val="14"/>
          <w:szCs w:val="14"/>
          <w:color w:val="auto"/>
        </w:rPr>
        <w:t xml:space="preserve">, </w:t>
      </w:r>
      <w:r>
        <w:rPr>
          <w:rFonts w:ascii="Arial" w:cs="Arial" w:eastAsia="Arial" w:hAnsi="Arial"/>
          <w:sz w:val="14"/>
          <w:szCs w:val="14"/>
          <w:i w:val="1"/>
          <w:iCs w:val="1"/>
          <w:color w:val="auto"/>
        </w:rPr>
        <w:t>Cost of sales</w:t>
      </w:r>
      <w:r>
        <w:rPr>
          <w:rFonts w:ascii="Arial" w:cs="Arial" w:eastAsia="Arial" w:hAnsi="Arial"/>
          <w:sz w:val="14"/>
          <w:szCs w:val="14"/>
          <w:color w:val="auto"/>
        </w:rPr>
        <w:t xml:space="preserve"> or </w:t>
      </w:r>
      <w:r>
        <w:rPr>
          <w:rFonts w:ascii="Arial" w:cs="Arial" w:eastAsia="Arial" w:hAnsi="Arial"/>
          <w:sz w:val="14"/>
          <w:szCs w:val="14"/>
          <w:i w:val="1"/>
          <w:iCs w:val="1"/>
          <w:color w:val="auto"/>
        </w:rPr>
        <w:t>Selling, general and administrative expense</w:t>
      </w:r>
      <w:r>
        <w:rPr>
          <w:rFonts w:ascii="Arial" w:cs="Arial" w:eastAsia="Arial" w:hAnsi="Arial"/>
          <w:sz w:val="14"/>
          <w:szCs w:val="14"/>
          <w:color w:val="auto"/>
        </w:rPr>
        <w:t>, depending on the risk they are intended to mitigate. While management believes these instruments help mitigate various market risks, they are not</w:t>
      </w:r>
      <w:r>
        <w:rPr>
          <w:rFonts w:ascii="Arial" w:cs="Arial" w:eastAsia="Arial" w:hAnsi="Arial"/>
          <w:sz w:val="14"/>
          <w:szCs w:val="14"/>
          <w:i w:val="1"/>
          <w:iCs w:val="1"/>
          <w:color w:val="auto"/>
        </w:rPr>
        <w:t xml:space="preserve"> </w:t>
      </w:r>
      <w:r>
        <w:rPr>
          <w:rFonts w:ascii="Arial" w:cs="Arial" w:eastAsia="Arial" w:hAnsi="Arial"/>
          <w:sz w:val="14"/>
          <w:szCs w:val="14"/>
          <w:color w:val="auto"/>
        </w:rPr>
        <w:t>designated nor accounted for as hedges as a result of the extensive record keeping requirements.</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Business Combination Accounting</w:t>
      </w:r>
    </w:p>
    <w:p>
      <w:pPr>
        <w:spacing w:after="0" w:line="140" w:lineRule="exact"/>
        <w:rPr>
          <w:sz w:val="20"/>
          <w:szCs w:val="20"/>
          <w:color w:val="auto"/>
        </w:rPr>
      </w:pPr>
    </w:p>
    <w:p>
      <w:pPr>
        <w:jc w:val="both"/>
        <w:ind w:firstLine="509"/>
        <w:spacing w:after="0" w:line="307" w:lineRule="auto"/>
        <w:rPr>
          <w:sz w:val="20"/>
          <w:szCs w:val="20"/>
          <w:color w:val="auto"/>
        </w:rPr>
      </w:pPr>
      <w:r>
        <w:rPr>
          <w:rFonts w:ascii="Arial" w:cs="Arial" w:eastAsia="Arial" w:hAnsi="Arial"/>
          <w:sz w:val="12"/>
          <w:szCs w:val="12"/>
          <w:color w:val="auto"/>
        </w:rPr>
        <w:t>Pilgrim’s allocates the consideration of an acquired business to its identifiable assets and liabilities based on estimated fair values. The excess of the consideration over the amount allocated to the assets and liabilities, if any, is recorded to goodwill. The Company uses all available information to estimate fair values. Pilgrim’s uses various models to determine the value of assets acquired and liabilities assumed such as net realizable value to value inventory, cost method and market approach to value property, relief-from-royalty and multi-period excess earnings to value intangibles and discounted cash flow to value goodwill. The Company typically engages third-party valuation specialists to assist in the fair value determination of tangible long-lived assets and intangible assets other than goodwill. The fair value of acquired inventories is determined by extending physical counts of the inventories taken at or near the acquisition date to market pricing in effect for such inventories at or near the acquisition date. The carrying values of acquired receivables and accounts payable have historically approximated their fair values as of the business combination date. As necessary, Pilgrim’s may engage third-party specialists to assist in the estimation of fair value for certain liabilities. The Company adjusts the preliminary acquisition accounting, as necessary,</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6" w:name="page57"/>
    <w:bookmarkEnd w:id="5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NOTES TO CONSOLIDATED FINANCIAL STATEMENTS</w:t>
      </w:r>
    </w:p>
    <w:p>
      <w:pPr>
        <w:spacing w:after="0" w:line="391"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typically up to one year after the acquisition closing date for those items that existed at the acquisition date and were provisionally accounted for at that time, as it obtains more information regarding asset valuations and liabilities assumed.</w:t>
      </w:r>
    </w:p>
    <w:p>
      <w:pPr>
        <w:spacing w:after="0" w:line="90" w:lineRule="exact"/>
        <w:rPr>
          <w:sz w:val="20"/>
          <w:szCs w:val="20"/>
          <w:color w:val="auto"/>
        </w:rPr>
      </w:pPr>
    </w:p>
    <w:p>
      <w:pPr>
        <w:jc w:val="both"/>
        <w:ind w:firstLine="509"/>
        <w:spacing w:after="0" w:line="313" w:lineRule="auto"/>
        <w:rPr>
          <w:sz w:val="20"/>
          <w:szCs w:val="20"/>
          <w:color w:val="auto"/>
        </w:rPr>
      </w:pPr>
      <w:r>
        <w:rPr>
          <w:rFonts w:ascii="Arial" w:cs="Arial" w:eastAsia="Arial" w:hAnsi="Arial"/>
          <w:sz w:val="12"/>
          <w:szCs w:val="12"/>
          <w:color w:val="auto"/>
        </w:rPr>
        <w:t>The Company’s acquisition accounting methodology contains uncertainties because it requires management to make assumptions and to apply judgment to estimate the fair value of acquired assets and liabilities. Management estimates the fair value of assets and liabilities based upon quoted market prices, the carrying value of the acquired assets and widely accepted valuation techniques, including discounted cash flows and market multiple analyses. Unanticipated events or circumstances may occur which could affect the accuracy of the Company’s fair value estimates, including changes in assumptions regarding industry economic factors and business strategies. If actual results are materially different than the assumptions used to determine fair value of the assets and liabilities acquired through a business combination, it is possible that adjustments to the carrying values of such assets and liabilities will have an impact on the Company’s net earnings.</w:t>
      </w:r>
    </w:p>
    <w:p>
      <w:pPr>
        <w:spacing w:after="0" w:line="76" w:lineRule="exact"/>
        <w:rPr>
          <w:sz w:val="20"/>
          <w:szCs w:val="20"/>
          <w:color w:val="auto"/>
        </w:rPr>
      </w:pPr>
    </w:p>
    <w:p>
      <w:pPr>
        <w:ind w:left="520"/>
        <w:spacing w:after="0"/>
        <w:rPr>
          <w:sz w:val="20"/>
          <w:szCs w:val="20"/>
          <w:color w:val="auto"/>
        </w:rPr>
      </w:pPr>
      <w:r>
        <w:rPr>
          <w:rFonts w:ascii="Arial" w:cs="Arial" w:eastAsia="Arial" w:hAnsi="Arial"/>
          <w:sz w:val="12"/>
          <w:szCs w:val="12"/>
          <w:color w:val="auto"/>
        </w:rPr>
        <w:t>See “Note 2. Business Acquisitions” to the Consolidated Financial Statements for the acquisition-related information associated with significant acquisitions completed in the last three fiscal</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years.</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Use of Estimates</w:t>
      </w:r>
    </w:p>
    <w:p>
      <w:pPr>
        <w:spacing w:after="0" w:line="140" w:lineRule="exact"/>
        <w:rPr>
          <w:sz w:val="20"/>
          <w:szCs w:val="20"/>
          <w:color w:val="auto"/>
        </w:rPr>
      </w:pPr>
    </w:p>
    <w:p>
      <w:pPr>
        <w:jc w:val="both"/>
        <w:ind w:firstLine="509"/>
        <w:spacing w:after="0" w:line="288" w:lineRule="auto"/>
        <w:rPr>
          <w:sz w:val="20"/>
          <w:szCs w:val="20"/>
          <w:color w:val="auto"/>
        </w:rPr>
      </w:pPr>
      <w:r>
        <w:rPr>
          <w:rFonts w:ascii="Arial" w:cs="Arial" w:eastAsia="Arial" w:hAnsi="Arial"/>
          <w:sz w:val="13"/>
          <w:szCs w:val="13"/>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We make significant estimates in regard to receivables collectability; inventory valuation; realization of deferred tax assets; valuation of long-lived assets; valuation of contingent liabilities, liabilities subject to compromise and self-insurance liabilities; valuation of pension and other postretirement benefits obligations; and valuation of acquired businesses.</w:t>
      </w:r>
    </w:p>
    <w:p>
      <w:pPr>
        <w:spacing w:after="0" w:line="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 Accounting Pronouncements Adopted in 2020</w:t>
      </w:r>
    </w:p>
    <w:p>
      <w:pPr>
        <w:spacing w:after="0" w:line="140" w:lineRule="exact"/>
        <w:rPr>
          <w:sz w:val="20"/>
          <w:szCs w:val="20"/>
          <w:color w:val="auto"/>
        </w:rPr>
      </w:pPr>
    </w:p>
    <w:p>
      <w:pPr>
        <w:jc w:val="both"/>
        <w:ind w:firstLine="509"/>
        <w:spacing w:after="0" w:line="284" w:lineRule="auto"/>
        <w:rPr>
          <w:sz w:val="20"/>
          <w:szCs w:val="20"/>
          <w:color w:val="auto"/>
        </w:rPr>
      </w:pPr>
      <w:r>
        <w:rPr>
          <w:rFonts w:ascii="Arial" w:cs="Arial" w:eastAsia="Arial" w:hAnsi="Arial"/>
          <w:sz w:val="13"/>
          <w:szCs w:val="13"/>
          <w:color w:val="auto"/>
        </w:rPr>
        <w:t xml:space="preserve">In June 2016, the Financial Accounting Standards Board (“FASB”) issued Accounting Standard Update (“ASU”) 2016-13, </w:t>
      </w:r>
      <w:r>
        <w:rPr>
          <w:rFonts w:ascii="Arial" w:cs="Arial" w:eastAsia="Arial" w:hAnsi="Arial"/>
          <w:sz w:val="13"/>
          <w:szCs w:val="13"/>
          <w:i w:val="1"/>
          <w:iCs w:val="1"/>
          <w:color w:val="auto"/>
        </w:rPr>
        <w:t>Financial Instruments—Credit Losses (Topic 326): Measurement</w:t>
      </w:r>
      <w:r>
        <w:rPr>
          <w:rFonts w:ascii="Arial" w:cs="Arial" w:eastAsia="Arial" w:hAnsi="Arial"/>
          <w:sz w:val="13"/>
          <w:szCs w:val="13"/>
          <w:color w:val="auto"/>
        </w:rPr>
        <w:t xml:space="preserve"> </w:t>
      </w:r>
      <w:r>
        <w:rPr>
          <w:rFonts w:ascii="Arial" w:cs="Arial" w:eastAsia="Arial" w:hAnsi="Arial"/>
          <w:sz w:val="13"/>
          <w:szCs w:val="13"/>
          <w:i w:val="1"/>
          <w:iCs w:val="1"/>
          <w:color w:val="auto"/>
        </w:rPr>
        <w:t>of Credit Losses on Financial Instruments</w:t>
      </w:r>
      <w:r>
        <w:rPr>
          <w:rFonts w:ascii="Arial" w:cs="Arial" w:eastAsia="Arial" w:hAnsi="Arial"/>
          <w:sz w:val="13"/>
          <w:szCs w:val="13"/>
          <w:color w:val="auto"/>
        </w:rPr>
        <w:t>, which, in an effort to provide financial statement users with more decision-useful information about the expected credit losses on financial instruments,</w:t>
      </w:r>
      <w:r>
        <w:rPr>
          <w:rFonts w:ascii="Arial" w:cs="Arial" w:eastAsia="Arial" w:hAnsi="Arial"/>
          <w:sz w:val="13"/>
          <w:szCs w:val="13"/>
          <w:i w:val="1"/>
          <w:iCs w:val="1"/>
          <w:color w:val="auto"/>
        </w:rPr>
        <w:t xml:space="preserve"> </w:t>
      </w:r>
      <w:r>
        <w:rPr>
          <w:rFonts w:ascii="Arial" w:cs="Arial" w:eastAsia="Arial" w:hAnsi="Arial"/>
          <w:sz w:val="13"/>
          <w:szCs w:val="13"/>
          <w:color w:val="auto"/>
        </w:rPr>
        <w:t>replaces the current incurred loss impairment methodology with a methodology that reflects expected credit losses and requires consideration of a broader range of reasonable and supportable information to inform credit loss estimates. The amendments affect loans, debt securities, trade receivables, net investments in leases, off-balance sheet credit exposures, reinsurance receivables and any other financial assets not excluded from the scope that have the contractual right to receive cash. The adoption of this guidance did not have a material impact on our financial statements.</w:t>
      </w:r>
    </w:p>
    <w:p>
      <w:pPr>
        <w:spacing w:after="0" w:line="92"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4"/>
          <w:szCs w:val="14"/>
          <w:color w:val="auto"/>
        </w:rPr>
        <w:t xml:space="preserve">In August 2018, the FASB issued ASU 2018-13, </w:t>
      </w:r>
      <w:r>
        <w:rPr>
          <w:rFonts w:ascii="Arial" w:cs="Arial" w:eastAsia="Arial" w:hAnsi="Arial"/>
          <w:sz w:val="14"/>
          <w:szCs w:val="14"/>
          <w:i w:val="1"/>
          <w:iCs w:val="1"/>
          <w:color w:val="auto"/>
        </w:rPr>
        <w:t>Fair Value Measurement (Topic 820): Disclosure Framework—Changes to the Disclosure Requirements for Fair Value Measurement</w:t>
      </w:r>
      <w:r>
        <w:rPr>
          <w:rFonts w:ascii="Arial" w:cs="Arial" w:eastAsia="Arial" w:hAnsi="Arial"/>
          <w:sz w:val="14"/>
          <w:szCs w:val="14"/>
          <w:color w:val="auto"/>
        </w:rPr>
        <w:t>, new accounting guidance to improve the effectiveness of disclosures related to fair value measurements. The new guidance removes certain disclosure requirements related to transfers between Level 1 and Level 2 of the fair value hierarchy along with the policy for timing of transfers between levels and the valuation processes for Level 3 fair value measurements. Additions to the disclosure requirements include more quantitative information related to significant unobservable inputs used in Level 3 fair value measurements and gains and losses included in other comprehensive income. The adoption of this guidance did not have a material impact on our financial statements.</w:t>
      </w:r>
    </w:p>
    <w:p>
      <w:pPr>
        <w:spacing w:after="0" w:line="104" w:lineRule="exact"/>
        <w:rPr>
          <w:sz w:val="20"/>
          <w:szCs w:val="20"/>
          <w:color w:val="auto"/>
        </w:rPr>
      </w:pPr>
    </w:p>
    <w:p>
      <w:pPr>
        <w:jc w:val="both"/>
        <w:ind w:firstLine="509"/>
        <w:spacing w:after="0" w:line="284" w:lineRule="auto"/>
        <w:rPr>
          <w:sz w:val="20"/>
          <w:szCs w:val="20"/>
          <w:color w:val="auto"/>
        </w:rPr>
      </w:pPr>
      <w:r>
        <w:rPr>
          <w:rFonts w:ascii="Arial" w:cs="Arial" w:eastAsia="Arial" w:hAnsi="Arial"/>
          <w:sz w:val="13"/>
          <w:szCs w:val="13"/>
          <w:color w:val="auto"/>
        </w:rPr>
        <w:t xml:space="preserve">In August 2018, the FASB issued ASU 2018-14, </w:t>
      </w:r>
      <w:r>
        <w:rPr>
          <w:rFonts w:ascii="Arial" w:cs="Arial" w:eastAsia="Arial" w:hAnsi="Arial"/>
          <w:sz w:val="13"/>
          <w:szCs w:val="13"/>
          <w:i w:val="1"/>
          <w:iCs w:val="1"/>
          <w:color w:val="auto"/>
        </w:rPr>
        <w:t>Compensation—Retirement Benefits—Defined Benefit Plans—General (Subtopic 715-20): Disclosure Framework—Changes to the</w:t>
      </w:r>
      <w:r>
        <w:rPr>
          <w:rFonts w:ascii="Arial" w:cs="Arial" w:eastAsia="Arial" w:hAnsi="Arial"/>
          <w:sz w:val="13"/>
          <w:szCs w:val="13"/>
          <w:color w:val="auto"/>
        </w:rPr>
        <w:t xml:space="preserve"> </w:t>
      </w:r>
      <w:r>
        <w:rPr>
          <w:rFonts w:ascii="Arial" w:cs="Arial" w:eastAsia="Arial" w:hAnsi="Arial"/>
          <w:sz w:val="13"/>
          <w:szCs w:val="13"/>
          <w:i w:val="1"/>
          <w:iCs w:val="1"/>
          <w:color w:val="auto"/>
        </w:rPr>
        <w:t>Disclosure Requirements for Defined Benefit Plans</w:t>
      </w:r>
      <w:r>
        <w:rPr>
          <w:rFonts w:ascii="Arial" w:cs="Arial" w:eastAsia="Arial" w:hAnsi="Arial"/>
          <w:sz w:val="13"/>
          <w:szCs w:val="13"/>
          <w:color w:val="auto"/>
        </w:rPr>
        <w:t>, new accounting guidance to improve the effectiveness of disclosures related to defined benefit plans by eliminating certain required disclosures,</w:t>
      </w:r>
      <w:r>
        <w:rPr>
          <w:rFonts w:ascii="Arial" w:cs="Arial" w:eastAsia="Arial" w:hAnsi="Arial"/>
          <w:sz w:val="13"/>
          <w:szCs w:val="13"/>
          <w:i w:val="1"/>
          <w:iCs w:val="1"/>
          <w:color w:val="auto"/>
        </w:rPr>
        <w:t xml:space="preserve"> </w:t>
      </w:r>
      <w:r>
        <w:rPr>
          <w:rFonts w:ascii="Arial" w:cs="Arial" w:eastAsia="Arial" w:hAnsi="Arial"/>
          <w:sz w:val="13"/>
          <w:szCs w:val="13"/>
          <w:color w:val="auto"/>
        </w:rPr>
        <w:t>clarifying existing disclosures, and adding new disclosures. Changes include removing disclosures related to the amounts in accumulated other comprehensive loss expected to be recognized in the next fiscal year, adding narrative disclosure of the reasons for significant gains and losses related to changes in the defined benefit obligation, and clarifying the disclosures required for plans with projected and accumulated benefit obligations in excess of plan assets. The adoption of this guidance did not have a material impact on our financial statements.</w:t>
      </w:r>
    </w:p>
    <w:p>
      <w:pPr>
        <w:spacing w:after="0" w:line="92"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color w:val="auto"/>
        </w:rPr>
        <w:t xml:space="preserve">In December 2019, the FASB issued ASU 2019-12, </w:t>
      </w:r>
      <w:r>
        <w:rPr>
          <w:rFonts w:ascii="Arial" w:cs="Arial" w:eastAsia="Arial" w:hAnsi="Arial"/>
          <w:sz w:val="14"/>
          <w:szCs w:val="14"/>
          <w:i w:val="1"/>
          <w:iCs w:val="1"/>
          <w:color w:val="auto"/>
        </w:rPr>
        <w:t>Simplifying the Accounting for Income Taxes</w:t>
      </w:r>
      <w:r>
        <w:rPr>
          <w:rFonts w:ascii="Arial" w:cs="Arial" w:eastAsia="Arial" w:hAnsi="Arial"/>
          <w:sz w:val="14"/>
          <w:szCs w:val="14"/>
          <w:color w:val="auto"/>
        </w:rPr>
        <w:t>, which is intended to improve consistency and simplify several areas of existing guidance. ASU 2019-12 removes certain exceptions to the general principles related to the approach for intraperiod tax allocation, the methodology for calculating income taxes in an interim period and the recognition of deferred tax liabilities for outside basis differences. The new guidance also clarifies the accounting for transactions that result in a step-up in the tax basis of goodwill. The adoption of this guidance did not have a material impact on our financial statements.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7" w:name="page58"/>
    <w:bookmarkEnd w:id="5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NOTES TO CONSOLIDATED FINANCIAL STATEMENTS</w:t>
      </w:r>
    </w:p>
    <w:p>
      <w:pPr>
        <w:spacing w:after="0" w:line="391" w:lineRule="exact"/>
        <w:rPr>
          <w:sz w:val="20"/>
          <w:szCs w:val="20"/>
          <w:color w:val="auto"/>
        </w:rPr>
      </w:pPr>
    </w:p>
    <w:p>
      <w:pPr>
        <w:jc w:val="both"/>
        <w:ind w:firstLine="509"/>
        <w:spacing w:after="0" w:line="282" w:lineRule="auto"/>
        <w:rPr>
          <w:sz w:val="20"/>
          <w:szCs w:val="20"/>
          <w:color w:val="auto"/>
        </w:rPr>
      </w:pPr>
      <w:r>
        <w:rPr>
          <w:rFonts w:ascii="Arial" w:cs="Arial" w:eastAsia="Arial" w:hAnsi="Arial"/>
          <w:sz w:val="13"/>
          <w:szCs w:val="13"/>
          <w:color w:val="auto"/>
        </w:rPr>
        <w:t xml:space="preserve">In January 2020, the FASB issued ASU 2020-01, </w:t>
      </w:r>
      <w:r>
        <w:rPr>
          <w:rFonts w:ascii="Arial" w:cs="Arial" w:eastAsia="Arial" w:hAnsi="Arial"/>
          <w:sz w:val="13"/>
          <w:szCs w:val="13"/>
          <w:i w:val="1"/>
          <w:iCs w:val="1"/>
          <w:color w:val="auto"/>
        </w:rPr>
        <w:t>Clarifying the Interactions between Topic 321, Topic 323, and Topic 815</w:t>
      </w:r>
      <w:r>
        <w:rPr>
          <w:rFonts w:ascii="Arial" w:cs="Arial" w:eastAsia="Arial" w:hAnsi="Arial"/>
          <w:sz w:val="13"/>
          <w:szCs w:val="13"/>
          <w:color w:val="auto"/>
        </w:rPr>
        <w:t>, which clarifies that an entity should consider observable transactions that require it to either apply or discontinue the equity method of accounting for the purposes of applying the measurement alternative in accordance with Topic 321 immediately before applying or upon discontinuing the equity method. This update also specifies that for the purpose of applying paragraph 815-10-15-1419(a) an entity should not consider whether, upon the settlement of the forward contract or exercise of the purchased option, individually or with existing investments, the underlying securities would be accounted for under the equity method in Topic 323 or the fair value option in accordance with the financial instruments guidance in Topic 825. The entity also would evaluate the remaining characteristics in paragraph 815-10-15-141 to determine the accounting for those forward contracts and purchased options. The adoption of this guidance did not have a material impact on our financial statements.</w:t>
      </w:r>
    </w:p>
    <w:p>
      <w:pPr>
        <w:spacing w:after="0" w:line="92"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color w:val="auto"/>
        </w:rPr>
        <w:t xml:space="preserve">In October 2020, the FASB issued ASU 2020-10, </w:t>
      </w:r>
      <w:r>
        <w:rPr>
          <w:rFonts w:ascii="Arial" w:cs="Arial" w:eastAsia="Arial" w:hAnsi="Arial"/>
          <w:sz w:val="14"/>
          <w:szCs w:val="14"/>
          <w:i w:val="1"/>
          <w:iCs w:val="1"/>
          <w:color w:val="auto"/>
        </w:rPr>
        <w:t>Codification Improvements</w:t>
      </w:r>
      <w:r>
        <w:rPr>
          <w:rFonts w:ascii="Arial" w:cs="Arial" w:eastAsia="Arial" w:hAnsi="Arial"/>
          <w:sz w:val="14"/>
          <w:szCs w:val="14"/>
          <w:color w:val="auto"/>
        </w:rPr>
        <w:t>, which provided codification updates for technical corrections such as conforming amendments, clarifications to guidance, simplifications to wording or structure of guidance, and other minor improvements. Additionally, changes to clarify the codification or correct unintended application of guidance that are not expected to have a significant effect on current accounting practice or create a significant administrative cost to most entities were also included in this update. The adoption of this guidance did not have a material impact on our financial statements.</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 Accounting Pronouncements Adopted in 2019</w:t>
      </w:r>
    </w:p>
    <w:p>
      <w:pPr>
        <w:spacing w:after="0" w:line="140" w:lineRule="exact"/>
        <w:rPr>
          <w:sz w:val="20"/>
          <w:szCs w:val="20"/>
          <w:color w:val="auto"/>
        </w:rPr>
      </w:pPr>
    </w:p>
    <w:p>
      <w:pPr>
        <w:jc w:val="both"/>
        <w:ind w:firstLine="509"/>
        <w:spacing w:after="0" w:line="304" w:lineRule="auto"/>
        <w:rPr>
          <w:sz w:val="20"/>
          <w:szCs w:val="20"/>
          <w:color w:val="auto"/>
        </w:rPr>
      </w:pPr>
      <w:r>
        <w:rPr>
          <w:rFonts w:ascii="Arial" w:cs="Arial" w:eastAsia="Arial" w:hAnsi="Arial"/>
          <w:sz w:val="12"/>
          <w:szCs w:val="12"/>
          <w:color w:val="auto"/>
        </w:rPr>
        <w:t xml:space="preserve">In February 2016, the FASB issued ASU 2016-02, </w:t>
      </w:r>
      <w:r>
        <w:rPr>
          <w:rFonts w:ascii="Arial" w:cs="Arial" w:eastAsia="Arial" w:hAnsi="Arial"/>
          <w:sz w:val="12"/>
          <w:szCs w:val="12"/>
          <w:i w:val="1"/>
          <w:iCs w:val="1"/>
          <w:color w:val="auto"/>
        </w:rPr>
        <w:t>Leases (Topic 842)</w:t>
      </w:r>
      <w:r>
        <w:rPr>
          <w:rFonts w:ascii="Arial" w:cs="Arial" w:eastAsia="Arial" w:hAnsi="Arial"/>
          <w:sz w:val="12"/>
          <w:szCs w:val="12"/>
          <w:color w:val="auto"/>
        </w:rPr>
        <w:t>, along with several updates, which, in an effort to increase transparency and comparability among organizations utilizing leasing, requires an entity that is a lessee to recognize the assets and liabilities arising from operating leases on the balance sheet. This guidance also requires disclosures about the amount, timing and uncertainty of cash flows arising from leases. In transition, the entity may elect to recognize and measure leases at the beginning of the earliest period presented using a modified retrospective approach or the beginning of the period of adoption using a cumulative-effect adjustment approach. We adopted the new standard on December 31, 2018 and recognized and measured leases at the beginning of the period of adoption. We elected the package of practical expedients available under the transition guidance which, among other things, allows the carry-forward of historical lease classification. The Company also elected the practical expedient allowing use of hindsight in assessing the lease term. We made an accounting policy election to not apply the new guidance to leases with a term of 12 months or less and will recognize those payments in the Consolidated Statement of Income on a straight-line basis over the lease term. We implemented a system solution for administering our leases and facilitating compliance with the new guidance. Adoption of the standard had a material impact on our Consolidated Balance Sheets as a result of the increase in assets and liabilities from recognition of operating lease assets and operating lease liabilities. However, the standard did not have a material impact on our Consolidated Statement of Income.</w:t>
      </w:r>
    </w:p>
    <w:p>
      <w:pPr>
        <w:spacing w:after="0" w:line="82"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4"/>
          <w:szCs w:val="14"/>
          <w:color w:val="auto"/>
        </w:rPr>
        <w:t xml:space="preserve">In August 2017, the FASB issued ASU 2017-12, </w:t>
      </w:r>
      <w:r>
        <w:rPr>
          <w:rFonts w:ascii="Arial" w:cs="Arial" w:eastAsia="Arial" w:hAnsi="Arial"/>
          <w:sz w:val="14"/>
          <w:szCs w:val="14"/>
          <w:i w:val="1"/>
          <w:iCs w:val="1"/>
          <w:color w:val="auto"/>
        </w:rPr>
        <w:t>Derivatives and Hedging (Topic 815): Targeted Improvements to Accounting for Hedging Activities</w:t>
      </w:r>
      <w:r>
        <w:rPr>
          <w:rFonts w:ascii="Arial" w:cs="Arial" w:eastAsia="Arial" w:hAnsi="Arial"/>
          <w:sz w:val="14"/>
          <w:szCs w:val="14"/>
          <w:color w:val="auto"/>
        </w:rPr>
        <w:t>, an accounting standard update that simplifies the application of hedge accounting guidance in current U.S. GAAP and improves the reporting of hedging relationships to better portray the economic results of an entity’s risk management activities in its financial statements. Among the simplification updates, the standard eliminates the requirement in current U.S. GAAP to separately recognize periodic hedge ineffectiveness. Mismatches between the changes in value of the hedged item and hedging instrument may still occur but they will no longer be separately reported. The standard requires the presentation of the earnings effect of the hedging instrument in the same income statement line item in which the earnings effect of the hedged item is reported. The standard is effective for annual and interim reporting periods beginning after December 15, 2018, but early adoption is permitted. We have adopted this standard as of December 31, 2018. The adoption of this guidance did not have a material impact on our financial statements.</w:t>
      </w:r>
    </w:p>
    <w:p>
      <w:pPr>
        <w:spacing w:after="0" w:line="109" w:lineRule="exact"/>
        <w:rPr>
          <w:sz w:val="20"/>
          <w:szCs w:val="20"/>
          <w:color w:val="auto"/>
        </w:rPr>
      </w:pPr>
    </w:p>
    <w:p>
      <w:pPr>
        <w:jc w:val="both"/>
        <w:ind w:firstLine="509"/>
        <w:spacing w:after="0" w:line="288" w:lineRule="auto"/>
        <w:rPr>
          <w:sz w:val="20"/>
          <w:szCs w:val="20"/>
          <w:color w:val="auto"/>
        </w:rPr>
      </w:pPr>
      <w:r>
        <w:rPr>
          <w:rFonts w:ascii="Arial" w:cs="Arial" w:eastAsia="Arial" w:hAnsi="Arial"/>
          <w:sz w:val="13"/>
          <w:szCs w:val="13"/>
          <w:color w:val="auto"/>
        </w:rPr>
        <w:t xml:space="preserve">In February 2018, the FASB issued ASU 2018-02, </w:t>
      </w:r>
      <w:r>
        <w:rPr>
          <w:rFonts w:ascii="Arial" w:cs="Arial" w:eastAsia="Arial" w:hAnsi="Arial"/>
          <w:sz w:val="13"/>
          <w:szCs w:val="13"/>
          <w:i w:val="1"/>
          <w:iCs w:val="1"/>
          <w:color w:val="auto"/>
        </w:rPr>
        <w:t>Income Statement—Reporting Comprehensive Income (Topic 220): Reclassification of Certain Tax Effects from Accumulated Other</w:t>
      </w:r>
      <w:r>
        <w:rPr>
          <w:rFonts w:ascii="Arial" w:cs="Arial" w:eastAsia="Arial" w:hAnsi="Arial"/>
          <w:sz w:val="13"/>
          <w:szCs w:val="13"/>
          <w:color w:val="auto"/>
        </w:rPr>
        <w:t xml:space="preserve"> </w:t>
      </w:r>
      <w:r>
        <w:rPr>
          <w:rFonts w:ascii="Arial" w:cs="Arial" w:eastAsia="Arial" w:hAnsi="Arial"/>
          <w:sz w:val="13"/>
          <w:szCs w:val="13"/>
          <w:i w:val="1"/>
          <w:iCs w:val="1"/>
          <w:color w:val="auto"/>
        </w:rPr>
        <w:t>Comprehensive Income</w:t>
      </w:r>
      <w:r>
        <w:rPr>
          <w:rFonts w:ascii="Arial" w:cs="Arial" w:eastAsia="Arial" w:hAnsi="Arial"/>
          <w:sz w:val="13"/>
          <w:szCs w:val="13"/>
          <w:color w:val="auto"/>
        </w:rPr>
        <w:t>, an accounting standard update that allows a reclassification from accumulated other comprehensive income to retained earnings for stranded tax effects resulting from the</w:t>
      </w:r>
      <w:r>
        <w:rPr>
          <w:rFonts w:ascii="Arial" w:cs="Arial" w:eastAsia="Arial" w:hAnsi="Arial"/>
          <w:sz w:val="13"/>
          <w:szCs w:val="13"/>
          <w:i w:val="1"/>
          <w:iCs w:val="1"/>
          <w:color w:val="auto"/>
        </w:rPr>
        <w:t xml:space="preserve"> </w:t>
      </w:r>
      <w:r>
        <w:rPr>
          <w:rFonts w:ascii="Arial" w:cs="Arial" w:eastAsia="Arial" w:hAnsi="Arial"/>
          <w:sz w:val="13"/>
          <w:szCs w:val="13"/>
          <w:color w:val="auto"/>
        </w:rPr>
        <w:t>U.S. Tax Cuts and Jobs Act. The Company will not reclassify the stranded tax effects associated with the U.S. Tax Cuts and Jobs Act from accumulated other comprehensive income to retained earnings. We adopted this standard as of December 31, 2018. The adoption of this guidance did not have a material impact on our financial statements.</w:t>
      </w:r>
    </w:p>
    <w:p>
      <w:pPr>
        <w:spacing w:after="0" w:line="89"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color w:val="auto"/>
        </w:rPr>
        <w:t xml:space="preserve">In July 2018, the FASB issued ASU 2018-07, </w:t>
      </w:r>
      <w:r>
        <w:rPr>
          <w:rFonts w:ascii="Arial" w:cs="Arial" w:eastAsia="Arial" w:hAnsi="Arial"/>
          <w:sz w:val="14"/>
          <w:szCs w:val="14"/>
          <w:i w:val="1"/>
          <w:iCs w:val="1"/>
          <w:color w:val="auto"/>
        </w:rPr>
        <w:t>Compensation—Stock Compensation (Topic 718): Improvements to Nonemployee Share-Based Payment Accounting</w:t>
      </w:r>
      <w:r>
        <w:rPr>
          <w:rFonts w:ascii="Arial" w:cs="Arial" w:eastAsia="Arial" w:hAnsi="Arial"/>
          <w:sz w:val="14"/>
          <w:szCs w:val="14"/>
          <w:color w:val="auto"/>
        </w:rPr>
        <w:t>, an accounting standard update to improve non-employee share-based payment accounting. The accounting standard update more closely aligns the accounting for employee and non-employee share based payments. The accounting standards update is effective as of the beginning of our 2019 calendar year with early adoption permitted. We adopted this standard as of December 31, 2018. The adoption of this guidance did not have a material impact on our financial statements.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8" w:name="page59"/>
    <w:bookmarkEnd w:id="5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NOTES TO CONSOLIDATED FINANCIAL STATEMENTS</w:t>
      </w:r>
    </w:p>
    <w:p>
      <w:pPr>
        <w:spacing w:after="0" w:line="3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 Accounting Pronouncements Not Yet Adopted as of December 26, 2021</w:t>
      </w:r>
    </w:p>
    <w:p>
      <w:pPr>
        <w:spacing w:after="0" w:line="140" w:lineRule="exact"/>
        <w:rPr>
          <w:sz w:val="20"/>
          <w:szCs w:val="20"/>
          <w:color w:val="auto"/>
        </w:rPr>
      </w:pPr>
    </w:p>
    <w:p>
      <w:pPr>
        <w:jc w:val="both"/>
        <w:ind w:firstLine="509"/>
        <w:spacing w:after="0" w:line="280" w:lineRule="auto"/>
        <w:rPr>
          <w:sz w:val="20"/>
          <w:szCs w:val="20"/>
          <w:color w:val="auto"/>
        </w:rPr>
      </w:pPr>
      <w:r>
        <w:rPr>
          <w:rFonts w:ascii="Arial" w:cs="Arial" w:eastAsia="Arial" w:hAnsi="Arial"/>
          <w:sz w:val="13"/>
          <w:szCs w:val="13"/>
          <w:color w:val="auto"/>
        </w:rPr>
        <w:t xml:space="preserve">In March 2020, the FASB issued ASU 2020-04, </w:t>
      </w:r>
      <w:r>
        <w:rPr>
          <w:rFonts w:ascii="Arial" w:cs="Arial" w:eastAsia="Arial" w:hAnsi="Arial"/>
          <w:sz w:val="13"/>
          <w:szCs w:val="13"/>
          <w:i w:val="1"/>
          <w:iCs w:val="1"/>
          <w:color w:val="auto"/>
        </w:rPr>
        <w:t>Reference Rate Reform (Topic 848): Facilitation of the Effects of Reference Rate Reform on Financial Reporting</w:t>
      </w:r>
      <w:r>
        <w:rPr>
          <w:rFonts w:ascii="Arial" w:cs="Arial" w:eastAsia="Arial" w:hAnsi="Arial"/>
          <w:sz w:val="13"/>
          <w:szCs w:val="13"/>
          <w:color w:val="auto"/>
        </w:rPr>
        <w:t xml:space="preserve">, which provides optional expedients and exceptions to the application of current GAAP to existing contracts, hedging relationships and other transactions affected by reference rate reform. The new guidance will ease the transition to new reference rates by allowing entities to update contracts and hedging relationships without applying many of the contract modification requirements specific to those contracts. The provisions of the new guidance will be effective beginning March 12, 2020, extending through December 31, 2022 with the option to apply the guidance at any point during that time period. In January 2021, the FASB issued ASU 2021-01, </w:t>
      </w:r>
      <w:r>
        <w:rPr>
          <w:rFonts w:ascii="Arial" w:cs="Arial" w:eastAsia="Arial" w:hAnsi="Arial"/>
          <w:sz w:val="13"/>
          <w:szCs w:val="13"/>
          <w:i w:val="1"/>
          <w:iCs w:val="1"/>
          <w:color w:val="auto"/>
        </w:rPr>
        <w:t>Reference Rate Reform (Topic 848)</w:t>
      </w:r>
      <w:r>
        <w:rPr>
          <w:rFonts w:ascii="Arial" w:cs="Arial" w:eastAsia="Arial" w:hAnsi="Arial"/>
          <w:sz w:val="13"/>
          <w:szCs w:val="13"/>
          <w:color w:val="auto"/>
        </w:rPr>
        <w:t>, which provides further clarification on the scope of Topic 848 so that derivatives affected by the discounting transition are explicitly eligible for certain optional expedients and exceptions in Topic 848. Once an entity elects an expedient or exception it must be applied to all eligible contracts or transactions. We currently have hedging transactions and debt agreements that reference LIBOR and will apply the new guidance as these contracts are modified to reference other rates.</w:t>
      </w:r>
    </w:p>
    <w:p>
      <w:pPr>
        <w:spacing w:after="0" w:line="91" w:lineRule="exact"/>
        <w:rPr>
          <w:sz w:val="20"/>
          <w:szCs w:val="20"/>
          <w:color w:val="auto"/>
        </w:rPr>
      </w:pPr>
    </w:p>
    <w:p>
      <w:pPr>
        <w:ind w:right="9260" w:firstLine="5"/>
        <w:spacing w:after="0" w:line="445" w:lineRule="auto"/>
        <w:tabs>
          <w:tab w:leader="none" w:pos="248" w:val="left"/>
        </w:tabs>
        <w:numPr>
          <w:ilvl w:val="0"/>
          <w:numId w:val="24"/>
        </w:numPr>
        <w:rPr>
          <w:rFonts w:ascii="Arial" w:cs="Arial" w:eastAsia="Arial" w:hAnsi="Arial"/>
          <w:sz w:val="14"/>
          <w:szCs w:val="14"/>
          <w:b w:val="1"/>
          <w:bCs w:val="1"/>
          <w:color w:val="auto"/>
        </w:rPr>
      </w:pPr>
      <w:r>
        <w:rPr>
          <w:rFonts w:ascii="Arial" w:cs="Arial" w:eastAsia="Arial" w:hAnsi="Arial"/>
          <w:sz w:val="14"/>
          <w:szCs w:val="14"/>
          <w:b w:val="1"/>
          <w:bCs w:val="1"/>
          <w:color w:val="auto"/>
        </w:rPr>
        <w:t>BUSINESS ACQUISITIONS Pilgrim’s Food Masters</w:t>
      </w:r>
    </w:p>
    <w:p>
      <w:pPr>
        <w:spacing w:after="0" w:line="1"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4"/>
          <w:szCs w:val="14"/>
          <w:color w:val="auto"/>
        </w:rPr>
        <w:t>On September 24, 2021, the Company acquired 100.0% of the equity of the specialty meats and ready meals businesses of Kerry Group plc, collectively known as Pilgrim’s Food Masters (“PFM”), for cash of £695.3 million, or $954.1 million, subject to customary working capital adjustments. The acquisition was funded with the Company’s recent senior notes offering and borrowings under the credit facility. The acquisition solidifies Pilgrim’s as a leading European food company. The specialty meats business is a leading manufacturer of branded and private label meats, meat snacks and food-to-go products in the U.K. and the Republic of Ireland. The ready meals business is a leading ethnic chilled and frozen ready meals business in the U.K. The acquired operations are included in the Company’s U.K. and Europe reportable segment.</w:t>
      </w:r>
    </w:p>
    <w:p>
      <w:pPr>
        <w:spacing w:after="0" w:line="104" w:lineRule="exact"/>
        <w:rPr>
          <w:sz w:val="20"/>
          <w:szCs w:val="20"/>
          <w:color w:val="auto"/>
        </w:rPr>
      </w:pPr>
    </w:p>
    <w:p>
      <w:pPr>
        <w:jc w:val="both"/>
        <w:ind w:firstLine="509"/>
        <w:spacing w:after="0" w:line="281" w:lineRule="auto"/>
        <w:rPr>
          <w:sz w:val="20"/>
          <w:szCs w:val="20"/>
          <w:color w:val="auto"/>
        </w:rPr>
      </w:pPr>
      <w:r>
        <w:rPr>
          <w:rFonts w:ascii="Arial" w:cs="Arial" w:eastAsia="Arial" w:hAnsi="Arial"/>
          <w:sz w:val="14"/>
          <w:szCs w:val="14"/>
          <w:color w:val="auto"/>
        </w:rPr>
        <w:t xml:space="preserve">Transaction costs incurred in conjunction with the acquisition were approximately $18.4 million for the year ended December 26, 2021. These costs were expensed as incurred and are reflected within </w:t>
      </w:r>
      <w:r>
        <w:rPr>
          <w:rFonts w:ascii="Arial" w:cs="Arial" w:eastAsia="Arial" w:hAnsi="Arial"/>
          <w:sz w:val="14"/>
          <w:szCs w:val="14"/>
          <w:i w:val="1"/>
          <w:iCs w:val="1"/>
          <w:color w:val="auto"/>
        </w:rPr>
        <w:t>Selling, general and administrative expense</w:t>
      </w:r>
      <w:r>
        <w:rPr>
          <w:rFonts w:ascii="Arial" w:cs="Arial" w:eastAsia="Arial" w:hAnsi="Arial"/>
          <w:sz w:val="14"/>
          <w:szCs w:val="14"/>
          <w:color w:val="auto"/>
        </w:rPr>
        <w:t xml:space="preserve"> in the Company’s Consolidated Statements of Income.</w:t>
      </w:r>
    </w:p>
    <w:p>
      <w:pPr>
        <w:spacing w:after="0" w:line="90" w:lineRule="exact"/>
        <w:rPr>
          <w:sz w:val="20"/>
          <w:szCs w:val="20"/>
          <w:color w:val="auto"/>
        </w:rPr>
      </w:pPr>
    </w:p>
    <w:p>
      <w:pPr>
        <w:jc w:val="both"/>
        <w:ind w:firstLine="509"/>
        <w:spacing w:after="0" w:line="281" w:lineRule="auto"/>
        <w:rPr>
          <w:sz w:val="20"/>
          <w:szCs w:val="20"/>
          <w:color w:val="auto"/>
        </w:rPr>
      </w:pPr>
      <w:r>
        <w:rPr>
          <w:rFonts w:ascii="Arial" w:cs="Arial" w:eastAsia="Arial" w:hAnsi="Arial"/>
          <w:sz w:val="14"/>
          <w:szCs w:val="14"/>
          <w:color w:val="auto"/>
        </w:rPr>
        <w:t>The results of operations of the acquired business since September 24, 2021 are included in the Company’s Consolidated Statements of Income. Net sales and net income generated by the acquired business during 2021 totaled $293.6 million and $2.3 million, respectively.</w:t>
      </w:r>
    </w:p>
    <w:p>
      <w:pPr>
        <w:spacing w:after="0" w:line="90"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3"/>
          <w:szCs w:val="13"/>
          <w:color w:val="auto"/>
        </w:rPr>
        <w:t>The assets acquired and liabilities assumed in the acquisition were measured at their estimated fair values as of September 24, 2021 as set forth below. The excess of the purchase price over the preliminary fair value of the identified net assets was recorded as goodwill in the Company’s U.K. and Europe reportable segment. The factors contributing to the amount of goodwill are based on several strategic and synergistic benefits that are expected to be realized from the acquisition as well as the assembled workforce. Benefits include (1) complementary product offerings, (2) an enhanced footprint in the U.K. and the Republic of Ireland and (3) an enhanced position in the fast-growing plant-based protein, direct-to-consumer and hot food-to-go markets. The goodwill is not expected to be tax deductible for tax purposes. The initial accounting for this business combination is incomplete for certain intangible assets and property, plant and equipment as additional information is necessary to conclude on assumptions used to establish the estimated fair values. The amounts recognized in these financial statements for this business combination thus have been determined only provisionally. We are currently completing fair value assessments with the assistance of third-party valuation specialists. Any adjustments identified in the measurement period, which will not exceed one year from the acquisition date, will be accounted for prospectively. The cumulative effect of these adjustments will be recorded in the period of change.</w:t>
      </w:r>
    </w:p>
    <w:p>
      <w:pPr>
        <w:spacing w:after="0" w:line="95"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preliminary fair values recorded for the assets acquired and liabilities assumed for the acquisition are as follows (in thousands):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9" w:name="page60"/>
    <w:bookmarkEnd w:id="5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000" w:type="dxa"/>
            <w:vAlign w:val="bottom"/>
          </w:tcPr>
          <w:p>
            <w:pPr>
              <w:spacing w:after="0"/>
              <w:rPr>
                <w:sz w:val="15"/>
                <w:szCs w:val="15"/>
                <w:color w:val="auto"/>
              </w:rPr>
            </w:pPr>
          </w:p>
        </w:tc>
        <w:tc>
          <w:tcPr>
            <w:tcW w:w="6480" w:type="dxa"/>
            <w:vAlign w:val="bottom"/>
            <w:gridSpan w:val="2"/>
          </w:tcPr>
          <w:p>
            <w:pPr>
              <w:jc w:val="right"/>
              <w:ind w:right="2080"/>
              <w:spacing w:after="0"/>
              <w:rPr>
                <w:sz w:val="20"/>
                <w:szCs w:val="20"/>
                <w:color w:val="auto"/>
              </w:rPr>
            </w:pPr>
            <w:r>
              <w:rPr>
                <w:rFonts w:ascii="Arial" w:cs="Arial" w:eastAsia="Arial" w:hAnsi="Arial"/>
                <w:sz w:val="14"/>
                <w:szCs w:val="14"/>
                <w:color w:val="auto"/>
              </w:rPr>
              <w:t>NOTES TO CONSOLIDATED FINANCIAL STATEMENTS</w:t>
            </w:r>
          </w:p>
        </w:tc>
        <w:tc>
          <w:tcPr>
            <w:tcW w:w="1780" w:type="dxa"/>
            <w:vAlign w:val="bottom"/>
          </w:tcPr>
          <w:p>
            <w:pPr>
              <w:spacing w:after="0"/>
              <w:rPr>
                <w:sz w:val="15"/>
                <w:szCs w:val="15"/>
                <w:color w:val="auto"/>
              </w:rPr>
            </w:pPr>
          </w:p>
        </w:tc>
      </w:tr>
      <w:tr>
        <w:trPr>
          <w:trHeight w:val="404"/>
        </w:trPr>
        <w:tc>
          <w:tcPr>
            <w:tcW w:w="300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149"/>
        </w:trPr>
        <w:tc>
          <w:tcPr>
            <w:tcW w:w="3000" w:type="dxa"/>
            <w:vAlign w:val="bottom"/>
            <w:shd w:val="clear" w:color="auto" w:fill="CCEEFF"/>
          </w:tcPr>
          <w:p>
            <w:pPr>
              <w:spacing w:after="0"/>
              <w:rPr>
                <w:sz w:val="12"/>
                <w:szCs w:val="12"/>
                <w:color w:val="auto"/>
              </w:rPr>
            </w:pPr>
          </w:p>
        </w:tc>
        <w:tc>
          <w:tcPr>
            <w:tcW w:w="60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780" w:type="dxa"/>
            <w:vAlign w:val="bottom"/>
            <w:shd w:val="clear" w:color="auto" w:fill="CCEEFF"/>
          </w:tcPr>
          <w:p>
            <w:pPr>
              <w:jc w:val="right"/>
              <w:ind w:right="797"/>
              <w:spacing w:after="0"/>
              <w:rPr>
                <w:sz w:val="20"/>
                <w:szCs w:val="20"/>
                <w:color w:val="auto"/>
              </w:rPr>
            </w:pPr>
            <w:r>
              <w:rPr>
                <w:rFonts w:ascii="Arial" w:cs="Arial" w:eastAsia="Arial" w:hAnsi="Arial"/>
                <w:sz w:val="11"/>
                <w:szCs w:val="11"/>
                <w:color w:val="auto"/>
              </w:rPr>
              <w:t>Preliminary</w:t>
            </w:r>
          </w:p>
        </w:tc>
      </w:tr>
      <w:tr>
        <w:trPr>
          <w:trHeight w:val="168"/>
        </w:trPr>
        <w:tc>
          <w:tcPr>
            <w:tcW w:w="3000" w:type="dxa"/>
            <w:vAlign w:val="bottom"/>
          </w:tcPr>
          <w:p>
            <w:pPr>
              <w:ind w:left="20"/>
              <w:spacing w:after="0"/>
              <w:rPr>
                <w:sz w:val="20"/>
                <w:szCs w:val="20"/>
                <w:color w:val="auto"/>
              </w:rPr>
            </w:pPr>
            <w:r>
              <w:rPr>
                <w:rFonts w:ascii="Arial" w:cs="Arial" w:eastAsia="Arial" w:hAnsi="Arial"/>
                <w:sz w:val="13"/>
                <w:szCs w:val="13"/>
                <w:color w:val="auto"/>
              </w:rPr>
              <w:t>Cash and cash equivalents</w:t>
            </w:r>
          </w:p>
        </w:tc>
        <w:tc>
          <w:tcPr>
            <w:tcW w:w="64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780" w:type="dxa"/>
            <w:vAlign w:val="bottom"/>
          </w:tcPr>
          <w:p>
            <w:pPr>
              <w:jc w:val="right"/>
              <w:spacing w:after="0"/>
              <w:rPr>
                <w:sz w:val="20"/>
                <w:szCs w:val="20"/>
                <w:color w:val="auto"/>
              </w:rPr>
            </w:pPr>
            <w:r>
              <w:rPr>
                <w:rFonts w:ascii="Arial" w:cs="Arial" w:eastAsia="Arial" w:hAnsi="Arial"/>
                <w:sz w:val="13"/>
                <w:szCs w:val="13"/>
                <w:color w:val="auto"/>
              </w:rPr>
              <w:t>113</w:t>
            </w:r>
          </w:p>
        </w:tc>
      </w:tr>
      <w:tr>
        <w:trPr>
          <w:trHeight w:val="172"/>
        </w:trPr>
        <w:tc>
          <w:tcPr>
            <w:tcW w:w="3000" w:type="dxa"/>
            <w:vAlign w:val="bottom"/>
            <w:shd w:val="clear" w:color="auto" w:fill="CCEEFF"/>
          </w:tcPr>
          <w:p>
            <w:pPr>
              <w:ind w:left="20"/>
              <w:spacing w:after="0"/>
              <w:rPr>
                <w:sz w:val="20"/>
                <w:szCs w:val="20"/>
                <w:color w:val="auto"/>
              </w:rPr>
            </w:pPr>
            <w:r>
              <w:rPr>
                <w:rFonts w:ascii="Arial" w:cs="Arial" w:eastAsia="Arial" w:hAnsi="Arial"/>
                <w:sz w:val="13"/>
                <w:szCs w:val="13"/>
                <w:color w:val="auto"/>
              </w:rPr>
              <w:t>Trade accounts and other receivables</w:t>
            </w:r>
          </w:p>
        </w:tc>
        <w:tc>
          <w:tcPr>
            <w:tcW w:w="60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7,387</w:t>
            </w:r>
          </w:p>
        </w:tc>
      </w:tr>
      <w:tr>
        <w:trPr>
          <w:trHeight w:val="168"/>
        </w:trPr>
        <w:tc>
          <w:tcPr>
            <w:tcW w:w="3000" w:type="dxa"/>
            <w:vAlign w:val="bottom"/>
          </w:tcPr>
          <w:p>
            <w:pPr>
              <w:ind w:left="20"/>
              <w:spacing w:after="0"/>
              <w:rPr>
                <w:sz w:val="20"/>
                <w:szCs w:val="20"/>
                <w:color w:val="auto"/>
              </w:rPr>
            </w:pPr>
            <w:r>
              <w:rPr>
                <w:rFonts w:ascii="Arial" w:cs="Arial" w:eastAsia="Arial" w:hAnsi="Arial"/>
                <w:sz w:val="13"/>
                <w:szCs w:val="13"/>
                <w:color w:val="auto"/>
              </w:rPr>
              <w:t>Inventories</w:t>
            </w:r>
          </w:p>
        </w:tc>
        <w:tc>
          <w:tcPr>
            <w:tcW w:w="6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780" w:type="dxa"/>
            <w:vAlign w:val="bottom"/>
          </w:tcPr>
          <w:p>
            <w:pPr>
              <w:jc w:val="right"/>
              <w:spacing w:after="0"/>
              <w:rPr>
                <w:sz w:val="20"/>
                <w:szCs w:val="20"/>
                <w:color w:val="auto"/>
              </w:rPr>
            </w:pPr>
            <w:r>
              <w:rPr>
                <w:rFonts w:ascii="Arial" w:cs="Arial" w:eastAsia="Arial" w:hAnsi="Arial"/>
                <w:sz w:val="13"/>
                <w:szCs w:val="13"/>
                <w:color w:val="auto"/>
              </w:rPr>
              <w:t>60,341</w:t>
            </w:r>
          </w:p>
        </w:tc>
      </w:tr>
      <w:tr>
        <w:trPr>
          <w:trHeight w:val="172"/>
        </w:trPr>
        <w:tc>
          <w:tcPr>
            <w:tcW w:w="300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Prepaid expenses and other current assets</w:t>
            </w:r>
          </w:p>
        </w:tc>
        <w:tc>
          <w:tcPr>
            <w:tcW w:w="60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1,727</w:t>
            </w:r>
          </w:p>
        </w:tc>
      </w:tr>
      <w:tr>
        <w:trPr>
          <w:trHeight w:val="168"/>
        </w:trPr>
        <w:tc>
          <w:tcPr>
            <w:tcW w:w="3000" w:type="dxa"/>
            <w:vAlign w:val="bottom"/>
          </w:tcPr>
          <w:p>
            <w:pPr>
              <w:ind w:left="20"/>
              <w:spacing w:after="0"/>
              <w:rPr>
                <w:sz w:val="20"/>
                <w:szCs w:val="20"/>
                <w:color w:val="auto"/>
              </w:rPr>
            </w:pPr>
            <w:r>
              <w:rPr>
                <w:rFonts w:ascii="Arial" w:cs="Arial" w:eastAsia="Arial" w:hAnsi="Arial"/>
                <w:sz w:val="13"/>
                <w:szCs w:val="13"/>
                <w:color w:val="auto"/>
              </w:rPr>
              <w:t>Operating lease assets</w:t>
            </w:r>
          </w:p>
        </w:tc>
        <w:tc>
          <w:tcPr>
            <w:tcW w:w="6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780" w:type="dxa"/>
            <w:vAlign w:val="bottom"/>
          </w:tcPr>
          <w:p>
            <w:pPr>
              <w:jc w:val="right"/>
              <w:spacing w:after="0"/>
              <w:rPr>
                <w:sz w:val="20"/>
                <w:szCs w:val="20"/>
                <w:color w:val="auto"/>
              </w:rPr>
            </w:pPr>
            <w:r>
              <w:rPr>
                <w:rFonts w:ascii="Arial" w:cs="Arial" w:eastAsia="Arial" w:hAnsi="Arial"/>
                <w:sz w:val="13"/>
                <w:szCs w:val="13"/>
                <w:color w:val="auto"/>
              </w:rPr>
              <w:t>14,648</w:t>
            </w:r>
          </w:p>
        </w:tc>
      </w:tr>
      <w:tr>
        <w:trPr>
          <w:trHeight w:val="172"/>
        </w:trPr>
        <w:tc>
          <w:tcPr>
            <w:tcW w:w="300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Property, plant and equipment</w:t>
            </w:r>
          </w:p>
        </w:tc>
        <w:tc>
          <w:tcPr>
            <w:tcW w:w="60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247,133</w:t>
            </w:r>
          </w:p>
        </w:tc>
      </w:tr>
      <w:tr>
        <w:trPr>
          <w:trHeight w:val="168"/>
        </w:trPr>
        <w:tc>
          <w:tcPr>
            <w:tcW w:w="3000" w:type="dxa"/>
            <w:vAlign w:val="bottom"/>
          </w:tcPr>
          <w:p>
            <w:pPr>
              <w:ind w:left="20"/>
              <w:spacing w:after="0"/>
              <w:rPr>
                <w:sz w:val="20"/>
                <w:szCs w:val="20"/>
                <w:color w:val="auto"/>
              </w:rPr>
            </w:pPr>
            <w:r>
              <w:rPr>
                <w:rFonts w:ascii="Arial" w:cs="Arial" w:eastAsia="Arial" w:hAnsi="Arial"/>
                <w:sz w:val="13"/>
                <w:szCs w:val="13"/>
                <w:color w:val="auto"/>
              </w:rPr>
              <w:t>Identified intangible assets</w:t>
            </w:r>
          </w:p>
        </w:tc>
        <w:tc>
          <w:tcPr>
            <w:tcW w:w="6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780" w:type="dxa"/>
            <w:vAlign w:val="bottom"/>
          </w:tcPr>
          <w:p>
            <w:pPr>
              <w:jc w:val="right"/>
              <w:spacing w:after="0"/>
              <w:rPr>
                <w:sz w:val="20"/>
                <w:szCs w:val="20"/>
                <w:color w:val="auto"/>
              </w:rPr>
            </w:pPr>
            <w:r>
              <w:rPr>
                <w:rFonts w:ascii="Arial" w:cs="Arial" w:eastAsia="Arial" w:hAnsi="Arial"/>
                <w:sz w:val="13"/>
                <w:szCs w:val="13"/>
                <w:color w:val="auto"/>
              </w:rPr>
              <w:t>415,157</w:t>
            </w:r>
          </w:p>
        </w:tc>
      </w:tr>
      <w:tr>
        <w:trPr>
          <w:trHeight w:val="172"/>
        </w:trPr>
        <w:tc>
          <w:tcPr>
            <w:tcW w:w="300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assets</w:t>
            </w:r>
          </w:p>
        </w:tc>
        <w:tc>
          <w:tcPr>
            <w:tcW w:w="602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335</w:t>
            </w:r>
          </w:p>
        </w:tc>
      </w:tr>
      <w:tr>
        <w:trPr>
          <w:trHeight w:val="220"/>
        </w:trPr>
        <w:tc>
          <w:tcPr>
            <w:tcW w:w="30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Total assets acquired</w:t>
            </w:r>
          </w:p>
        </w:tc>
        <w:tc>
          <w:tcPr>
            <w:tcW w:w="60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746,841</w:t>
            </w:r>
          </w:p>
        </w:tc>
      </w:tr>
      <w:tr>
        <w:trPr>
          <w:trHeight w:val="168"/>
        </w:trPr>
        <w:tc>
          <w:tcPr>
            <w:tcW w:w="3000" w:type="dxa"/>
            <w:vAlign w:val="bottom"/>
            <w:tcBorders>
              <w:top w:val="single" w:sz="8" w:color="CCEEFF"/>
            </w:tcBorders>
          </w:tcPr>
          <w:p>
            <w:pPr>
              <w:ind w:left="20"/>
              <w:spacing w:after="0"/>
              <w:rPr>
                <w:sz w:val="20"/>
                <w:szCs w:val="20"/>
                <w:color w:val="auto"/>
              </w:rPr>
            </w:pPr>
            <w:r>
              <w:rPr>
                <w:rFonts w:ascii="Arial" w:cs="Arial" w:eastAsia="Arial" w:hAnsi="Arial"/>
                <w:sz w:val="13"/>
                <w:szCs w:val="13"/>
                <w:color w:val="auto"/>
              </w:rPr>
              <w:t>Accounts payable</w:t>
            </w:r>
          </w:p>
        </w:tc>
        <w:tc>
          <w:tcPr>
            <w:tcW w:w="6020" w:type="dxa"/>
            <w:vAlign w:val="bottom"/>
            <w:tcBorders>
              <w:top w:val="single" w:sz="8" w:color="CCEEFF"/>
            </w:tcBorders>
          </w:tcPr>
          <w:p>
            <w:pPr>
              <w:spacing w:after="0"/>
              <w:rPr>
                <w:sz w:val="14"/>
                <w:szCs w:val="14"/>
                <w:color w:val="auto"/>
              </w:rPr>
            </w:pPr>
          </w:p>
        </w:tc>
        <w:tc>
          <w:tcPr>
            <w:tcW w:w="460" w:type="dxa"/>
            <w:vAlign w:val="bottom"/>
            <w:tcBorders>
              <w:top w:val="single" w:sz="8" w:color="CCEEFF"/>
            </w:tcBorders>
          </w:tcPr>
          <w:p>
            <w:pPr>
              <w:spacing w:after="0"/>
              <w:rPr>
                <w:sz w:val="14"/>
                <w:szCs w:val="14"/>
                <w:color w:val="auto"/>
              </w:rPr>
            </w:pPr>
          </w:p>
        </w:tc>
        <w:tc>
          <w:tcPr>
            <w:tcW w:w="1780" w:type="dxa"/>
            <w:vAlign w:val="bottom"/>
            <w:tcBorders>
              <w:top w:val="single" w:sz="8" w:color="CCEEFF"/>
            </w:tcBorders>
          </w:tcPr>
          <w:p>
            <w:pPr>
              <w:jc w:val="right"/>
              <w:spacing w:after="0"/>
              <w:rPr>
                <w:sz w:val="20"/>
                <w:szCs w:val="20"/>
                <w:color w:val="auto"/>
              </w:rPr>
            </w:pPr>
            <w:r>
              <w:rPr>
                <w:rFonts w:ascii="Arial" w:cs="Arial" w:eastAsia="Arial" w:hAnsi="Arial"/>
                <w:sz w:val="13"/>
                <w:szCs w:val="13"/>
                <w:color w:val="auto"/>
              </w:rPr>
              <w:t>4,615</w:t>
            </w:r>
          </w:p>
        </w:tc>
      </w:tr>
      <w:tr>
        <w:trPr>
          <w:trHeight w:val="172"/>
        </w:trPr>
        <w:tc>
          <w:tcPr>
            <w:tcW w:w="300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current liabilities</w:t>
            </w:r>
          </w:p>
        </w:tc>
        <w:tc>
          <w:tcPr>
            <w:tcW w:w="60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407</w:t>
            </w:r>
          </w:p>
        </w:tc>
      </w:tr>
      <w:tr>
        <w:trPr>
          <w:trHeight w:val="168"/>
        </w:trPr>
        <w:tc>
          <w:tcPr>
            <w:tcW w:w="3000" w:type="dxa"/>
            <w:vAlign w:val="bottom"/>
          </w:tcPr>
          <w:p>
            <w:pPr>
              <w:ind w:left="20"/>
              <w:spacing w:after="0"/>
              <w:rPr>
                <w:sz w:val="20"/>
                <w:szCs w:val="20"/>
                <w:color w:val="auto"/>
              </w:rPr>
            </w:pPr>
            <w:r>
              <w:rPr>
                <w:rFonts w:ascii="Arial" w:cs="Arial" w:eastAsia="Arial" w:hAnsi="Arial"/>
                <w:sz w:val="13"/>
                <w:szCs w:val="13"/>
                <w:color w:val="auto"/>
              </w:rPr>
              <w:t>Operating lease liabilities</w:t>
            </w:r>
          </w:p>
        </w:tc>
        <w:tc>
          <w:tcPr>
            <w:tcW w:w="6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780" w:type="dxa"/>
            <w:vAlign w:val="bottom"/>
          </w:tcPr>
          <w:p>
            <w:pPr>
              <w:jc w:val="right"/>
              <w:spacing w:after="0"/>
              <w:rPr>
                <w:sz w:val="20"/>
                <w:szCs w:val="20"/>
                <w:color w:val="auto"/>
              </w:rPr>
            </w:pPr>
            <w:r>
              <w:rPr>
                <w:rFonts w:ascii="Arial" w:cs="Arial" w:eastAsia="Arial" w:hAnsi="Arial"/>
                <w:sz w:val="13"/>
                <w:szCs w:val="13"/>
                <w:color w:val="auto"/>
              </w:rPr>
              <w:t>18,996</w:t>
            </w:r>
          </w:p>
        </w:tc>
      </w:tr>
      <w:tr>
        <w:trPr>
          <w:trHeight w:val="172"/>
        </w:trPr>
        <w:tc>
          <w:tcPr>
            <w:tcW w:w="300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Deferred tax liabilities</w:t>
            </w:r>
          </w:p>
        </w:tc>
        <w:tc>
          <w:tcPr>
            <w:tcW w:w="60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114,701</w:t>
            </w:r>
          </w:p>
        </w:tc>
      </w:tr>
      <w:tr>
        <w:trPr>
          <w:trHeight w:val="168"/>
        </w:trPr>
        <w:tc>
          <w:tcPr>
            <w:tcW w:w="30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Other long-term liabilities</w:t>
            </w:r>
          </w:p>
        </w:tc>
        <w:tc>
          <w:tcPr>
            <w:tcW w:w="602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2,612</w:t>
            </w:r>
          </w:p>
        </w:tc>
      </w:tr>
      <w:tr>
        <w:trPr>
          <w:trHeight w:val="163"/>
        </w:trPr>
        <w:tc>
          <w:tcPr>
            <w:tcW w:w="300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liabilities assumed</w:t>
            </w:r>
          </w:p>
        </w:tc>
        <w:tc>
          <w:tcPr>
            <w:tcW w:w="602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141,331</w:t>
            </w:r>
          </w:p>
        </w:tc>
      </w:tr>
      <w:tr>
        <w:trPr>
          <w:trHeight w:val="158"/>
        </w:trPr>
        <w:tc>
          <w:tcPr>
            <w:tcW w:w="3000" w:type="dxa"/>
            <w:vAlign w:val="bottom"/>
          </w:tcPr>
          <w:p>
            <w:pPr>
              <w:ind w:left="20"/>
              <w:spacing w:after="0"/>
              <w:rPr>
                <w:sz w:val="20"/>
                <w:szCs w:val="20"/>
                <w:color w:val="auto"/>
              </w:rPr>
            </w:pPr>
            <w:r>
              <w:rPr>
                <w:rFonts w:ascii="Arial" w:cs="Arial" w:eastAsia="Arial" w:hAnsi="Arial"/>
                <w:sz w:val="13"/>
                <w:szCs w:val="13"/>
                <w:color w:val="auto"/>
              </w:rPr>
              <w:t>Identified net assets</w:t>
            </w:r>
          </w:p>
        </w:tc>
        <w:tc>
          <w:tcPr>
            <w:tcW w:w="60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780" w:type="dxa"/>
            <w:vAlign w:val="bottom"/>
          </w:tcPr>
          <w:p>
            <w:pPr>
              <w:jc w:val="right"/>
              <w:spacing w:after="0"/>
              <w:rPr>
                <w:sz w:val="20"/>
                <w:szCs w:val="20"/>
                <w:color w:val="auto"/>
              </w:rPr>
            </w:pPr>
            <w:r>
              <w:rPr>
                <w:rFonts w:ascii="Arial" w:cs="Arial" w:eastAsia="Arial" w:hAnsi="Arial"/>
                <w:sz w:val="13"/>
                <w:szCs w:val="13"/>
                <w:color w:val="auto"/>
              </w:rPr>
              <w:t>605,510</w:t>
            </w:r>
          </w:p>
        </w:tc>
      </w:tr>
      <w:tr>
        <w:trPr>
          <w:trHeight w:val="170"/>
        </w:trPr>
        <w:tc>
          <w:tcPr>
            <w:tcW w:w="3000" w:type="dxa"/>
            <w:vAlign w:val="bottom"/>
            <w:shd w:val="clear" w:color="auto" w:fill="CCEEFF"/>
          </w:tcPr>
          <w:p>
            <w:pPr>
              <w:ind w:left="20"/>
              <w:spacing w:after="0"/>
              <w:rPr>
                <w:sz w:val="20"/>
                <w:szCs w:val="20"/>
                <w:color w:val="auto"/>
              </w:rPr>
            </w:pPr>
            <w:r>
              <w:rPr>
                <w:rFonts w:ascii="Arial" w:cs="Arial" w:eastAsia="Arial" w:hAnsi="Arial"/>
                <w:sz w:val="13"/>
                <w:szCs w:val="13"/>
                <w:color w:val="auto"/>
              </w:rPr>
              <w:t>Goodwill</w:t>
            </w:r>
          </w:p>
        </w:tc>
        <w:tc>
          <w:tcPr>
            <w:tcW w:w="602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348,550</w:t>
            </w:r>
          </w:p>
        </w:tc>
      </w:tr>
      <w:tr>
        <w:trPr>
          <w:trHeight w:val="163"/>
        </w:trPr>
        <w:tc>
          <w:tcPr>
            <w:tcW w:w="3000" w:type="dxa"/>
            <w:vAlign w:val="bottom"/>
          </w:tcPr>
          <w:p>
            <w:pPr>
              <w:ind w:left="20"/>
              <w:spacing w:after="0"/>
              <w:rPr>
                <w:sz w:val="20"/>
                <w:szCs w:val="20"/>
                <w:color w:val="auto"/>
              </w:rPr>
            </w:pPr>
            <w:r>
              <w:rPr>
                <w:rFonts w:ascii="Arial" w:cs="Arial" w:eastAsia="Arial" w:hAnsi="Arial"/>
                <w:sz w:val="13"/>
                <w:szCs w:val="13"/>
                <w:color w:val="auto"/>
              </w:rPr>
              <w:t>Total consideration transferred</w:t>
            </w:r>
          </w:p>
        </w:tc>
        <w:tc>
          <w:tcPr>
            <w:tcW w:w="64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780" w:type="dxa"/>
            <w:vAlign w:val="bottom"/>
          </w:tcPr>
          <w:p>
            <w:pPr>
              <w:jc w:val="right"/>
              <w:spacing w:after="0"/>
              <w:rPr>
                <w:sz w:val="20"/>
                <w:szCs w:val="20"/>
                <w:color w:val="auto"/>
              </w:rPr>
            </w:pPr>
            <w:r>
              <w:rPr>
                <w:rFonts w:ascii="Arial" w:cs="Arial" w:eastAsia="Arial" w:hAnsi="Arial"/>
                <w:sz w:val="13"/>
                <w:szCs w:val="13"/>
                <w:color w:val="auto"/>
              </w:rPr>
              <w:t>954,060</w:t>
            </w:r>
          </w:p>
        </w:tc>
      </w:tr>
      <w:tr>
        <w:trPr>
          <w:trHeight w:val="20"/>
        </w:trPr>
        <w:tc>
          <w:tcPr>
            <w:tcW w:w="300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jc w:val="both"/>
        <w:ind w:firstLine="509"/>
        <w:spacing w:after="0" w:line="281" w:lineRule="auto"/>
        <w:rPr>
          <w:sz w:val="20"/>
          <w:szCs w:val="20"/>
          <w:color w:val="auto"/>
        </w:rPr>
      </w:pPr>
      <w:r>
        <w:rPr>
          <w:rFonts w:ascii="Arial" w:cs="Arial" w:eastAsia="Arial" w:hAnsi="Arial"/>
          <w:sz w:val="14"/>
          <w:szCs w:val="14"/>
          <w:color w:val="auto"/>
        </w:rPr>
        <w:t>The provisional valuation of identified intangible assets of $415.2 million consisted of: 1) trade names with indefinite lives of $214.0 million; 2) trade names of $36.8 million with useful lives ranging from 15 years to 20 years; and 3) customer and distributor relationships of $164.3 million with useful lives ranging from 15 years to 18 years.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following unaudited pro forma information presents the combined financial results for the Company and PFM as if the acquisition had been completed at the beginning of 2020:</w:t>
      </w:r>
    </w:p>
    <w:p>
      <w:pPr>
        <w:spacing w:after="0" w:line="151" w:lineRule="exact"/>
        <w:rPr>
          <w:sz w:val="20"/>
          <w:szCs w:val="20"/>
          <w:color w:val="auto"/>
        </w:rPr>
      </w:pPr>
    </w:p>
    <w:tbl>
      <w:tblPr>
        <w:tblLayout w:type="fixed"/>
        <w:tblInd w:w="520" w:type="dxa"/>
        <w:tblCellMar>
          <w:top w:w="0" w:type="dxa"/>
          <w:left w:w="0" w:type="dxa"/>
          <w:bottom w:w="0" w:type="dxa"/>
          <w:right w:w="0" w:type="dxa"/>
        </w:tblCellMar>
      </w:tblPr>
      <w:tr>
        <w:trPr>
          <w:trHeight w:val="151"/>
        </w:trPr>
        <w:tc>
          <w:tcPr>
            <w:tcW w:w="6460" w:type="dxa"/>
            <w:vAlign w:val="bottom"/>
          </w:tcPr>
          <w:p>
            <w:pPr>
              <w:spacing w:after="0"/>
              <w:rPr>
                <w:sz w:val="13"/>
                <w:szCs w:val="13"/>
                <w:color w:val="auto"/>
              </w:rPr>
            </w:pPr>
          </w:p>
        </w:tc>
        <w:tc>
          <w:tcPr>
            <w:tcW w:w="1120" w:type="dxa"/>
            <w:vAlign w:val="bottom"/>
            <w:tcBorders>
              <w:bottom w:val="single" w:sz="8" w:color="auto"/>
            </w:tcBorders>
          </w:tcPr>
          <w:p>
            <w:pPr>
              <w:jc w:val="right"/>
              <w:ind w:right="22"/>
              <w:spacing w:after="0"/>
              <w:rPr>
                <w:sz w:val="20"/>
                <w:szCs w:val="20"/>
                <w:color w:val="auto"/>
              </w:rPr>
            </w:pPr>
            <w:r>
              <w:rPr>
                <w:rFonts w:ascii="Arial" w:cs="Arial" w:eastAsia="Arial" w:hAnsi="Arial"/>
                <w:sz w:val="11"/>
                <w:szCs w:val="11"/>
                <w:b w:val="1"/>
                <w:bCs w:val="1"/>
                <w:color w:val="auto"/>
              </w:rPr>
              <w:t>2021</w:t>
            </w:r>
          </w:p>
        </w:tc>
        <w:tc>
          <w:tcPr>
            <w:tcW w:w="7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1"/>
                <w:szCs w:val="11"/>
                <w:b w:val="1"/>
                <w:bCs w:val="1"/>
                <w:color w:val="auto"/>
              </w:rPr>
              <w:t>2020</w:t>
            </w:r>
          </w:p>
        </w:tc>
        <w:tc>
          <w:tcPr>
            <w:tcW w:w="7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6460" w:type="dxa"/>
            <w:vAlign w:val="bottom"/>
          </w:tcPr>
          <w:p>
            <w:pPr>
              <w:spacing w:after="0"/>
              <w:rPr>
                <w:sz w:val="11"/>
                <w:szCs w:val="11"/>
                <w:color w:val="auto"/>
              </w:rPr>
            </w:pPr>
          </w:p>
        </w:tc>
        <w:tc>
          <w:tcPr>
            <w:tcW w:w="3060" w:type="dxa"/>
            <w:vAlign w:val="bottom"/>
            <w:gridSpan w:val="3"/>
          </w:tcPr>
          <w:p>
            <w:pPr>
              <w:jc w:val="right"/>
              <w:ind w:right="239"/>
              <w:spacing w:after="0"/>
              <w:rPr>
                <w:sz w:val="20"/>
                <w:szCs w:val="20"/>
                <w:color w:val="auto"/>
              </w:rPr>
            </w:pPr>
            <w:r>
              <w:rPr>
                <w:rFonts w:ascii="Arial" w:cs="Arial" w:eastAsia="Arial" w:hAnsi="Arial"/>
                <w:sz w:val="10"/>
                <w:szCs w:val="10"/>
                <w:b w:val="1"/>
                <w:bCs w:val="1"/>
                <w:color w:val="auto"/>
              </w:rPr>
              <w:t>(In thousands, except per share amounts)</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6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sales</w:t>
            </w:r>
          </w:p>
        </w:tc>
        <w:tc>
          <w:tcPr>
            <w:tcW w:w="1120" w:type="dxa"/>
            <w:vAlign w:val="bottom"/>
            <w:shd w:val="clear" w:color="auto" w:fill="CCEEFF"/>
          </w:tcPr>
          <w:p>
            <w:pPr>
              <w:jc w:val="right"/>
              <w:ind w:right="982"/>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98"/>
              </w:rPr>
              <w:t>15,442,724</w:t>
            </w:r>
          </w:p>
        </w:tc>
        <w:tc>
          <w:tcPr>
            <w:tcW w:w="1200" w:type="dxa"/>
            <w:vAlign w:val="bottom"/>
            <w:shd w:val="clear" w:color="auto" w:fill="CCEEFF"/>
          </w:tcPr>
          <w:p>
            <w:pPr>
              <w:jc w:val="right"/>
              <w:ind w:right="979"/>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13,023,345</w:t>
            </w:r>
          </w:p>
        </w:tc>
        <w:tc>
          <w:tcPr>
            <w:tcW w:w="0" w:type="dxa"/>
            <w:vAlign w:val="bottom"/>
          </w:tcPr>
          <w:p>
            <w:pPr>
              <w:spacing w:after="0"/>
              <w:rPr>
                <w:sz w:val="1"/>
                <w:szCs w:val="1"/>
                <w:color w:val="auto"/>
              </w:rPr>
            </w:pPr>
          </w:p>
        </w:tc>
      </w:tr>
      <w:tr>
        <w:trPr>
          <w:trHeight w:val="168"/>
        </w:trPr>
        <w:tc>
          <w:tcPr>
            <w:tcW w:w="6460" w:type="dxa"/>
            <w:vAlign w:val="bottom"/>
          </w:tcPr>
          <w:p>
            <w:pPr>
              <w:ind w:left="20"/>
              <w:spacing w:after="0"/>
              <w:rPr>
                <w:sz w:val="20"/>
                <w:szCs w:val="20"/>
                <w:color w:val="auto"/>
              </w:rPr>
            </w:pPr>
            <w:r>
              <w:rPr>
                <w:rFonts w:ascii="Arial" w:cs="Arial" w:eastAsia="Arial" w:hAnsi="Arial"/>
                <w:sz w:val="13"/>
                <w:szCs w:val="13"/>
                <w:color w:val="auto"/>
              </w:rPr>
              <w:t>Net income (loss) attributable to Pilgrim's Pride Corporation</w:t>
            </w:r>
          </w:p>
        </w:tc>
        <w:tc>
          <w:tcPr>
            <w:tcW w:w="1120" w:type="dxa"/>
            <w:vAlign w:val="bottom"/>
          </w:tcPr>
          <w:p>
            <w:pPr>
              <w:spacing w:after="0"/>
              <w:rPr>
                <w:sz w:val="14"/>
                <w:szCs w:val="14"/>
                <w:color w:val="auto"/>
              </w:rPr>
            </w:pPr>
          </w:p>
        </w:tc>
        <w:tc>
          <w:tcPr>
            <w:tcW w:w="740" w:type="dxa"/>
            <w:vAlign w:val="bottom"/>
          </w:tcPr>
          <w:p>
            <w:pPr>
              <w:jc w:val="right"/>
              <w:ind w:right="16"/>
              <w:spacing w:after="0"/>
              <w:rPr>
                <w:sz w:val="20"/>
                <w:szCs w:val="20"/>
                <w:color w:val="auto"/>
              </w:rPr>
            </w:pPr>
            <w:r>
              <w:rPr>
                <w:rFonts w:ascii="Arial" w:cs="Arial" w:eastAsia="Arial" w:hAnsi="Arial"/>
                <w:sz w:val="13"/>
                <w:szCs w:val="13"/>
                <w:color w:val="auto"/>
              </w:rPr>
              <w:t>19,519</w:t>
            </w:r>
          </w:p>
        </w:tc>
        <w:tc>
          <w:tcPr>
            <w:tcW w:w="1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104,607</w:t>
            </w:r>
          </w:p>
        </w:tc>
        <w:tc>
          <w:tcPr>
            <w:tcW w:w="0" w:type="dxa"/>
            <w:vAlign w:val="bottom"/>
          </w:tcPr>
          <w:p>
            <w:pPr>
              <w:spacing w:after="0"/>
              <w:rPr>
                <w:sz w:val="1"/>
                <w:szCs w:val="1"/>
                <w:color w:val="auto"/>
              </w:rPr>
            </w:pPr>
          </w:p>
        </w:tc>
      </w:tr>
      <w:tr>
        <w:trPr>
          <w:trHeight w:val="133"/>
        </w:trPr>
        <w:tc>
          <w:tcPr>
            <w:tcW w:w="6460" w:type="dxa"/>
            <w:vAlign w:val="bottom"/>
            <w:shd w:val="clear" w:color="auto" w:fill="CCEEFF"/>
          </w:tcPr>
          <w:p>
            <w:pPr>
              <w:ind w:left="20"/>
              <w:spacing w:after="0" w:line="134" w:lineRule="exact"/>
              <w:rPr>
                <w:sz w:val="20"/>
                <w:szCs w:val="20"/>
                <w:color w:val="auto"/>
              </w:rPr>
            </w:pPr>
            <w:r>
              <w:rPr>
                <w:rFonts w:ascii="Arial" w:cs="Arial" w:eastAsia="Arial" w:hAnsi="Arial"/>
                <w:sz w:val="13"/>
                <w:szCs w:val="13"/>
                <w:color w:val="auto"/>
              </w:rPr>
              <w:t>Net income (loss) attributable to Pilgrim's Pride Corporation</w:t>
            </w:r>
          </w:p>
        </w:tc>
        <w:tc>
          <w:tcPr>
            <w:tcW w:w="1120" w:type="dxa"/>
            <w:vAlign w:val="bottom"/>
            <w:vMerge w:val="restart"/>
            <w:shd w:val="clear" w:color="auto" w:fill="CCEEFF"/>
          </w:tcPr>
          <w:p>
            <w:pPr>
              <w:jc w:val="right"/>
              <w:ind w:right="982"/>
              <w:spacing w:after="0"/>
              <w:rPr>
                <w:sz w:val="20"/>
                <w:szCs w:val="20"/>
                <w:color w:val="auto"/>
              </w:rPr>
            </w:pPr>
            <w:r>
              <w:rPr>
                <w:rFonts w:ascii="Arial" w:cs="Arial" w:eastAsia="Arial" w:hAnsi="Arial"/>
                <w:sz w:val="13"/>
                <w:szCs w:val="13"/>
                <w:color w:val="auto"/>
                <w:w w:val="82"/>
              </w:rPr>
              <w:t>$</w:t>
            </w:r>
          </w:p>
        </w:tc>
        <w:tc>
          <w:tcPr>
            <w:tcW w:w="740" w:type="dxa"/>
            <w:vAlign w:val="bottom"/>
            <w:vMerge w:val="restart"/>
            <w:shd w:val="clear" w:color="auto" w:fill="CCEEFF"/>
          </w:tcPr>
          <w:p>
            <w:pPr>
              <w:jc w:val="right"/>
              <w:ind w:right="16"/>
              <w:spacing w:after="0"/>
              <w:rPr>
                <w:sz w:val="20"/>
                <w:szCs w:val="20"/>
                <w:color w:val="auto"/>
              </w:rPr>
            </w:pPr>
            <w:r>
              <w:rPr>
                <w:rFonts w:ascii="Arial" w:cs="Arial" w:eastAsia="Arial" w:hAnsi="Arial"/>
                <w:sz w:val="13"/>
                <w:szCs w:val="13"/>
                <w:color w:val="auto"/>
              </w:rPr>
              <w:t>0.08</w:t>
            </w:r>
          </w:p>
        </w:tc>
        <w:tc>
          <w:tcPr>
            <w:tcW w:w="1200" w:type="dxa"/>
            <w:vAlign w:val="bottom"/>
            <w:vMerge w:val="restart"/>
            <w:shd w:val="clear" w:color="auto" w:fill="CCEEFF"/>
          </w:tcPr>
          <w:p>
            <w:pPr>
              <w:jc w:val="right"/>
              <w:ind w:right="979"/>
              <w:spacing w:after="0"/>
              <w:rPr>
                <w:sz w:val="20"/>
                <w:szCs w:val="20"/>
                <w:color w:val="auto"/>
              </w:rPr>
            </w:pPr>
            <w:r>
              <w:rPr>
                <w:rFonts w:ascii="Arial" w:cs="Arial" w:eastAsia="Arial" w:hAnsi="Arial"/>
                <w:sz w:val="13"/>
                <w:szCs w:val="13"/>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0.43</w:t>
            </w:r>
          </w:p>
        </w:tc>
        <w:tc>
          <w:tcPr>
            <w:tcW w:w="0" w:type="dxa"/>
            <w:vAlign w:val="bottom"/>
          </w:tcPr>
          <w:p>
            <w:pPr>
              <w:spacing w:after="0"/>
              <w:rPr>
                <w:sz w:val="1"/>
                <w:szCs w:val="1"/>
                <w:color w:val="auto"/>
              </w:rPr>
            </w:pPr>
          </w:p>
        </w:tc>
      </w:tr>
      <w:tr>
        <w:trPr>
          <w:trHeight w:val="166"/>
        </w:trPr>
        <w:tc>
          <w:tcPr>
            <w:tcW w:w="64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per common share - diluted</w:t>
            </w:r>
          </w:p>
        </w:tc>
        <w:tc>
          <w:tcPr>
            <w:tcW w:w="1120" w:type="dxa"/>
            <w:vAlign w:val="bottom"/>
            <w:vMerge w:val="continue"/>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1200" w:type="dxa"/>
            <w:vAlign w:val="bottom"/>
            <w:vMerge w:val="continue"/>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4"/>
          <w:szCs w:val="14"/>
          <w:color w:val="auto"/>
        </w:rPr>
        <w:t>The above unaudited pro forma financial information is presented for informational purposes only and does not purport to represent what the Company’s results of operations would have been had it completed the acquisition on the date assumed, nor is it necessarily indicative of the results that may be expected in future periods. Pro forma adjustments include depreciation on the provisional values of acquired property, plant and equipment, amortization on the provisional values of acquired intangible assets, interest expense on debt issued to finance the acquisition, acquisition-related costs incurred by Pilgrim’s and its subsidiaries and the related income tax effect of these adjustments. Pro forma adjustments exclude cost savings from any synergies resulting from the acquisition.</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Randall Parker Foods Limited</w:t>
      </w:r>
    </w:p>
    <w:p>
      <w:pPr>
        <w:spacing w:after="0" w:line="140" w:lineRule="exact"/>
        <w:rPr>
          <w:sz w:val="20"/>
          <w:szCs w:val="20"/>
          <w:color w:val="auto"/>
        </w:rPr>
      </w:pPr>
    </w:p>
    <w:p>
      <w:pPr>
        <w:jc w:val="both"/>
        <w:ind w:firstLine="509"/>
        <w:spacing w:after="0" w:line="288" w:lineRule="auto"/>
        <w:rPr>
          <w:sz w:val="20"/>
          <w:szCs w:val="20"/>
          <w:color w:val="auto"/>
        </w:rPr>
      </w:pPr>
      <w:r>
        <w:rPr>
          <w:rFonts w:ascii="Arial" w:cs="Arial" w:eastAsia="Arial" w:hAnsi="Arial"/>
          <w:sz w:val="13"/>
          <w:szCs w:val="13"/>
          <w:color w:val="auto"/>
        </w:rPr>
        <w:t xml:space="preserve">On November 12, 2021, the Company acquired 100.0% of the equity of Randall Parker Foods Limited and its subsidiaries (together “RPF”) from several sellers for £10.0 million, or $13.4 million. The acquisition was funded with cash on hand. Transaction costs were immaterial, these costs were expensed as incurred and are reflected within </w:t>
      </w:r>
      <w:r>
        <w:rPr>
          <w:rFonts w:ascii="Arial" w:cs="Arial" w:eastAsia="Arial" w:hAnsi="Arial"/>
          <w:sz w:val="13"/>
          <w:szCs w:val="13"/>
          <w:i w:val="1"/>
          <w:iCs w:val="1"/>
          <w:color w:val="auto"/>
        </w:rPr>
        <w:t>Selling, general and administrative</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expense </w:t>
      </w:r>
      <w:r>
        <w:rPr>
          <w:rFonts w:ascii="Arial" w:cs="Arial" w:eastAsia="Arial" w:hAnsi="Arial"/>
          <w:sz w:val="13"/>
          <w:szCs w:val="13"/>
          <w:color w:val="auto"/>
        </w:rPr>
        <w:t>in the Company’s Consolidated Statements of Income. The acquired operations include lamb processing and retail packaging operations and will connect the Company’s existing lamb supply</w:t>
      </w:r>
      <w:r>
        <w:rPr>
          <w:rFonts w:ascii="Arial" w:cs="Arial" w:eastAsia="Arial" w:hAnsi="Arial"/>
          <w:sz w:val="13"/>
          <w:szCs w:val="13"/>
          <w:i w:val="1"/>
          <w:iCs w:val="1"/>
          <w:color w:val="auto"/>
        </w:rPr>
        <w:t xml:space="preserve"> </w:t>
      </w:r>
      <w:r>
        <w:rPr>
          <w:rFonts w:ascii="Arial" w:cs="Arial" w:eastAsia="Arial" w:hAnsi="Arial"/>
          <w:sz w:val="13"/>
          <w:szCs w:val="13"/>
          <w:color w:val="auto"/>
        </w:rPr>
        <w:t>chain, bringing its farmers and customers closer together. The RPF operations are included in the Company’s U.K. and Europe reportable segment.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0" w:name="page61"/>
    <w:bookmarkEnd w:id="6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NOTES TO CONSOLIDATED FINANCIAL STATEMENTS</w:t>
      </w:r>
    </w:p>
    <w:p>
      <w:pPr>
        <w:spacing w:after="0" w:line="391" w:lineRule="exact"/>
        <w:rPr>
          <w:sz w:val="20"/>
          <w:szCs w:val="20"/>
          <w:color w:val="auto"/>
        </w:rPr>
      </w:pPr>
    </w:p>
    <w:p>
      <w:pPr>
        <w:jc w:val="both"/>
        <w:ind w:firstLine="509"/>
        <w:spacing w:after="0" w:line="281" w:lineRule="auto"/>
        <w:rPr>
          <w:sz w:val="20"/>
          <w:szCs w:val="20"/>
          <w:color w:val="auto"/>
        </w:rPr>
      </w:pPr>
      <w:r>
        <w:rPr>
          <w:rFonts w:ascii="Arial" w:cs="Arial" w:eastAsia="Arial" w:hAnsi="Arial"/>
          <w:sz w:val="14"/>
          <w:szCs w:val="14"/>
          <w:color w:val="auto"/>
        </w:rPr>
        <w:t>The estimated fair values of the assets acquired and liabilities assumed are preliminary and we are currently completing our fair value assessment with the assistance of third-party valuation specialists. Any adjustments identified in the measurement period, which will not exceed one year from the acquisition date, will be accounting for prospectively.</w:t>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Tulip Limited</w:t>
      </w:r>
    </w:p>
    <w:p>
      <w:pPr>
        <w:spacing w:after="0" w:line="140"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color w:val="auto"/>
        </w:rPr>
        <w:t>On October 15, 2019, the Company acquired 100.0% of the equity of Tulip Limited and its subsidiaries (together “Tulip”) from Danish Crown AmbA for £311.3 million, or $393.3 million. The acquisition was funded with cash on hand. Tulip, which has subsequently changed its name to Pilgrim’s Pride Ltd. (“PPL”), is a leading, integrated prepared pork supplier headquartered in Warwick, U.K. The acquisition solidifies Pilgrim’s as a leading European food company, creating one of the largest integrated prepared foods businesses in the U.K. The PPL operations are included in the Company’s U.K. and Europe reportable segment.</w:t>
      </w:r>
    </w:p>
    <w:p>
      <w:pPr>
        <w:spacing w:after="0" w:line="103" w:lineRule="exact"/>
        <w:rPr>
          <w:sz w:val="20"/>
          <w:szCs w:val="20"/>
          <w:color w:val="auto"/>
        </w:rPr>
      </w:pPr>
    </w:p>
    <w:p>
      <w:pPr>
        <w:jc w:val="both"/>
        <w:ind w:firstLine="509"/>
        <w:spacing w:after="0" w:line="281" w:lineRule="auto"/>
        <w:rPr>
          <w:sz w:val="20"/>
          <w:szCs w:val="20"/>
          <w:color w:val="auto"/>
        </w:rPr>
      </w:pPr>
      <w:r>
        <w:rPr>
          <w:rFonts w:ascii="Arial" w:cs="Arial" w:eastAsia="Arial" w:hAnsi="Arial"/>
          <w:sz w:val="14"/>
          <w:szCs w:val="14"/>
          <w:color w:val="auto"/>
        </w:rPr>
        <w:t xml:space="preserve">Transaction costs incurred in conjunction with the acquisition were approximately $1.4 million. These costs were expensed as incurred and are reflected within </w:t>
      </w:r>
      <w:r>
        <w:rPr>
          <w:rFonts w:ascii="Arial" w:cs="Arial" w:eastAsia="Arial" w:hAnsi="Arial"/>
          <w:sz w:val="14"/>
          <w:szCs w:val="14"/>
          <w:i w:val="1"/>
          <w:iCs w:val="1"/>
          <w:color w:val="auto"/>
        </w:rPr>
        <w:t>Selling, general and</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administrative expense </w:t>
      </w:r>
      <w:r>
        <w:rPr>
          <w:rFonts w:ascii="Arial" w:cs="Arial" w:eastAsia="Arial" w:hAnsi="Arial"/>
          <w:sz w:val="14"/>
          <w:szCs w:val="14"/>
          <w:color w:val="auto"/>
        </w:rPr>
        <w:t>in the Company’s Consolidated Statements of Income.</w:t>
      </w:r>
    </w:p>
    <w:p>
      <w:pPr>
        <w:spacing w:after="0" w:line="90" w:lineRule="exact"/>
        <w:rPr>
          <w:sz w:val="20"/>
          <w:szCs w:val="20"/>
          <w:color w:val="auto"/>
        </w:rPr>
      </w:pPr>
    </w:p>
    <w:p>
      <w:pPr>
        <w:jc w:val="both"/>
        <w:ind w:firstLine="509"/>
        <w:spacing w:after="0" w:line="297" w:lineRule="auto"/>
        <w:rPr>
          <w:sz w:val="20"/>
          <w:szCs w:val="20"/>
          <w:color w:val="auto"/>
        </w:rPr>
      </w:pPr>
      <w:r>
        <w:rPr>
          <w:rFonts w:ascii="Arial" w:cs="Arial" w:eastAsia="Arial" w:hAnsi="Arial"/>
          <w:sz w:val="13"/>
          <w:szCs w:val="13"/>
          <w:color w:val="auto"/>
        </w:rPr>
        <w:t>The assets acquired and liabilities assumed in the acquisition were measured at their fair values as of October 15, 2019 as set forth below. The excess of the fair values of the net tangible assets and identifiable intangible assets over the purchase price was recorded as gain on bargain purchase in the Company’s U.K. and Europe reportable segment. The fair values recorded were determined based upon various external and internal valuations. The fair values recorded for the assets acquired and liabilities assumed for PPL are as follows (in thousands):</w:t>
      </w:r>
    </w:p>
    <w:p>
      <w:pPr>
        <w:spacing w:after="0" w:line="8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fair values recorded for the assets acquired and liabilities assumed for PPL are as follows (in thousands):</w:t>
      </w:r>
    </w:p>
    <w:p>
      <w:pPr>
        <w:spacing w:after="0" w:line="242" w:lineRule="exact"/>
        <w:rPr>
          <w:sz w:val="20"/>
          <w:szCs w:val="20"/>
          <w:color w:val="auto"/>
        </w:rPr>
      </w:pPr>
    </w:p>
    <w:tbl>
      <w:tblPr>
        <w:tblLayout w:type="fixed"/>
        <w:tblInd w:w="20" w:type="dxa"/>
        <w:tblCellMar>
          <w:top w:w="0" w:type="dxa"/>
          <w:left w:w="0" w:type="dxa"/>
          <w:bottom w:w="0" w:type="dxa"/>
          <w:right w:w="0" w:type="dxa"/>
        </w:tblCellMar>
      </w:tblPr>
      <w:tr>
        <w:trPr>
          <w:trHeight w:val="170"/>
        </w:trPr>
        <w:tc>
          <w:tcPr>
            <w:tcW w:w="9560" w:type="dxa"/>
            <w:vAlign w:val="bottom"/>
            <w:shd w:val="clear" w:color="auto" w:fill="CCEEFF"/>
          </w:tcPr>
          <w:p>
            <w:pPr>
              <w:spacing w:after="0"/>
              <w:rPr>
                <w:sz w:val="20"/>
                <w:szCs w:val="20"/>
                <w:color w:val="auto"/>
              </w:rPr>
            </w:pPr>
            <w:r>
              <w:rPr>
                <w:rFonts w:ascii="Arial" w:cs="Arial" w:eastAsia="Arial" w:hAnsi="Arial"/>
                <w:sz w:val="13"/>
                <w:szCs w:val="13"/>
                <w:color w:val="auto"/>
              </w:rPr>
              <w:t>Cash and cash equivalents</w:t>
            </w:r>
          </w:p>
        </w:tc>
        <w:tc>
          <w:tcPr>
            <w:tcW w:w="640" w:type="dxa"/>
            <w:vAlign w:val="bottom"/>
            <w:shd w:val="clear" w:color="auto" w:fill="CCEEFF"/>
          </w:tcPr>
          <w:p>
            <w:pPr>
              <w:jc w:val="right"/>
              <w:ind w:right="496"/>
              <w:spacing w:after="0"/>
              <w:rPr>
                <w:sz w:val="20"/>
                <w:szCs w:val="20"/>
                <w:color w:val="auto"/>
              </w:rPr>
            </w:pPr>
            <w:r>
              <w:rPr>
                <w:rFonts w:ascii="Arial" w:cs="Arial" w:eastAsia="Arial" w:hAnsi="Arial"/>
                <w:sz w:val="13"/>
                <w:szCs w:val="13"/>
                <w:color w:val="auto"/>
                <w:w w:val="82"/>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6,854</w:t>
            </w:r>
          </w:p>
        </w:tc>
      </w:tr>
      <w:tr>
        <w:trPr>
          <w:trHeight w:val="168"/>
        </w:trPr>
        <w:tc>
          <w:tcPr>
            <w:tcW w:w="9560" w:type="dxa"/>
            <w:vAlign w:val="bottom"/>
          </w:tcPr>
          <w:p>
            <w:pPr>
              <w:spacing w:after="0"/>
              <w:rPr>
                <w:sz w:val="20"/>
                <w:szCs w:val="20"/>
                <w:color w:val="auto"/>
              </w:rPr>
            </w:pPr>
            <w:r>
              <w:rPr>
                <w:rFonts w:ascii="Arial" w:cs="Arial" w:eastAsia="Arial" w:hAnsi="Arial"/>
                <w:sz w:val="13"/>
                <w:szCs w:val="13"/>
                <w:color w:val="auto"/>
              </w:rPr>
              <w:t>Trade accounts and other receivables</w:t>
            </w:r>
          </w:p>
        </w:tc>
        <w:tc>
          <w:tcPr>
            <w:tcW w:w="6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146,423</w:t>
            </w:r>
          </w:p>
        </w:tc>
      </w:tr>
      <w:tr>
        <w:trPr>
          <w:trHeight w:val="172"/>
        </w:trPr>
        <w:tc>
          <w:tcPr>
            <w:tcW w:w="9560" w:type="dxa"/>
            <w:vAlign w:val="bottom"/>
            <w:shd w:val="clear" w:color="auto" w:fill="CCEEFF"/>
          </w:tcPr>
          <w:p>
            <w:pPr>
              <w:spacing w:after="0"/>
              <w:rPr>
                <w:sz w:val="20"/>
                <w:szCs w:val="20"/>
                <w:color w:val="auto"/>
              </w:rPr>
            </w:pPr>
            <w:r>
              <w:rPr>
                <w:rFonts w:ascii="Arial" w:cs="Arial" w:eastAsia="Arial" w:hAnsi="Arial"/>
                <w:sz w:val="13"/>
                <w:szCs w:val="13"/>
                <w:color w:val="auto"/>
              </w:rPr>
              <w:t>Inventories</w:t>
            </w:r>
          </w:p>
        </w:tc>
        <w:tc>
          <w:tcPr>
            <w:tcW w:w="6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104,211</w:t>
            </w:r>
          </w:p>
        </w:tc>
      </w:tr>
      <w:tr>
        <w:trPr>
          <w:trHeight w:val="168"/>
        </w:trPr>
        <w:tc>
          <w:tcPr>
            <w:tcW w:w="9560" w:type="dxa"/>
            <w:vAlign w:val="bottom"/>
          </w:tcPr>
          <w:p>
            <w:pPr>
              <w:spacing w:after="0"/>
              <w:rPr>
                <w:sz w:val="20"/>
                <w:szCs w:val="20"/>
                <w:color w:val="auto"/>
              </w:rPr>
            </w:pPr>
            <w:r>
              <w:rPr>
                <w:rFonts w:ascii="Arial" w:cs="Arial" w:eastAsia="Arial" w:hAnsi="Arial"/>
                <w:sz w:val="13"/>
                <w:szCs w:val="13"/>
                <w:color w:val="auto"/>
              </w:rPr>
              <w:t>Prepaid expenses and other current assets</w:t>
            </w:r>
          </w:p>
        </w:tc>
        <w:tc>
          <w:tcPr>
            <w:tcW w:w="6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6,579</w:t>
            </w:r>
          </w:p>
        </w:tc>
      </w:tr>
      <w:tr>
        <w:trPr>
          <w:trHeight w:val="172"/>
        </w:trPr>
        <w:tc>
          <w:tcPr>
            <w:tcW w:w="9560" w:type="dxa"/>
            <w:vAlign w:val="bottom"/>
            <w:shd w:val="clear" w:color="auto" w:fill="CCEEFF"/>
          </w:tcPr>
          <w:p>
            <w:pPr>
              <w:spacing w:after="0"/>
              <w:rPr>
                <w:sz w:val="20"/>
                <w:szCs w:val="20"/>
                <w:color w:val="auto"/>
              </w:rPr>
            </w:pPr>
            <w:r>
              <w:rPr>
                <w:rFonts w:ascii="Arial" w:cs="Arial" w:eastAsia="Arial" w:hAnsi="Arial"/>
                <w:sz w:val="13"/>
                <w:szCs w:val="13"/>
                <w:color w:val="auto"/>
              </w:rPr>
              <w:t>Operating lease assets</w:t>
            </w:r>
          </w:p>
        </w:tc>
        <w:tc>
          <w:tcPr>
            <w:tcW w:w="6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5,613</w:t>
            </w:r>
          </w:p>
        </w:tc>
      </w:tr>
      <w:tr>
        <w:trPr>
          <w:trHeight w:val="168"/>
        </w:trPr>
        <w:tc>
          <w:tcPr>
            <w:tcW w:w="9560" w:type="dxa"/>
            <w:vAlign w:val="bottom"/>
          </w:tcPr>
          <w:p>
            <w:pPr>
              <w:spacing w:after="0"/>
              <w:rPr>
                <w:sz w:val="20"/>
                <w:szCs w:val="20"/>
                <w:color w:val="auto"/>
              </w:rPr>
            </w:pPr>
            <w:r>
              <w:rPr>
                <w:rFonts w:ascii="Arial" w:cs="Arial" w:eastAsia="Arial" w:hAnsi="Arial"/>
                <w:sz w:val="13"/>
                <w:szCs w:val="13"/>
                <w:color w:val="auto"/>
              </w:rPr>
              <w:t>Property, plant and equipment</w:t>
            </w:r>
          </w:p>
        </w:tc>
        <w:tc>
          <w:tcPr>
            <w:tcW w:w="6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329,711</w:t>
            </w:r>
          </w:p>
        </w:tc>
      </w:tr>
      <w:tr>
        <w:trPr>
          <w:trHeight w:val="172"/>
        </w:trPr>
        <w:tc>
          <w:tcPr>
            <w:tcW w:w="9560" w:type="dxa"/>
            <w:vAlign w:val="bottom"/>
            <w:shd w:val="clear" w:color="auto" w:fill="CCEEFF"/>
          </w:tcPr>
          <w:p>
            <w:pPr>
              <w:spacing w:after="0"/>
              <w:rPr>
                <w:sz w:val="20"/>
                <w:szCs w:val="20"/>
                <w:color w:val="auto"/>
              </w:rPr>
            </w:pPr>
            <w:r>
              <w:rPr>
                <w:rFonts w:ascii="Arial" w:cs="Arial" w:eastAsia="Arial" w:hAnsi="Arial"/>
                <w:sz w:val="13"/>
                <w:szCs w:val="13"/>
                <w:color w:val="auto"/>
              </w:rPr>
              <w:t>Identified intangible assets</w:t>
            </w:r>
          </w:p>
        </w:tc>
        <w:tc>
          <w:tcPr>
            <w:tcW w:w="6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40,418</w:t>
            </w:r>
          </w:p>
        </w:tc>
      </w:tr>
      <w:tr>
        <w:trPr>
          <w:trHeight w:val="168"/>
        </w:trPr>
        <w:tc>
          <w:tcPr>
            <w:tcW w:w="956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Other assets</w:t>
            </w:r>
          </w:p>
        </w:tc>
        <w:tc>
          <w:tcPr>
            <w:tcW w:w="6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14,647</w:t>
            </w:r>
          </w:p>
        </w:tc>
      </w:tr>
      <w:tr>
        <w:trPr>
          <w:trHeight w:val="160"/>
        </w:trPr>
        <w:tc>
          <w:tcPr>
            <w:tcW w:w="9560" w:type="dxa"/>
            <w:vAlign w:val="bottom"/>
            <w:shd w:val="clear" w:color="auto" w:fill="CCEEFF"/>
          </w:tcPr>
          <w:p>
            <w:pPr>
              <w:spacing w:after="0"/>
              <w:rPr>
                <w:sz w:val="20"/>
                <w:szCs w:val="20"/>
                <w:color w:val="auto"/>
              </w:rPr>
            </w:pPr>
            <w:r>
              <w:rPr>
                <w:rFonts w:ascii="Arial" w:cs="Arial" w:eastAsia="Arial" w:hAnsi="Arial"/>
                <w:sz w:val="13"/>
                <w:szCs w:val="13"/>
                <w:color w:val="auto"/>
              </w:rPr>
              <w:t>Total assets acquired</w:t>
            </w:r>
          </w:p>
        </w:tc>
        <w:tc>
          <w:tcPr>
            <w:tcW w:w="64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654,456</w:t>
            </w:r>
          </w:p>
        </w:tc>
      </w:tr>
      <w:tr>
        <w:trPr>
          <w:trHeight w:val="67"/>
        </w:trPr>
        <w:tc>
          <w:tcPr>
            <w:tcW w:w="9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60" w:type="dxa"/>
            <w:vAlign w:val="bottom"/>
          </w:tcPr>
          <w:p>
            <w:pPr>
              <w:spacing w:after="0"/>
              <w:rPr>
                <w:sz w:val="5"/>
                <w:szCs w:val="5"/>
                <w:color w:val="auto"/>
              </w:rPr>
            </w:pPr>
          </w:p>
        </w:tc>
      </w:tr>
      <w:tr>
        <w:trPr>
          <w:trHeight w:val="170"/>
        </w:trPr>
        <w:tc>
          <w:tcPr>
            <w:tcW w:w="9560" w:type="dxa"/>
            <w:vAlign w:val="bottom"/>
            <w:shd w:val="clear" w:color="auto" w:fill="CCEEFF"/>
          </w:tcPr>
          <w:p>
            <w:pPr>
              <w:spacing w:after="0"/>
              <w:rPr>
                <w:sz w:val="20"/>
                <w:szCs w:val="20"/>
                <w:color w:val="auto"/>
              </w:rPr>
            </w:pPr>
            <w:r>
              <w:rPr>
                <w:rFonts w:ascii="Arial" w:cs="Arial" w:eastAsia="Arial" w:hAnsi="Arial"/>
                <w:sz w:val="13"/>
                <w:szCs w:val="13"/>
                <w:color w:val="auto"/>
              </w:rPr>
              <w:t>Accounts payable</w:t>
            </w:r>
          </w:p>
        </w:tc>
        <w:tc>
          <w:tcPr>
            <w:tcW w:w="6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110,296</w:t>
            </w:r>
          </w:p>
        </w:tc>
      </w:tr>
      <w:tr>
        <w:trPr>
          <w:trHeight w:val="168"/>
        </w:trPr>
        <w:tc>
          <w:tcPr>
            <w:tcW w:w="9560" w:type="dxa"/>
            <w:vAlign w:val="bottom"/>
          </w:tcPr>
          <w:p>
            <w:pPr>
              <w:spacing w:after="0"/>
              <w:rPr>
                <w:sz w:val="20"/>
                <w:szCs w:val="20"/>
                <w:color w:val="auto"/>
              </w:rPr>
            </w:pPr>
            <w:r>
              <w:rPr>
                <w:rFonts w:ascii="Arial" w:cs="Arial" w:eastAsia="Arial" w:hAnsi="Arial"/>
                <w:sz w:val="13"/>
                <w:szCs w:val="13"/>
                <w:color w:val="auto"/>
              </w:rPr>
              <w:t>Other current liabilities</w:t>
            </w:r>
          </w:p>
        </w:tc>
        <w:tc>
          <w:tcPr>
            <w:tcW w:w="6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55,830</w:t>
            </w:r>
          </w:p>
        </w:tc>
      </w:tr>
      <w:tr>
        <w:trPr>
          <w:trHeight w:val="172"/>
        </w:trPr>
        <w:tc>
          <w:tcPr>
            <w:tcW w:w="9560" w:type="dxa"/>
            <w:vAlign w:val="bottom"/>
            <w:shd w:val="clear" w:color="auto" w:fill="CCEEFF"/>
          </w:tcPr>
          <w:p>
            <w:pPr>
              <w:spacing w:after="0"/>
              <w:rPr>
                <w:sz w:val="20"/>
                <w:szCs w:val="20"/>
                <w:color w:val="auto"/>
              </w:rPr>
            </w:pPr>
            <w:r>
              <w:rPr>
                <w:rFonts w:ascii="Arial" w:cs="Arial" w:eastAsia="Arial" w:hAnsi="Arial"/>
                <w:sz w:val="13"/>
                <w:szCs w:val="13"/>
                <w:color w:val="auto"/>
              </w:rPr>
              <w:t>Operating lease liabilities</w:t>
            </w:r>
          </w:p>
        </w:tc>
        <w:tc>
          <w:tcPr>
            <w:tcW w:w="6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5,613</w:t>
            </w:r>
          </w:p>
        </w:tc>
      </w:tr>
      <w:tr>
        <w:trPr>
          <w:trHeight w:val="168"/>
        </w:trPr>
        <w:tc>
          <w:tcPr>
            <w:tcW w:w="9560" w:type="dxa"/>
            <w:vAlign w:val="bottom"/>
          </w:tcPr>
          <w:p>
            <w:pPr>
              <w:spacing w:after="0"/>
              <w:rPr>
                <w:sz w:val="20"/>
                <w:szCs w:val="20"/>
                <w:color w:val="auto"/>
              </w:rPr>
            </w:pPr>
            <w:r>
              <w:rPr>
                <w:rFonts w:ascii="Arial" w:cs="Arial" w:eastAsia="Arial" w:hAnsi="Arial"/>
                <w:sz w:val="13"/>
                <w:szCs w:val="13"/>
                <w:color w:val="auto"/>
              </w:rPr>
              <w:t>Deferred tax liabilities</w:t>
            </w:r>
          </w:p>
        </w:tc>
        <w:tc>
          <w:tcPr>
            <w:tcW w:w="6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16,804</w:t>
            </w:r>
          </w:p>
        </w:tc>
      </w:tr>
      <w:tr>
        <w:trPr>
          <w:trHeight w:val="172"/>
        </w:trPr>
        <w:tc>
          <w:tcPr>
            <w:tcW w:w="9560" w:type="dxa"/>
            <w:vAlign w:val="bottom"/>
            <w:shd w:val="clear" w:color="auto" w:fill="CCEEFF"/>
          </w:tcPr>
          <w:p>
            <w:pPr>
              <w:spacing w:after="0"/>
              <w:rPr>
                <w:sz w:val="20"/>
                <w:szCs w:val="20"/>
                <w:color w:val="auto"/>
              </w:rPr>
            </w:pPr>
            <w:r>
              <w:rPr>
                <w:rFonts w:ascii="Arial" w:cs="Arial" w:eastAsia="Arial" w:hAnsi="Arial"/>
                <w:sz w:val="13"/>
                <w:szCs w:val="13"/>
                <w:color w:val="auto"/>
              </w:rPr>
              <w:t>Pension obligations</w:t>
            </w:r>
          </w:p>
        </w:tc>
        <w:tc>
          <w:tcPr>
            <w:tcW w:w="6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18,435</w:t>
            </w:r>
          </w:p>
        </w:tc>
      </w:tr>
      <w:tr>
        <w:trPr>
          <w:trHeight w:val="168"/>
        </w:trPr>
        <w:tc>
          <w:tcPr>
            <w:tcW w:w="956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Other long-term liabilities</w:t>
            </w:r>
          </w:p>
        </w:tc>
        <w:tc>
          <w:tcPr>
            <w:tcW w:w="6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1,056</w:t>
            </w:r>
          </w:p>
        </w:tc>
      </w:tr>
      <w:tr>
        <w:trPr>
          <w:trHeight w:val="163"/>
        </w:trPr>
        <w:tc>
          <w:tcPr>
            <w:tcW w:w="9560" w:type="dxa"/>
            <w:vAlign w:val="bottom"/>
            <w:shd w:val="clear" w:color="auto" w:fill="CCEEFF"/>
          </w:tcPr>
          <w:p>
            <w:pPr>
              <w:spacing w:after="0"/>
              <w:rPr>
                <w:sz w:val="20"/>
                <w:szCs w:val="20"/>
                <w:color w:val="auto"/>
              </w:rPr>
            </w:pPr>
            <w:r>
              <w:rPr>
                <w:rFonts w:ascii="Arial" w:cs="Arial" w:eastAsia="Arial" w:hAnsi="Arial"/>
                <w:sz w:val="13"/>
                <w:szCs w:val="13"/>
                <w:color w:val="auto"/>
              </w:rPr>
              <w:t>Total liabilities assumed</w:t>
            </w:r>
          </w:p>
        </w:tc>
        <w:tc>
          <w:tcPr>
            <w:tcW w:w="64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208,034</w:t>
            </w:r>
          </w:p>
        </w:tc>
      </w:tr>
      <w:tr>
        <w:trPr>
          <w:trHeight w:val="158"/>
        </w:trPr>
        <w:tc>
          <w:tcPr>
            <w:tcW w:w="9560" w:type="dxa"/>
            <w:vAlign w:val="bottom"/>
          </w:tcPr>
          <w:p>
            <w:pPr>
              <w:spacing w:after="0"/>
              <w:rPr>
                <w:sz w:val="20"/>
                <w:szCs w:val="20"/>
                <w:color w:val="auto"/>
              </w:rPr>
            </w:pPr>
            <w:r>
              <w:rPr>
                <w:rFonts w:ascii="Arial" w:cs="Arial" w:eastAsia="Arial" w:hAnsi="Arial"/>
                <w:sz w:val="13"/>
                <w:szCs w:val="13"/>
                <w:color w:val="auto"/>
              </w:rPr>
              <w:t>Total identifiable net assets</w:t>
            </w:r>
          </w:p>
        </w:tc>
        <w:tc>
          <w:tcPr>
            <w:tcW w:w="6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446,422</w:t>
            </w:r>
          </w:p>
        </w:tc>
      </w:tr>
      <w:tr>
        <w:trPr>
          <w:trHeight w:val="170"/>
        </w:trPr>
        <w:tc>
          <w:tcPr>
            <w:tcW w:w="9560" w:type="dxa"/>
            <w:vAlign w:val="bottom"/>
            <w:shd w:val="clear" w:color="auto" w:fill="CCEEFF"/>
          </w:tcPr>
          <w:p>
            <w:pPr>
              <w:spacing w:after="0"/>
              <w:rPr>
                <w:sz w:val="20"/>
                <w:szCs w:val="20"/>
                <w:color w:val="auto"/>
              </w:rPr>
            </w:pPr>
            <w:r>
              <w:rPr>
                <w:rFonts w:ascii="Arial" w:cs="Arial" w:eastAsia="Arial" w:hAnsi="Arial"/>
                <w:sz w:val="13"/>
                <w:szCs w:val="13"/>
                <w:color w:val="auto"/>
              </w:rPr>
              <w:t>Gain on bargain purchase</w:t>
            </w:r>
          </w:p>
        </w:tc>
        <w:tc>
          <w:tcPr>
            <w:tcW w:w="64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(53,134)</w:t>
            </w:r>
          </w:p>
        </w:tc>
      </w:tr>
      <w:tr>
        <w:trPr>
          <w:trHeight w:val="163"/>
        </w:trPr>
        <w:tc>
          <w:tcPr>
            <w:tcW w:w="9560" w:type="dxa"/>
            <w:vAlign w:val="bottom"/>
          </w:tcPr>
          <w:p>
            <w:pPr>
              <w:spacing w:after="0"/>
              <w:rPr>
                <w:sz w:val="20"/>
                <w:szCs w:val="20"/>
                <w:color w:val="auto"/>
              </w:rPr>
            </w:pPr>
            <w:r>
              <w:rPr>
                <w:rFonts w:ascii="Arial" w:cs="Arial" w:eastAsia="Arial" w:hAnsi="Arial"/>
                <w:sz w:val="13"/>
                <w:szCs w:val="13"/>
                <w:color w:val="auto"/>
              </w:rPr>
              <w:t>Total consideration transferred</w:t>
            </w:r>
          </w:p>
        </w:tc>
        <w:tc>
          <w:tcPr>
            <w:tcW w:w="640" w:type="dxa"/>
            <w:vAlign w:val="bottom"/>
            <w:tcBorders>
              <w:bottom w:val="single" w:sz="8" w:color="auto"/>
            </w:tcBorders>
          </w:tcPr>
          <w:p>
            <w:pPr>
              <w:jc w:val="right"/>
              <w:ind w:right="496"/>
              <w:spacing w:after="0"/>
              <w:rPr>
                <w:sz w:val="20"/>
                <w:szCs w:val="20"/>
                <w:color w:val="auto"/>
              </w:rPr>
            </w:pPr>
            <w:r>
              <w:rPr>
                <w:rFonts w:ascii="Arial" w:cs="Arial" w:eastAsia="Arial" w:hAnsi="Arial"/>
                <w:sz w:val="13"/>
                <w:szCs w:val="13"/>
                <w:color w:val="auto"/>
                <w:w w:val="82"/>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393,288</w:t>
            </w:r>
          </w:p>
        </w:tc>
      </w:tr>
      <w:tr>
        <w:trPr>
          <w:trHeight w:val="20"/>
        </w:trPr>
        <w:tc>
          <w:tcPr>
            <w:tcW w:w="95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jc w:val="both"/>
        <w:ind w:firstLine="509"/>
        <w:spacing w:after="0" w:line="281" w:lineRule="auto"/>
        <w:rPr>
          <w:sz w:val="20"/>
          <w:szCs w:val="20"/>
          <w:color w:val="auto"/>
        </w:rPr>
      </w:pPr>
      <w:r>
        <w:rPr>
          <w:rFonts w:ascii="Arial" w:cs="Arial" w:eastAsia="Arial" w:hAnsi="Arial"/>
          <w:sz w:val="14"/>
          <w:szCs w:val="14"/>
          <w:color w:val="auto"/>
        </w:rPr>
        <w:t>The Company performed a valuation of the assets and liabilities of PPL as of October 15, 2019. Significant assumptions used in the valuation and the bases for their determination are summarized as follows:</w:t>
      </w:r>
    </w:p>
    <w:p>
      <w:pPr>
        <w:spacing w:after="0" w:line="90"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4"/>
          <w:szCs w:val="14"/>
          <w:i w:val="1"/>
          <w:iCs w:val="1"/>
          <w:color w:val="auto"/>
        </w:rPr>
        <w:t>Property, plant and equipment, net</w:t>
      </w:r>
      <w:r>
        <w:rPr>
          <w:rFonts w:ascii="Arial" w:cs="Arial" w:eastAsia="Arial" w:hAnsi="Arial"/>
          <w:sz w:val="14"/>
          <w:szCs w:val="14"/>
          <w:color w:val="auto"/>
        </w:rPr>
        <w:t>. Property, plant and equipment at fair value gave consideration to the highest and best use of the assets. The valuation of PPL’s real property</w:t>
      </w:r>
      <w:r>
        <w:rPr>
          <w:rFonts w:ascii="Arial" w:cs="Arial" w:eastAsia="Arial" w:hAnsi="Arial"/>
          <w:sz w:val="14"/>
          <w:szCs w:val="14"/>
          <w:i w:val="1"/>
          <w:iCs w:val="1"/>
          <w:color w:val="auto"/>
        </w:rPr>
        <w:t xml:space="preserve"> </w:t>
      </w:r>
      <w:r>
        <w:rPr>
          <w:rFonts w:ascii="Arial" w:cs="Arial" w:eastAsia="Arial" w:hAnsi="Arial"/>
          <w:sz w:val="14"/>
          <w:szCs w:val="14"/>
          <w:color w:val="auto"/>
        </w:rPr>
        <w:t>improvements and the majority of its personal property was based on the cost approach. The valuation of PPL’s land, as if vacant, and certain personal property assets was based on the market or sales comparison approach.</w:t>
      </w:r>
    </w:p>
    <w:p>
      <w:pPr>
        <w:spacing w:after="0" w:line="99" w:lineRule="exact"/>
        <w:rPr>
          <w:sz w:val="20"/>
          <w:szCs w:val="20"/>
          <w:color w:val="auto"/>
        </w:rPr>
      </w:pPr>
    </w:p>
    <w:p>
      <w:pPr>
        <w:jc w:val="both"/>
        <w:ind w:firstLine="509"/>
        <w:spacing w:after="0" w:line="281" w:lineRule="auto"/>
        <w:rPr>
          <w:sz w:val="20"/>
          <w:szCs w:val="20"/>
          <w:color w:val="auto"/>
        </w:rPr>
      </w:pPr>
      <w:r>
        <w:rPr>
          <w:rFonts w:ascii="Arial" w:cs="Arial" w:eastAsia="Arial" w:hAnsi="Arial"/>
          <w:sz w:val="14"/>
          <w:szCs w:val="14"/>
          <w:i w:val="1"/>
          <w:iCs w:val="1"/>
          <w:color w:val="auto"/>
        </w:rPr>
        <w:t>Customer relationships</w:t>
      </w:r>
      <w:r>
        <w:rPr>
          <w:rFonts w:ascii="Arial" w:cs="Arial" w:eastAsia="Arial" w:hAnsi="Arial"/>
          <w:sz w:val="14"/>
          <w:szCs w:val="14"/>
          <w:color w:val="auto"/>
        </w:rPr>
        <w:t>. The Company valued PPL customer relationships using the income approach, specifically the multi-period excess earnings model. Under this model, the fair value of</w:t>
      </w:r>
      <w:r>
        <w:rPr>
          <w:rFonts w:ascii="Arial" w:cs="Arial" w:eastAsia="Arial" w:hAnsi="Arial"/>
          <w:sz w:val="14"/>
          <w:szCs w:val="14"/>
          <w:i w:val="1"/>
          <w:iCs w:val="1"/>
          <w:color w:val="auto"/>
        </w:rPr>
        <w:t xml:space="preserve"> </w:t>
      </w:r>
      <w:r>
        <w:rPr>
          <w:rFonts w:ascii="Arial" w:cs="Arial" w:eastAsia="Arial" w:hAnsi="Arial"/>
          <w:sz w:val="14"/>
          <w:szCs w:val="14"/>
          <w:color w:val="auto"/>
        </w:rPr>
        <w:t>the customer relationships asset was determined by</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1" w:name="page62"/>
    <w:bookmarkEnd w:id="6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NOTES TO CONSOLIDATED FINANCIAL STATEMENTS</w:t>
      </w:r>
    </w:p>
    <w:p>
      <w:pPr>
        <w:spacing w:after="0" w:line="39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estimating the net cash inflows from the relationships discounted to present value. In estimating the fair value of the customer relationships, net sales related to existing PPL customers were estimated to grow at a rate of 2.0% annually, but the Company also anticipates losing existing PPL customers at an attrition rate of 10.0%. Income taxes were estimated at 18.0% of pre-tax income in 2020 and 17.0% of pre-tax income thereafter and net cash flows attributable to PPL’s existing customers were discounted using a rate of 22.0%. The resulting customer relationships intangible asset has a fair value of $40.4 million and a useful life of 11 years.</w:t>
      </w:r>
    </w:p>
    <w:p>
      <w:pPr>
        <w:spacing w:after="0" w:line="103" w:lineRule="exact"/>
        <w:rPr>
          <w:sz w:val="20"/>
          <w:szCs w:val="20"/>
          <w:color w:val="auto"/>
        </w:rPr>
      </w:pPr>
    </w:p>
    <w:p>
      <w:pPr>
        <w:ind w:right="1460" w:firstLine="509"/>
        <w:spacing w:after="0" w:line="442" w:lineRule="auto"/>
        <w:rPr>
          <w:sz w:val="20"/>
          <w:szCs w:val="20"/>
          <w:color w:val="auto"/>
        </w:rPr>
      </w:pPr>
      <w:r>
        <w:rPr>
          <w:rFonts w:ascii="Arial" w:cs="Arial" w:eastAsia="Arial" w:hAnsi="Arial"/>
          <w:sz w:val="14"/>
          <w:szCs w:val="14"/>
          <w:color w:val="auto"/>
        </w:rPr>
        <w:t xml:space="preserve">See “Note 9. Goodwill and Intangible Assets” for additional information regarding the goodwill and intangible assets recognized by the Company in the acquisition. </w:t>
      </w:r>
      <w:r>
        <w:rPr>
          <w:rFonts w:ascii="Arial" w:cs="Arial" w:eastAsia="Arial" w:hAnsi="Arial"/>
          <w:sz w:val="14"/>
          <w:szCs w:val="14"/>
          <w:b w:val="1"/>
          <w:bCs w:val="1"/>
          <w:color w:val="auto"/>
        </w:rPr>
        <w:t>FAMPAT/Plan Pro</w:t>
      </w:r>
    </w:p>
    <w:p>
      <w:pPr>
        <w:spacing w:after="0" w:line="1" w:lineRule="exact"/>
        <w:rPr>
          <w:sz w:val="20"/>
          <w:szCs w:val="20"/>
          <w:color w:val="auto"/>
        </w:rPr>
      </w:pPr>
    </w:p>
    <w:p>
      <w:pPr>
        <w:jc w:val="both"/>
        <w:ind w:firstLine="509"/>
        <w:spacing w:after="0" w:line="258" w:lineRule="auto"/>
        <w:rPr>
          <w:sz w:val="20"/>
          <w:szCs w:val="20"/>
          <w:color w:val="auto"/>
        </w:rPr>
      </w:pPr>
      <w:r>
        <w:rPr>
          <w:rFonts w:ascii="Arial" w:cs="Arial" w:eastAsia="Arial" w:hAnsi="Arial"/>
          <w:sz w:val="14"/>
          <w:szCs w:val="14"/>
          <w:color w:val="auto"/>
        </w:rPr>
        <w:t xml:space="preserve">On April 1, 2020, Avícola Pilgrim’s Pride de Mexico S.A. de C.V. acquired 100% of the equity of FAMPAT S.A. de C.V. and Plan Pro Restaurantes S.A. de C.V. (together, “FAMPAT/Plan Pro”) for an aggregate purchase price of 70.4 million Mexican pesos, or $3.0 million. The acquisition was funded with cash on hand. Transaction costs were immaterial; these costs were expensed as incurred and are reflected within </w:t>
      </w:r>
      <w:r>
        <w:rPr>
          <w:rFonts w:ascii="Arial" w:cs="Arial" w:eastAsia="Arial" w:hAnsi="Arial"/>
          <w:sz w:val="14"/>
          <w:szCs w:val="14"/>
          <w:i w:val="1"/>
          <w:iCs w:val="1"/>
          <w:color w:val="auto"/>
        </w:rPr>
        <w:t>Selling, general and administrative expense</w:t>
      </w:r>
      <w:r>
        <w:rPr>
          <w:rFonts w:ascii="Arial" w:cs="Arial" w:eastAsia="Arial" w:hAnsi="Arial"/>
          <w:sz w:val="14"/>
          <w:szCs w:val="14"/>
          <w:color w:val="auto"/>
        </w:rPr>
        <w:t xml:space="preserve"> in the Company’s Consolidated Statements of Income. The acquired operations produce value-added products such as taquitos, enchiladas and pizza, bringing additional breadth and diversity to the Company’s product portfolio. The results of operations and financial position of FAMPAT/Plan Pro have been included in the consolidated results of operations and financial position of the Company from the date of acquisition. The FAMPAT/Plan Pro operations are included in the Company’s Mexico reportable segment.</w:t>
      </w:r>
    </w:p>
    <w:p>
      <w:pPr>
        <w:spacing w:after="0" w:line="107" w:lineRule="exact"/>
        <w:rPr>
          <w:sz w:val="20"/>
          <w:szCs w:val="20"/>
          <w:color w:val="auto"/>
        </w:rPr>
      </w:pPr>
    </w:p>
    <w:p>
      <w:pPr>
        <w:jc w:val="both"/>
        <w:ind w:firstLine="509"/>
        <w:spacing w:after="0" w:line="281" w:lineRule="auto"/>
        <w:rPr>
          <w:sz w:val="20"/>
          <w:szCs w:val="20"/>
          <w:color w:val="auto"/>
        </w:rPr>
      </w:pPr>
      <w:r>
        <w:rPr>
          <w:rFonts w:ascii="Arial" w:cs="Arial" w:eastAsia="Arial" w:hAnsi="Arial"/>
          <w:sz w:val="14"/>
          <w:szCs w:val="14"/>
          <w:color w:val="auto"/>
        </w:rPr>
        <w:t>The allocation of the purchase price reflects fair value using Level 3 unobservable inputs and resulted in a fair value of goodwill of $2.2 million at the acquisition date, which is not deductible for income tax purposes. The values recorded were determined based on a valuation using management’s estimates and assumptions.</w:t>
      </w:r>
    </w:p>
    <w:p>
      <w:pPr>
        <w:spacing w:after="0" w:line="86" w:lineRule="exact"/>
        <w:rPr>
          <w:sz w:val="20"/>
          <w:szCs w:val="20"/>
          <w:color w:val="auto"/>
        </w:rPr>
      </w:pPr>
    </w:p>
    <w:p>
      <w:pPr>
        <w:ind w:left="280" w:hanging="275"/>
        <w:spacing w:after="0"/>
        <w:tabs>
          <w:tab w:leader="none" w:pos="280" w:val="left"/>
        </w:tabs>
        <w:numPr>
          <w:ilvl w:val="0"/>
          <w:numId w:val="25"/>
        </w:numPr>
        <w:rPr>
          <w:rFonts w:ascii="Arial" w:cs="Arial" w:eastAsia="Arial" w:hAnsi="Arial"/>
          <w:sz w:val="14"/>
          <w:szCs w:val="14"/>
          <w:b w:val="1"/>
          <w:bCs w:val="1"/>
          <w:color w:val="auto"/>
        </w:rPr>
      </w:pPr>
      <w:r>
        <w:rPr>
          <w:rFonts w:ascii="Arial" w:cs="Arial" w:eastAsia="Arial" w:hAnsi="Arial"/>
          <w:sz w:val="14"/>
          <w:szCs w:val="14"/>
          <w:b w:val="1"/>
          <w:bCs w:val="1"/>
          <w:color w:val="auto"/>
        </w:rPr>
        <w:t>REVENUE RECOGNITION</w:t>
      </w:r>
    </w:p>
    <w:p>
      <w:pPr>
        <w:spacing w:after="0" w:line="140"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4"/>
          <w:szCs w:val="14"/>
          <w:color w:val="auto"/>
        </w:rPr>
        <w:t>The vast majority of the Company’s revenue is derived from contracts which are based upon a customer ordering our products. While there may be master agreements, the contract is only established when the customer’s order is accepted by the Company. The Company accounts for a contract, which may be verbal or written, when it is approved and committed by both parties, the rights of the parties are identified along with payment terms, the contract has commercial substance and collectability is probable.</w:t>
      </w:r>
    </w:p>
    <w:p>
      <w:pPr>
        <w:spacing w:after="0" w:line="99"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4"/>
          <w:szCs w:val="14"/>
          <w:color w:val="auto"/>
        </w:rPr>
        <w:t>The Company evaluates the transaction for distinct performance obligations, which are the sale of its products to customers. Since its products are commodity market-priced, the sales price is representative of the observable, standalone selling price. Each performance obligation is recognized based upon a pattern of recognition that reflects the transfer of control to the customer at a point in time, which is upon destination (customer location or port of destination), which faithfully depicts the transfer of control and recognition of revenue. There are instances of customer pick-up at the Company’s facility, in which case control transfers to the customer at that point and the Company recognizes revenue. The Company’s performance obligations are typically fulfilled within days to weeks of the acceptance of the order.</w:t>
      </w:r>
    </w:p>
    <w:p>
      <w:pPr>
        <w:spacing w:after="0" w:line="168"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4"/>
          <w:szCs w:val="14"/>
          <w:color w:val="auto"/>
        </w:rPr>
        <w:t>The Company makes judgments regarding the nature, amount, timing and uncertainty of revenue and cash flows arising from revenue and cash flows with customers. Determination of a contract requires evaluation and judgment along with the estimation of the total contract value and if any of the contract value is constrained. Due to the nature of our business, there is minimal variable consideration, as the contract is established at the acceptance of the order from the customer. When applicable, variable consideration is estimated at contract inception and updated on a regular basis until the contract is completed. Allocating the transaction price to a specific performance obligation based upon the relative standalone selling prices includes estimating the standalone selling prices including discounts and variable consideration.</w:t>
      </w:r>
    </w:p>
    <w:p>
      <w:pPr>
        <w:spacing w:after="0" w:line="164"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Disaggregated Revenue</w:t>
      </w:r>
    </w:p>
    <w:p>
      <w:pPr>
        <w:spacing w:after="0" w:line="140" w:lineRule="exact"/>
        <w:rPr>
          <w:sz w:val="20"/>
          <w:szCs w:val="20"/>
          <w:color w:val="auto"/>
        </w:rPr>
      </w:pPr>
    </w:p>
    <w:p>
      <w:pPr>
        <w:ind w:left="520"/>
        <w:spacing w:after="0"/>
        <w:rPr>
          <w:sz w:val="20"/>
          <w:szCs w:val="20"/>
          <w:color w:val="auto"/>
        </w:rPr>
      </w:pPr>
      <w:r>
        <w:rPr>
          <w:rFonts w:ascii="Arial" w:cs="Arial" w:eastAsia="Arial" w:hAnsi="Arial"/>
          <w:sz w:val="13"/>
          <w:szCs w:val="13"/>
          <w:color w:val="auto"/>
        </w:rPr>
        <w:t>Revenue has been disaggregated into the following categories below to show how economic factors affect the nature, amount, timing and uncertainty of revenue and cash flows: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2" w:name="page63"/>
    <w:bookmarkEnd w:id="6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NOTES TO CONSOLIDATED FINANCIAL STATEMENTS</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2100" w:type="dxa"/>
            <w:vAlign w:val="bottom"/>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1"/>
                <w:szCs w:val="11"/>
                <w:b w:val="1"/>
                <w:bCs w:val="1"/>
                <w:color w:val="auto"/>
                <w:w w:val="92"/>
              </w:rPr>
              <w:t>Year Ended December 26, 2021</w:t>
            </w:r>
          </w:p>
        </w:tc>
        <w:tc>
          <w:tcPr>
            <w:tcW w:w="4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r>
      <w:tr>
        <w:trPr>
          <w:trHeight w:val="142"/>
        </w:trPr>
        <w:tc>
          <w:tcPr>
            <w:tcW w:w="2100" w:type="dxa"/>
            <w:vAlign w:val="bottom"/>
          </w:tcPr>
          <w:p>
            <w:pPr>
              <w:spacing w:after="0"/>
              <w:rPr>
                <w:sz w:val="12"/>
                <w:szCs w:val="12"/>
                <w:color w:val="auto"/>
              </w:rPr>
            </w:pPr>
          </w:p>
        </w:tc>
        <w:tc>
          <w:tcPr>
            <w:tcW w:w="1100" w:type="dxa"/>
            <w:vAlign w:val="bottom"/>
            <w:tcBorders>
              <w:bottom w:val="single" w:sz="8" w:color="auto"/>
            </w:tcBorders>
          </w:tcPr>
          <w:p>
            <w:pPr>
              <w:jc w:val="right"/>
              <w:ind w:right="20"/>
              <w:spacing w:after="0"/>
              <w:rPr>
                <w:sz w:val="20"/>
                <w:szCs w:val="20"/>
                <w:color w:val="auto"/>
              </w:rPr>
            </w:pPr>
            <w:r>
              <w:rPr>
                <w:rFonts w:ascii="Arial" w:cs="Arial" w:eastAsia="Arial" w:hAnsi="Arial"/>
                <w:sz w:val="11"/>
                <w:szCs w:val="11"/>
                <w:b w:val="1"/>
                <w:bCs w:val="1"/>
                <w:color w:val="auto"/>
              </w:rPr>
              <w:t>Fresh</w:t>
            </w:r>
          </w:p>
        </w:tc>
        <w:tc>
          <w:tcPr>
            <w:tcW w:w="6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gridSpan w:val="2"/>
          </w:tcPr>
          <w:p>
            <w:pPr>
              <w:ind w:left="280"/>
              <w:spacing w:after="0"/>
              <w:rPr>
                <w:sz w:val="20"/>
                <w:szCs w:val="20"/>
                <w:color w:val="auto"/>
              </w:rPr>
            </w:pPr>
            <w:r>
              <w:rPr>
                <w:rFonts w:ascii="Arial" w:cs="Arial" w:eastAsia="Arial" w:hAnsi="Arial"/>
                <w:sz w:val="11"/>
                <w:szCs w:val="11"/>
                <w:b w:val="1"/>
                <w:bCs w:val="1"/>
                <w:color w:val="auto"/>
              </w:rPr>
              <w:t>Prepared</w:t>
            </w:r>
          </w:p>
        </w:tc>
        <w:tc>
          <w:tcPr>
            <w:tcW w:w="12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1"/>
                <w:szCs w:val="11"/>
                <w:b w:val="1"/>
                <w:bCs w:val="1"/>
                <w:color w:val="auto"/>
                <w:w w:val="97"/>
              </w:rPr>
              <w:t>Export</w:t>
            </w:r>
          </w:p>
        </w:tc>
        <w:tc>
          <w:tcPr>
            <w:tcW w:w="42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gridSpan w:val="2"/>
          </w:tcPr>
          <w:p>
            <w:pPr>
              <w:ind w:left="320"/>
              <w:spacing w:after="0"/>
              <w:rPr>
                <w:sz w:val="20"/>
                <w:szCs w:val="20"/>
                <w:color w:val="auto"/>
              </w:rPr>
            </w:pPr>
            <w:r>
              <w:rPr>
                <w:rFonts w:ascii="Arial" w:cs="Arial" w:eastAsia="Arial" w:hAnsi="Arial"/>
                <w:sz w:val="11"/>
                <w:szCs w:val="11"/>
                <w:b w:val="1"/>
                <w:bCs w:val="1"/>
                <w:color w:val="auto"/>
              </w:rPr>
              <w:t>Other</w:t>
            </w:r>
          </w:p>
        </w:tc>
        <w:tc>
          <w:tcPr>
            <w:tcW w:w="42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698"/>
              <w:spacing w:after="0"/>
              <w:rPr>
                <w:sz w:val="20"/>
                <w:szCs w:val="20"/>
                <w:color w:val="auto"/>
              </w:rPr>
            </w:pPr>
            <w:r>
              <w:rPr>
                <w:rFonts w:ascii="Arial" w:cs="Arial" w:eastAsia="Arial" w:hAnsi="Arial"/>
                <w:sz w:val="11"/>
                <w:szCs w:val="11"/>
                <w:b w:val="1"/>
                <w:bCs w:val="1"/>
                <w:color w:val="auto"/>
              </w:rPr>
              <w:t>Total</w:t>
            </w:r>
          </w:p>
        </w:tc>
      </w:tr>
      <w:tr>
        <w:trPr>
          <w:trHeight w:val="124"/>
        </w:trPr>
        <w:tc>
          <w:tcPr>
            <w:tcW w:w="2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74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89"/>
              </w:rPr>
              <w:t>(In thousands)</w:t>
            </w:r>
          </w:p>
        </w:tc>
        <w:tc>
          <w:tcPr>
            <w:tcW w:w="4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340" w:type="dxa"/>
            <w:vAlign w:val="bottom"/>
          </w:tcPr>
          <w:p>
            <w:pPr>
              <w:spacing w:after="0"/>
              <w:rPr>
                <w:sz w:val="10"/>
                <w:szCs w:val="10"/>
                <w:color w:val="auto"/>
              </w:rPr>
            </w:pPr>
          </w:p>
        </w:tc>
      </w:tr>
      <w:tr>
        <w:trPr>
          <w:trHeight w:val="176"/>
        </w:trPr>
        <w:tc>
          <w:tcPr>
            <w:tcW w:w="2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U.S.</w:t>
            </w:r>
          </w:p>
        </w:tc>
        <w:tc>
          <w:tcPr>
            <w:tcW w:w="1100" w:type="dxa"/>
            <w:vAlign w:val="bottom"/>
            <w:shd w:val="clear" w:color="auto" w:fill="CCEEFF"/>
          </w:tcPr>
          <w:p>
            <w:pPr>
              <w:jc w:val="right"/>
              <w:ind w:right="960"/>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7,264,448</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52"/>
              <w:spacing w:after="0"/>
              <w:rPr>
                <w:sz w:val="20"/>
                <w:szCs w:val="20"/>
                <w:color w:val="auto"/>
              </w:rPr>
            </w:pPr>
            <w:r>
              <w:rPr>
                <w:rFonts w:ascii="Arial" w:cs="Arial" w:eastAsia="Arial" w:hAnsi="Arial"/>
                <w:sz w:val="10"/>
                <w:szCs w:val="10"/>
                <w:color w:val="auto"/>
                <w:w w:val="71"/>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898,614</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459,371</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76"/>
              <w:spacing w:after="0"/>
              <w:rPr>
                <w:sz w:val="20"/>
                <w:szCs w:val="20"/>
                <w:color w:val="auto"/>
              </w:rPr>
            </w:pPr>
            <w:r>
              <w:rPr>
                <w:rFonts w:ascii="Arial" w:cs="Arial" w:eastAsia="Arial" w:hAnsi="Arial"/>
                <w:sz w:val="13"/>
                <w:szCs w:val="13"/>
                <w:color w:val="auto"/>
                <w:w w:val="82"/>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491,446</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76"/>
              <w:spacing w:after="0"/>
              <w:rPr>
                <w:sz w:val="20"/>
                <w:szCs w:val="20"/>
                <w:color w:val="auto"/>
              </w:rPr>
            </w:pPr>
            <w:r>
              <w:rPr>
                <w:rFonts w:ascii="Arial" w:cs="Arial" w:eastAsia="Arial" w:hAnsi="Arial"/>
                <w:sz w:val="13"/>
                <w:szCs w:val="13"/>
                <w:color w:val="auto"/>
                <w:w w:val="82"/>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9,113,879</w:t>
            </w:r>
          </w:p>
        </w:tc>
      </w:tr>
      <w:tr>
        <w:trPr>
          <w:trHeight w:val="168"/>
        </w:trPr>
        <w:tc>
          <w:tcPr>
            <w:tcW w:w="2100" w:type="dxa"/>
            <w:vAlign w:val="bottom"/>
          </w:tcPr>
          <w:p>
            <w:pPr>
              <w:ind w:left="20"/>
              <w:spacing w:after="0"/>
              <w:rPr>
                <w:sz w:val="20"/>
                <w:szCs w:val="20"/>
                <w:color w:val="auto"/>
              </w:rPr>
            </w:pPr>
            <w:r>
              <w:rPr>
                <w:rFonts w:ascii="Arial" w:cs="Arial" w:eastAsia="Arial" w:hAnsi="Arial"/>
                <w:sz w:val="13"/>
                <w:szCs w:val="13"/>
                <w:color w:val="auto"/>
              </w:rPr>
              <w:t>U.K. and Europe</w:t>
            </w:r>
          </w:p>
        </w:tc>
        <w:tc>
          <w:tcPr>
            <w:tcW w:w="1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1,151,330</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2,214,180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458,588</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109,964</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3,934,062</w:t>
            </w:r>
          </w:p>
        </w:tc>
      </w:tr>
      <w:tr>
        <w:trPr>
          <w:trHeight w:val="170"/>
        </w:trPr>
        <w:tc>
          <w:tcPr>
            <w:tcW w:w="2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Mexico</w:t>
            </w:r>
          </w:p>
        </w:tc>
        <w:tc>
          <w:tcPr>
            <w:tcW w:w="11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1,515,453</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128,208</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7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85,856</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1,729,517</w:t>
            </w:r>
          </w:p>
        </w:tc>
      </w:tr>
      <w:tr>
        <w:trPr>
          <w:trHeight w:val="163"/>
        </w:trPr>
        <w:tc>
          <w:tcPr>
            <w:tcW w:w="2100" w:type="dxa"/>
            <w:vAlign w:val="bottom"/>
          </w:tcPr>
          <w:p>
            <w:pPr>
              <w:ind w:left="140"/>
              <w:spacing w:after="0"/>
              <w:rPr>
                <w:sz w:val="20"/>
                <w:szCs w:val="20"/>
                <w:color w:val="auto"/>
              </w:rPr>
            </w:pPr>
            <w:r>
              <w:rPr>
                <w:rFonts w:ascii="Arial" w:cs="Arial" w:eastAsia="Arial" w:hAnsi="Arial"/>
                <w:sz w:val="13"/>
                <w:szCs w:val="13"/>
                <w:color w:val="auto"/>
              </w:rPr>
              <w:t>Total net sales</w:t>
            </w:r>
          </w:p>
        </w:tc>
        <w:tc>
          <w:tcPr>
            <w:tcW w:w="110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9,931,231</w:t>
            </w:r>
          </w:p>
        </w:tc>
        <w:tc>
          <w:tcPr>
            <w:tcW w:w="100" w:type="dxa"/>
            <w:vAlign w:val="bottom"/>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3,241,002</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917,959</w:t>
            </w:r>
          </w:p>
        </w:tc>
        <w:tc>
          <w:tcPr>
            <w:tcW w:w="100" w:type="dxa"/>
            <w:vAlign w:val="bottom"/>
          </w:tcPr>
          <w:p>
            <w:pPr>
              <w:spacing w:after="0"/>
              <w:rPr>
                <w:sz w:val="14"/>
                <w:szCs w:val="14"/>
                <w:color w:val="auto"/>
              </w:rPr>
            </w:pPr>
          </w:p>
        </w:tc>
        <w:tc>
          <w:tcPr>
            <w:tcW w:w="420" w:type="dxa"/>
            <w:vAlign w:val="bottom"/>
            <w:tcBorders>
              <w:top w:val="single" w:sz="8" w:color="auto"/>
              <w:bottom w:val="single" w:sz="8" w:color="auto"/>
            </w:tcBorders>
          </w:tcPr>
          <w:p>
            <w:pPr>
              <w:spacing w:after="0"/>
              <w:rPr>
                <w:sz w:val="14"/>
                <w:szCs w:val="14"/>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687,266</w:t>
            </w:r>
          </w:p>
        </w:tc>
        <w:tc>
          <w:tcPr>
            <w:tcW w:w="100" w:type="dxa"/>
            <w:vAlign w:val="bottom"/>
          </w:tcPr>
          <w:p>
            <w:pPr>
              <w:spacing w:after="0"/>
              <w:rPr>
                <w:sz w:val="14"/>
                <w:szCs w:val="14"/>
                <w:color w:val="auto"/>
              </w:rPr>
            </w:pPr>
          </w:p>
        </w:tc>
        <w:tc>
          <w:tcPr>
            <w:tcW w:w="420" w:type="dxa"/>
            <w:vAlign w:val="bottom"/>
            <w:tcBorders>
              <w:top w:val="single" w:sz="8" w:color="auto"/>
              <w:bottom w:val="single" w:sz="8" w:color="auto"/>
            </w:tcBorders>
          </w:tcPr>
          <w:p>
            <w:pPr>
              <w:spacing w:after="0"/>
              <w:rPr>
                <w:sz w:val="14"/>
                <w:szCs w:val="14"/>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14,777,458</w:t>
            </w:r>
          </w:p>
        </w:tc>
      </w:tr>
      <w:tr>
        <w:trPr>
          <w:trHeight w:val="20"/>
        </w:trPr>
        <w:tc>
          <w:tcPr>
            <w:tcW w:w="2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75"/>
        </w:trPr>
        <w:tc>
          <w:tcPr>
            <w:tcW w:w="2100" w:type="dxa"/>
            <w:vAlign w:val="bottom"/>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74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1"/>
                <w:szCs w:val="11"/>
                <w:b w:val="1"/>
                <w:bCs w:val="1"/>
                <w:color w:val="auto"/>
                <w:w w:val="92"/>
              </w:rPr>
              <w:t>Year Ended December 27, 2020</w:t>
            </w:r>
          </w:p>
        </w:tc>
        <w:tc>
          <w:tcPr>
            <w:tcW w:w="42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spacing w:after="0"/>
              <w:rPr>
                <w:sz w:val="23"/>
                <w:szCs w:val="23"/>
                <w:color w:val="auto"/>
              </w:rPr>
            </w:pPr>
          </w:p>
        </w:tc>
      </w:tr>
      <w:tr>
        <w:trPr>
          <w:trHeight w:val="142"/>
        </w:trPr>
        <w:tc>
          <w:tcPr>
            <w:tcW w:w="2100" w:type="dxa"/>
            <w:vAlign w:val="bottom"/>
          </w:tcPr>
          <w:p>
            <w:pPr>
              <w:spacing w:after="0"/>
              <w:rPr>
                <w:sz w:val="12"/>
                <w:szCs w:val="12"/>
                <w:color w:val="auto"/>
              </w:rPr>
            </w:pPr>
          </w:p>
        </w:tc>
        <w:tc>
          <w:tcPr>
            <w:tcW w:w="1100" w:type="dxa"/>
            <w:vAlign w:val="bottom"/>
            <w:tcBorders>
              <w:bottom w:val="single" w:sz="8" w:color="auto"/>
            </w:tcBorders>
          </w:tcPr>
          <w:p>
            <w:pPr>
              <w:jc w:val="right"/>
              <w:ind w:right="20"/>
              <w:spacing w:after="0"/>
              <w:rPr>
                <w:sz w:val="20"/>
                <w:szCs w:val="20"/>
                <w:color w:val="auto"/>
              </w:rPr>
            </w:pPr>
            <w:r>
              <w:rPr>
                <w:rFonts w:ascii="Arial" w:cs="Arial" w:eastAsia="Arial" w:hAnsi="Arial"/>
                <w:sz w:val="11"/>
                <w:szCs w:val="11"/>
                <w:b w:val="1"/>
                <w:bCs w:val="1"/>
                <w:color w:val="auto"/>
              </w:rPr>
              <w:t>Fresh</w:t>
            </w:r>
          </w:p>
        </w:tc>
        <w:tc>
          <w:tcPr>
            <w:tcW w:w="6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gridSpan w:val="2"/>
          </w:tcPr>
          <w:p>
            <w:pPr>
              <w:ind w:left="280"/>
              <w:spacing w:after="0"/>
              <w:rPr>
                <w:sz w:val="20"/>
                <w:szCs w:val="20"/>
                <w:color w:val="auto"/>
              </w:rPr>
            </w:pPr>
            <w:r>
              <w:rPr>
                <w:rFonts w:ascii="Arial" w:cs="Arial" w:eastAsia="Arial" w:hAnsi="Arial"/>
                <w:sz w:val="11"/>
                <w:szCs w:val="11"/>
                <w:b w:val="1"/>
                <w:bCs w:val="1"/>
                <w:color w:val="auto"/>
              </w:rPr>
              <w:t>Prepared</w:t>
            </w:r>
          </w:p>
        </w:tc>
        <w:tc>
          <w:tcPr>
            <w:tcW w:w="12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1"/>
                <w:szCs w:val="11"/>
                <w:b w:val="1"/>
                <w:bCs w:val="1"/>
                <w:color w:val="auto"/>
                <w:w w:val="97"/>
              </w:rPr>
              <w:t>Export</w:t>
            </w:r>
          </w:p>
        </w:tc>
        <w:tc>
          <w:tcPr>
            <w:tcW w:w="42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gridSpan w:val="2"/>
          </w:tcPr>
          <w:p>
            <w:pPr>
              <w:ind w:left="320"/>
              <w:spacing w:after="0"/>
              <w:rPr>
                <w:sz w:val="20"/>
                <w:szCs w:val="20"/>
                <w:color w:val="auto"/>
              </w:rPr>
            </w:pPr>
            <w:r>
              <w:rPr>
                <w:rFonts w:ascii="Arial" w:cs="Arial" w:eastAsia="Arial" w:hAnsi="Arial"/>
                <w:sz w:val="11"/>
                <w:szCs w:val="11"/>
                <w:b w:val="1"/>
                <w:bCs w:val="1"/>
                <w:color w:val="auto"/>
              </w:rPr>
              <w:t>Other</w:t>
            </w:r>
          </w:p>
        </w:tc>
        <w:tc>
          <w:tcPr>
            <w:tcW w:w="42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698"/>
              <w:spacing w:after="0"/>
              <w:rPr>
                <w:sz w:val="20"/>
                <w:szCs w:val="20"/>
                <w:color w:val="auto"/>
              </w:rPr>
            </w:pPr>
            <w:r>
              <w:rPr>
                <w:rFonts w:ascii="Arial" w:cs="Arial" w:eastAsia="Arial" w:hAnsi="Arial"/>
                <w:sz w:val="11"/>
                <w:szCs w:val="11"/>
                <w:b w:val="1"/>
                <w:bCs w:val="1"/>
                <w:color w:val="auto"/>
              </w:rPr>
              <w:t>Total</w:t>
            </w:r>
          </w:p>
        </w:tc>
      </w:tr>
      <w:tr>
        <w:trPr>
          <w:trHeight w:val="124"/>
        </w:trPr>
        <w:tc>
          <w:tcPr>
            <w:tcW w:w="2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74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89"/>
              </w:rPr>
              <w:t>(In thousands)</w:t>
            </w:r>
          </w:p>
        </w:tc>
        <w:tc>
          <w:tcPr>
            <w:tcW w:w="4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340" w:type="dxa"/>
            <w:vAlign w:val="bottom"/>
          </w:tcPr>
          <w:p>
            <w:pPr>
              <w:spacing w:after="0"/>
              <w:rPr>
                <w:sz w:val="10"/>
                <w:szCs w:val="10"/>
                <w:color w:val="auto"/>
              </w:rPr>
            </w:pPr>
          </w:p>
        </w:tc>
      </w:tr>
      <w:tr>
        <w:trPr>
          <w:trHeight w:val="176"/>
        </w:trPr>
        <w:tc>
          <w:tcPr>
            <w:tcW w:w="2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U.S.</w:t>
            </w:r>
          </w:p>
        </w:tc>
        <w:tc>
          <w:tcPr>
            <w:tcW w:w="1100" w:type="dxa"/>
            <w:vAlign w:val="bottom"/>
            <w:shd w:val="clear" w:color="auto" w:fill="CCEEFF"/>
          </w:tcPr>
          <w:p>
            <w:pPr>
              <w:jc w:val="right"/>
              <w:ind w:right="960"/>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6,137,264</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52"/>
              <w:spacing w:after="0"/>
              <w:rPr>
                <w:sz w:val="20"/>
                <w:szCs w:val="20"/>
                <w:color w:val="auto"/>
              </w:rPr>
            </w:pPr>
            <w:r>
              <w:rPr>
                <w:rFonts w:ascii="Arial" w:cs="Arial" w:eastAsia="Arial" w:hAnsi="Arial"/>
                <w:sz w:val="10"/>
                <w:szCs w:val="10"/>
                <w:color w:val="auto"/>
                <w:w w:val="71"/>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714,563</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306,478</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76"/>
              <w:spacing w:after="0"/>
              <w:rPr>
                <w:sz w:val="20"/>
                <w:szCs w:val="20"/>
                <w:color w:val="auto"/>
              </w:rPr>
            </w:pPr>
            <w:r>
              <w:rPr>
                <w:rFonts w:ascii="Arial" w:cs="Arial" w:eastAsia="Arial" w:hAnsi="Arial"/>
                <w:sz w:val="13"/>
                <w:szCs w:val="13"/>
                <w:color w:val="auto"/>
                <w:w w:val="82"/>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337,712</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76"/>
              <w:spacing w:after="0"/>
              <w:rPr>
                <w:sz w:val="20"/>
                <w:szCs w:val="20"/>
                <w:color w:val="auto"/>
              </w:rPr>
            </w:pPr>
            <w:r>
              <w:rPr>
                <w:rFonts w:ascii="Arial" w:cs="Arial" w:eastAsia="Arial" w:hAnsi="Arial"/>
                <w:sz w:val="13"/>
                <w:szCs w:val="13"/>
                <w:color w:val="auto"/>
                <w:w w:val="82"/>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7,496,017</w:t>
            </w:r>
          </w:p>
        </w:tc>
      </w:tr>
      <w:tr>
        <w:trPr>
          <w:trHeight w:val="168"/>
        </w:trPr>
        <w:tc>
          <w:tcPr>
            <w:tcW w:w="2100" w:type="dxa"/>
            <w:vAlign w:val="bottom"/>
          </w:tcPr>
          <w:p>
            <w:pPr>
              <w:ind w:left="20"/>
              <w:spacing w:after="0"/>
              <w:rPr>
                <w:sz w:val="20"/>
                <w:szCs w:val="20"/>
                <w:color w:val="auto"/>
              </w:rPr>
            </w:pPr>
            <w:r>
              <w:rPr>
                <w:rFonts w:ascii="Arial" w:cs="Arial" w:eastAsia="Arial" w:hAnsi="Arial"/>
                <w:sz w:val="13"/>
                <w:szCs w:val="13"/>
                <w:color w:val="auto"/>
              </w:rPr>
              <w:t>U.K. and Europe</w:t>
            </w:r>
          </w:p>
        </w:tc>
        <w:tc>
          <w:tcPr>
            <w:tcW w:w="1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1,594,373</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1,237,486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297,414</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145,019</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3,274,292</w:t>
            </w:r>
          </w:p>
        </w:tc>
      </w:tr>
      <w:tr>
        <w:trPr>
          <w:trHeight w:val="170"/>
        </w:trPr>
        <w:tc>
          <w:tcPr>
            <w:tcW w:w="2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Mexico</w:t>
            </w:r>
          </w:p>
        </w:tc>
        <w:tc>
          <w:tcPr>
            <w:tcW w:w="11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1,210,952</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66,572</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7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44,068</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1,321,592</w:t>
            </w:r>
          </w:p>
        </w:tc>
      </w:tr>
      <w:tr>
        <w:trPr>
          <w:trHeight w:val="163"/>
        </w:trPr>
        <w:tc>
          <w:tcPr>
            <w:tcW w:w="2100" w:type="dxa"/>
            <w:vAlign w:val="bottom"/>
          </w:tcPr>
          <w:p>
            <w:pPr>
              <w:ind w:left="140"/>
              <w:spacing w:after="0"/>
              <w:rPr>
                <w:sz w:val="20"/>
                <w:szCs w:val="20"/>
                <w:color w:val="auto"/>
              </w:rPr>
            </w:pPr>
            <w:r>
              <w:rPr>
                <w:rFonts w:ascii="Arial" w:cs="Arial" w:eastAsia="Arial" w:hAnsi="Arial"/>
                <w:sz w:val="13"/>
                <w:szCs w:val="13"/>
                <w:color w:val="auto"/>
              </w:rPr>
              <w:t>Total</w:t>
            </w:r>
          </w:p>
        </w:tc>
        <w:tc>
          <w:tcPr>
            <w:tcW w:w="110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8,942,589</w:t>
            </w:r>
          </w:p>
        </w:tc>
        <w:tc>
          <w:tcPr>
            <w:tcW w:w="100" w:type="dxa"/>
            <w:vAlign w:val="bottom"/>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2,018,621</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603,892</w:t>
            </w:r>
          </w:p>
        </w:tc>
        <w:tc>
          <w:tcPr>
            <w:tcW w:w="100" w:type="dxa"/>
            <w:vAlign w:val="bottom"/>
          </w:tcPr>
          <w:p>
            <w:pPr>
              <w:spacing w:after="0"/>
              <w:rPr>
                <w:sz w:val="14"/>
                <w:szCs w:val="14"/>
                <w:color w:val="auto"/>
              </w:rPr>
            </w:pPr>
          </w:p>
        </w:tc>
        <w:tc>
          <w:tcPr>
            <w:tcW w:w="420" w:type="dxa"/>
            <w:vAlign w:val="bottom"/>
            <w:tcBorders>
              <w:top w:val="single" w:sz="8" w:color="auto"/>
              <w:bottom w:val="single" w:sz="8" w:color="auto"/>
            </w:tcBorders>
          </w:tcPr>
          <w:p>
            <w:pPr>
              <w:spacing w:after="0"/>
              <w:rPr>
                <w:sz w:val="14"/>
                <w:szCs w:val="14"/>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526,799</w:t>
            </w:r>
          </w:p>
        </w:tc>
        <w:tc>
          <w:tcPr>
            <w:tcW w:w="100" w:type="dxa"/>
            <w:vAlign w:val="bottom"/>
          </w:tcPr>
          <w:p>
            <w:pPr>
              <w:spacing w:after="0"/>
              <w:rPr>
                <w:sz w:val="14"/>
                <w:szCs w:val="14"/>
                <w:color w:val="auto"/>
              </w:rPr>
            </w:pPr>
          </w:p>
        </w:tc>
        <w:tc>
          <w:tcPr>
            <w:tcW w:w="420" w:type="dxa"/>
            <w:vAlign w:val="bottom"/>
            <w:tcBorders>
              <w:top w:val="single" w:sz="8" w:color="auto"/>
              <w:bottom w:val="single" w:sz="8" w:color="auto"/>
            </w:tcBorders>
          </w:tcPr>
          <w:p>
            <w:pPr>
              <w:spacing w:after="0"/>
              <w:rPr>
                <w:sz w:val="14"/>
                <w:szCs w:val="14"/>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12,091,901</w:t>
            </w:r>
          </w:p>
        </w:tc>
      </w:tr>
      <w:tr>
        <w:trPr>
          <w:trHeight w:val="20"/>
        </w:trPr>
        <w:tc>
          <w:tcPr>
            <w:tcW w:w="2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Contract Costs</w:t>
      </w:r>
    </w:p>
    <w:p>
      <w:pPr>
        <w:spacing w:after="0" w:line="140" w:lineRule="exact"/>
        <w:rPr>
          <w:sz w:val="20"/>
          <w:szCs w:val="20"/>
          <w:color w:val="auto"/>
        </w:rPr>
      </w:pPr>
    </w:p>
    <w:p>
      <w:pPr>
        <w:jc w:val="both"/>
        <w:ind w:firstLine="509"/>
        <w:spacing w:after="0" w:line="281" w:lineRule="auto"/>
        <w:rPr>
          <w:sz w:val="20"/>
          <w:szCs w:val="20"/>
          <w:color w:val="auto"/>
        </w:rPr>
      </w:pPr>
      <w:r>
        <w:rPr>
          <w:rFonts w:ascii="Arial" w:cs="Arial" w:eastAsia="Arial" w:hAnsi="Arial"/>
          <w:sz w:val="14"/>
          <w:szCs w:val="14"/>
          <w:color w:val="auto"/>
        </w:rPr>
        <w:t>The Company can incur incremental costs to obtain or fulfill a contract such as broker expenses that are not expected to be recovered. The amortization period for such expenses is less than one year; therefore, the costs are expensed as incurred.</w:t>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Taxes</w:t>
      </w:r>
    </w:p>
    <w:p>
      <w:pPr>
        <w:spacing w:after="0" w:line="140" w:lineRule="exact"/>
        <w:rPr>
          <w:sz w:val="20"/>
          <w:szCs w:val="20"/>
          <w:color w:val="auto"/>
        </w:rPr>
      </w:pPr>
    </w:p>
    <w:p>
      <w:pPr>
        <w:jc w:val="both"/>
        <w:ind w:firstLine="509"/>
        <w:spacing w:after="0" w:line="281" w:lineRule="auto"/>
        <w:rPr>
          <w:sz w:val="20"/>
          <w:szCs w:val="20"/>
          <w:color w:val="auto"/>
        </w:rPr>
      </w:pPr>
      <w:r>
        <w:rPr>
          <w:rFonts w:ascii="Arial" w:cs="Arial" w:eastAsia="Arial" w:hAnsi="Arial"/>
          <w:sz w:val="14"/>
          <w:szCs w:val="14"/>
          <w:color w:val="auto"/>
        </w:rPr>
        <w:t>The Company excludes all taxes assessed by a governmental authority that are both imposed on and concurrent with a specific revenue-producing transaction and collected by the entity from a customer (for example, sales, use, value added and some excise taxes) from the transaction price.</w:t>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Contract Balances</w:t>
      </w:r>
    </w:p>
    <w:p>
      <w:pPr>
        <w:spacing w:after="0" w:line="140"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color w:val="auto"/>
        </w:rPr>
        <w:t>The Company receives payment from customers based on terms established with the customer. Payments are typically due within two weeks of delivery. There are rarely contract assets related to costs incurred to perform in advance of scheduled billings. Revenue contract liabilities relate to payments received in advance of satisfying the performance under the customer contract. The revenue contract liability relates to customer prepayments and the advanced consideration received from governmental agency contracts for which performance obligations to the end customer have not been satisfied.</w:t>
      </w:r>
    </w:p>
    <w:p>
      <w:pPr>
        <w:spacing w:after="0" w:line="103" w:lineRule="exact"/>
        <w:rPr>
          <w:sz w:val="20"/>
          <w:szCs w:val="20"/>
          <w:color w:val="auto"/>
        </w:rPr>
      </w:pPr>
    </w:p>
    <w:p>
      <w:pPr>
        <w:ind w:left="520"/>
        <w:spacing w:after="0"/>
        <w:rPr>
          <w:sz w:val="20"/>
          <w:szCs w:val="20"/>
          <w:color w:val="auto"/>
        </w:rPr>
      </w:pPr>
      <w:r>
        <w:rPr>
          <w:rFonts w:ascii="Arial" w:cs="Arial" w:eastAsia="Arial" w:hAnsi="Arial"/>
          <w:sz w:val="14"/>
          <w:szCs w:val="14"/>
          <w:color w:val="auto"/>
        </w:rPr>
        <w:t>Changes in the revenue contract liability balances for the years ended December 26, 2021 and December 27, 2020 were as follows: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7260" w:type="dxa"/>
            <w:vAlign w:val="bottom"/>
          </w:tcPr>
          <w:p>
            <w:pPr>
              <w:spacing w:after="0"/>
              <w:rPr>
                <w:sz w:val="13"/>
                <w:szCs w:val="1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December 26, 2021</w:t>
            </w: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ind w:left="120"/>
              <w:spacing w:after="0"/>
              <w:rPr>
                <w:sz w:val="20"/>
                <w:szCs w:val="20"/>
                <w:color w:val="auto"/>
              </w:rPr>
            </w:pPr>
            <w:r>
              <w:rPr>
                <w:rFonts w:ascii="Arial" w:cs="Arial" w:eastAsia="Arial" w:hAnsi="Arial"/>
                <w:sz w:val="11"/>
                <w:szCs w:val="11"/>
                <w:b w:val="1"/>
                <w:bCs w:val="1"/>
                <w:color w:val="auto"/>
              </w:rPr>
              <w:t>December 27, 2020</w:t>
            </w:r>
          </w:p>
        </w:tc>
      </w:tr>
      <w:tr>
        <w:trPr>
          <w:trHeight w:val="127"/>
        </w:trPr>
        <w:tc>
          <w:tcPr>
            <w:tcW w:w="72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980" w:type="dxa"/>
            <w:vAlign w:val="bottom"/>
            <w:gridSpan w:val="3"/>
          </w:tcPr>
          <w:p>
            <w:pPr>
              <w:jc w:val="right"/>
              <w:ind w:right="76"/>
              <w:spacing w:after="0"/>
              <w:rPr>
                <w:sz w:val="20"/>
                <w:szCs w:val="20"/>
                <w:color w:val="auto"/>
              </w:rPr>
            </w:pPr>
            <w:r>
              <w:rPr>
                <w:rFonts w:ascii="Arial" w:cs="Arial" w:eastAsia="Arial" w:hAnsi="Arial"/>
                <w:sz w:val="10"/>
                <w:szCs w:val="10"/>
                <w:b w:val="1"/>
                <w:bCs w:val="1"/>
                <w:color w:val="auto"/>
              </w:rPr>
              <w:t>(In thousands)</w:t>
            </w:r>
          </w:p>
        </w:tc>
        <w:tc>
          <w:tcPr>
            <w:tcW w:w="1560" w:type="dxa"/>
            <w:vAlign w:val="bottom"/>
          </w:tcPr>
          <w:p>
            <w:pPr>
              <w:spacing w:after="0"/>
              <w:rPr>
                <w:sz w:val="11"/>
                <w:szCs w:val="11"/>
                <w:color w:val="auto"/>
              </w:rPr>
            </w:pPr>
          </w:p>
        </w:tc>
      </w:tr>
      <w:tr>
        <w:trPr>
          <w:trHeight w:val="176"/>
        </w:trPr>
        <w:tc>
          <w:tcPr>
            <w:tcW w:w="7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 beginning of year</w:t>
            </w:r>
          </w:p>
        </w:tc>
        <w:tc>
          <w:tcPr>
            <w:tcW w:w="1480" w:type="dxa"/>
            <w:vAlign w:val="bottom"/>
            <w:shd w:val="clear" w:color="auto" w:fill="CCEEFF"/>
          </w:tcPr>
          <w:p>
            <w:pPr>
              <w:jc w:val="right"/>
              <w:ind w:right="1339"/>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65,918</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1560" w:type="dxa"/>
            <w:vAlign w:val="bottom"/>
            <w:shd w:val="clear" w:color="auto" w:fill="CCEEFF"/>
          </w:tcPr>
          <w:p>
            <w:pPr>
              <w:jc w:val="center"/>
              <w:ind w:left="1058"/>
              <w:spacing w:after="0"/>
              <w:rPr>
                <w:sz w:val="20"/>
                <w:szCs w:val="20"/>
                <w:color w:val="auto"/>
              </w:rPr>
            </w:pPr>
            <w:r>
              <w:rPr>
                <w:rFonts w:ascii="Arial" w:cs="Arial" w:eastAsia="Arial" w:hAnsi="Arial"/>
                <w:sz w:val="13"/>
                <w:szCs w:val="13"/>
                <w:color w:val="auto"/>
                <w:w w:val="90"/>
              </w:rPr>
              <w:t>41,770</w:t>
            </w:r>
          </w:p>
        </w:tc>
      </w:tr>
      <w:tr>
        <w:trPr>
          <w:trHeight w:val="168"/>
        </w:trPr>
        <w:tc>
          <w:tcPr>
            <w:tcW w:w="7260" w:type="dxa"/>
            <w:vAlign w:val="bottom"/>
          </w:tcPr>
          <w:p>
            <w:pPr>
              <w:ind w:left="120"/>
              <w:spacing w:after="0"/>
              <w:rPr>
                <w:sz w:val="20"/>
                <w:szCs w:val="20"/>
                <w:color w:val="auto"/>
              </w:rPr>
            </w:pPr>
            <w:r>
              <w:rPr>
                <w:rFonts w:ascii="Arial" w:cs="Arial" w:eastAsia="Arial" w:hAnsi="Arial"/>
                <w:sz w:val="13"/>
                <w:szCs w:val="13"/>
                <w:color w:val="auto"/>
              </w:rPr>
              <w:t>Revenue recognized</w:t>
            </w:r>
          </w:p>
        </w:tc>
        <w:tc>
          <w:tcPr>
            <w:tcW w:w="148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3"/>
                <w:szCs w:val="13"/>
                <w:color w:val="auto"/>
                <w:w w:val="90"/>
              </w:rPr>
              <w:t>(60,764)</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60" w:type="dxa"/>
            <w:vAlign w:val="bottom"/>
          </w:tcPr>
          <w:p>
            <w:pPr>
              <w:jc w:val="center"/>
              <w:ind w:left="1018"/>
              <w:spacing w:after="0"/>
              <w:rPr>
                <w:sz w:val="20"/>
                <w:szCs w:val="20"/>
                <w:color w:val="auto"/>
              </w:rPr>
            </w:pPr>
            <w:r>
              <w:rPr>
                <w:rFonts w:ascii="Arial" w:cs="Arial" w:eastAsia="Arial" w:hAnsi="Arial"/>
                <w:sz w:val="13"/>
                <w:szCs w:val="13"/>
                <w:color w:val="auto"/>
                <w:w w:val="90"/>
              </w:rPr>
              <w:t>(32,816)</w:t>
            </w:r>
          </w:p>
        </w:tc>
      </w:tr>
      <w:tr>
        <w:trPr>
          <w:trHeight w:val="172"/>
        </w:trPr>
        <w:tc>
          <w:tcPr>
            <w:tcW w:w="72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Cash received, excluding amounts recognized as revenue during the period</w:t>
            </w:r>
          </w:p>
        </w:tc>
        <w:tc>
          <w:tcPr>
            <w:tcW w:w="148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0"/>
              </w:rPr>
              <w:t>17,167</w:t>
            </w:r>
          </w:p>
        </w:tc>
        <w:tc>
          <w:tcPr>
            <w:tcW w:w="10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1560" w:type="dxa"/>
            <w:vAlign w:val="bottom"/>
            <w:tcBorders>
              <w:bottom w:val="single" w:sz="8" w:color="auto"/>
            </w:tcBorders>
            <w:shd w:val="clear" w:color="auto" w:fill="CCEEFF"/>
          </w:tcPr>
          <w:p>
            <w:pPr>
              <w:jc w:val="center"/>
              <w:ind w:left="1058"/>
              <w:spacing w:after="0"/>
              <w:rPr>
                <w:sz w:val="20"/>
                <w:szCs w:val="20"/>
                <w:color w:val="auto"/>
              </w:rPr>
            </w:pPr>
            <w:r>
              <w:rPr>
                <w:rFonts w:ascii="Arial" w:cs="Arial" w:eastAsia="Arial" w:hAnsi="Arial"/>
                <w:sz w:val="13"/>
                <w:szCs w:val="13"/>
                <w:color w:val="auto"/>
                <w:w w:val="90"/>
              </w:rPr>
              <w:t>56,964</w:t>
            </w:r>
          </w:p>
        </w:tc>
      </w:tr>
      <w:tr>
        <w:trPr>
          <w:trHeight w:val="158"/>
        </w:trPr>
        <w:tc>
          <w:tcPr>
            <w:tcW w:w="7260" w:type="dxa"/>
            <w:vAlign w:val="bottom"/>
          </w:tcPr>
          <w:p>
            <w:pPr>
              <w:ind w:left="20"/>
              <w:spacing w:after="0" w:line="146" w:lineRule="exact"/>
              <w:rPr>
                <w:sz w:val="20"/>
                <w:szCs w:val="20"/>
                <w:color w:val="auto"/>
              </w:rPr>
            </w:pPr>
            <w:r>
              <w:rPr>
                <w:rFonts w:ascii="Arial" w:cs="Arial" w:eastAsia="Arial" w:hAnsi="Arial"/>
                <w:sz w:val="13"/>
                <w:szCs w:val="13"/>
                <w:color w:val="auto"/>
              </w:rPr>
              <w:t>Balance, end of year</w:t>
            </w:r>
          </w:p>
        </w:tc>
        <w:tc>
          <w:tcPr>
            <w:tcW w:w="1480" w:type="dxa"/>
            <w:vAlign w:val="bottom"/>
            <w:tcBorders>
              <w:bottom w:val="single" w:sz="8" w:color="auto"/>
            </w:tcBorders>
          </w:tcPr>
          <w:p>
            <w:pPr>
              <w:jc w:val="right"/>
              <w:ind w:right="1339"/>
              <w:spacing w:after="0"/>
              <w:rPr>
                <w:sz w:val="20"/>
                <w:szCs w:val="20"/>
                <w:color w:val="auto"/>
              </w:rPr>
            </w:pPr>
            <w:r>
              <w:rPr>
                <w:rFonts w:ascii="Arial" w:cs="Arial" w:eastAsia="Arial" w:hAnsi="Arial"/>
                <w:sz w:val="13"/>
                <w:szCs w:val="13"/>
                <w:color w:val="auto"/>
                <w:w w:val="82"/>
              </w:rPr>
              <w:t>$</w:t>
            </w: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0"/>
              </w:rPr>
              <w:t>22,321</w:t>
            </w:r>
          </w:p>
        </w:tc>
        <w:tc>
          <w:tcPr>
            <w:tcW w:w="100" w:type="dxa"/>
            <w:vAlign w:val="bottom"/>
          </w:tcPr>
          <w:p>
            <w:pPr>
              <w:spacing w:after="0"/>
              <w:rPr>
                <w:sz w:val="13"/>
                <w:szCs w:val="13"/>
                <w:color w:val="auto"/>
              </w:rPr>
            </w:pPr>
          </w:p>
        </w:tc>
        <w:tc>
          <w:tcPr>
            <w:tcW w:w="40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color w:val="auto"/>
                <w:w w:val="82"/>
              </w:rPr>
              <w:t>$</w:t>
            </w:r>
          </w:p>
        </w:tc>
        <w:tc>
          <w:tcPr>
            <w:tcW w:w="1560" w:type="dxa"/>
            <w:vAlign w:val="bottom"/>
            <w:tcBorders>
              <w:bottom w:val="single" w:sz="8" w:color="auto"/>
            </w:tcBorders>
          </w:tcPr>
          <w:p>
            <w:pPr>
              <w:jc w:val="center"/>
              <w:ind w:left="1058"/>
              <w:spacing w:after="0"/>
              <w:rPr>
                <w:sz w:val="20"/>
                <w:szCs w:val="20"/>
                <w:color w:val="auto"/>
              </w:rPr>
            </w:pPr>
            <w:r>
              <w:rPr>
                <w:rFonts w:ascii="Arial" w:cs="Arial" w:eastAsia="Arial" w:hAnsi="Arial"/>
                <w:sz w:val="13"/>
                <w:szCs w:val="13"/>
                <w:color w:val="auto"/>
                <w:w w:val="90"/>
              </w:rPr>
              <w:t>65,918</w:t>
            </w:r>
          </w:p>
        </w:tc>
      </w:tr>
      <w:tr>
        <w:trPr>
          <w:trHeight w:val="20"/>
        </w:trPr>
        <w:tc>
          <w:tcPr>
            <w:tcW w:w="72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13" w:lineRule="exact"/>
        <w:rPr>
          <w:sz w:val="20"/>
          <w:szCs w:val="20"/>
          <w:color w:val="auto"/>
        </w:rPr>
      </w:pPr>
    </w:p>
    <w:p>
      <w:pPr>
        <w:spacing w:after="0"/>
        <w:tabs>
          <w:tab w:leader="none" w:pos="240" w:val="left"/>
        </w:tabs>
        <w:rPr>
          <w:sz w:val="20"/>
          <w:szCs w:val="20"/>
          <w:color w:val="auto"/>
        </w:rPr>
      </w:pPr>
      <w:r>
        <w:rPr>
          <w:rFonts w:ascii="Arial" w:cs="Arial" w:eastAsia="Arial" w:hAnsi="Arial"/>
          <w:sz w:val="14"/>
          <w:szCs w:val="14"/>
          <w:b w:val="1"/>
          <w:bCs w:val="1"/>
          <w:color w:val="auto"/>
        </w:rPr>
        <w:t>4.</w:t>
      </w:r>
      <w:r>
        <w:rPr>
          <w:sz w:val="20"/>
          <w:szCs w:val="20"/>
          <w:color w:val="auto"/>
        </w:rPr>
        <w:tab/>
      </w:r>
      <w:r>
        <w:rPr>
          <w:rFonts w:ascii="Arial" w:cs="Arial" w:eastAsia="Arial" w:hAnsi="Arial"/>
          <w:sz w:val="13"/>
          <w:szCs w:val="13"/>
          <w:b w:val="1"/>
          <w:bCs w:val="1"/>
          <w:color w:val="auto"/>
        </w:rPr>
        <w:t>LEASES</w:t>
      </w:r>
    </w:p>
    <w:p>
      <w:pPr>
        <w:spacing w:after="0" w:line="140"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4"/>
          <w:szCs w:val="14"/>
          <w:color w:val="auto"/>
        </w:rPr>
        <w:t>The Company is party to operating lease agreements for warehouses, office space, vehicle maintenance facilities and livestock growing farms in the U.S., distribution centers, hatcheries and office space in Mexico and farms, processing facilities and office space in the U.K. and Europe. Additionally, the Company leases equipment, over-the-road transportation vehicles and other assets in all three reportable segments. The Company is also party to a limited number of finance lease agreements in the U.S.</w:t>
      </w:r>
    </w:p>
    <w:p>
      <w:pPr>
        <w:spacing w:after="0" w:line="99"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4"/>
          <w:szCs w:val="14"/>
          <w:color w:val="auto"/>
        </w:rPr>
        <w:t>The Company’s leases have remaining lease terms of less than one year to 14 years, some of which may include options to extend the lease for up to ten years and some of which may include options to terminate the lease within one year. The exercise of options to extend lease terms is at the Company’s sole discretion. Certain leases also include options to purchase the leased property.</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3" w:name="page64"/>
    <w:bookmarkEnd w:id="6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NOTES TO CONSOLIDATED FINANCIAL STATEMENTS</w:t>
      </w:r>
    </w:p>
    <w:p>
      <w:pPr>
        <w:spacing w:after="0" w:line="391"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4"/>
          <w:szCs w:val="14"/>
          <w:color w:val="auto"/>
        </w:rPr>
        <w:t>Certain lease agreements include rental payment increases over the lease term that can be either fixed or variable. Fixed payment increases and variable payment increases based on an index or rate are included in the initial lease liability using the index or rate at commencement date. Variable payment increases not based on an index are recognized as incurred. Certain lease agreements contain residual value guarantees, primarily vehicle and transportation equipment leases.</w:t>
      </w:r>
    </w:p>
    <w:p>
      <w:pPr>
        <w:spacing w:after="0" w:line="99" w:lineRule="exact"/>
        <w:rPr>
          <w:sz w:val="20"/>
          <w:szCs w:val="20"/>
          <w:color w:val="auto"/>
        </w:rPr>
      </w:pPr>
    </w:p>
    <w:p>
      <w:pPr>
        <w:jc w:val="both"/>
        <w:ind w:firstLine="509"/>
        <w:spacing w:after="0" w:line="281" w:lineRule="auto"/>
        <w:rPr>
          <w:sz w:val="20"/>
          <w:szCs w:val="20"/>
          <w:color w:val="auto"/>
        </w:rPr>
      </w:pPr>
      <w:r>
        <w:rPr>
          <w:rFonts w:ascii="Arial" w:cs="Arial" w:eastAsia="Arial" w:hAnsi="Arial"/>
          <w:sz w:val="14"/>
          <w:szCs w:val="14"/>
          <w:color w:val="auto"/>
        </w:rPr>
        <w:t xml:space="preserve">The following table presents components of lease expense (in thousands). Operating lease cost, finance lease amortization and finance lease interest are respectively included in </w:t>
      </w:r>
      <w:r>
        <w:rPr>
          <w:rFonts w:ascii="Arial" w:cs="Arial" w:eastAsia="Arial" w:hAnsi="Arial"/>
          <w:sz w:val="14"/>
          <w:szCs w:val="14"/>
          <w:i w:val="1"/>
          <w:iCs w:val="1"/>
          <w:color w:val="auto"/>
        </w:rPr>
        <w:t>Cost of sales,</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Selling, general and administrative expense </w:t>
      </w:r>
      <w:r>
        <w:rPr>
          <w:rFonts w:ascii="Arial" w:cs="Arial" w:eastAsia="Arial" w:hAnsi="Arial"/>
          <w:sz w:val="14"/>
          <w:szCs w:val="14"/>
          <w:color w:val="auto"/>
        </w:rPr>
        <w:t>and</w:t>
      </w:r>
      <w:r>
        <w:rPr>
          <w:rFonts w:ascii="Arial" w:cs="Arial" w:eastAsia="Arial" w:hAnsi="Arial"/>
          <w:sz w:val="14"/>
          <w:szCs w:val="14"/>
          <w:i w:val="1"/>
          <w:iCs w:val="1"/>
          <w:color w:val="auto"/>
        </w:rPr>
        <w:t xml:space="preserve"> Interest expense, net of capitalized interest </w:t>
      </w:r>
      <w:r>
        <w:rPr>
          <w:rFonts w:ascii="Arial" w:cs="Arial" w:eastAsia="Arial" w:hAnsi="Arial"/>
          <w:sz w:val="14"/>
          <w:szCs w:val="14"/>
          <w:color w:val="auto"/>
        </w:rPr>
        <w:t>in the Consolidated Statements of Income.</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6820" w:type="dxa"/>
            <w:vAlign w:val="bottom"/>
          </w:tcPr>
          <w:p>
            <w:pPr>
              <w:spacing w:after="0"/>
              <w:rPr>
                <w:sz w:val="13"/>
                <w:szCs w:val="13"/>
                <w:color w:val="auto"/>
              </w:rPr>
            </w:pPr>
          </w:p>
        </w:tc>
        <w:tc>
          <w:tcPr>
            <w:tcW w:w="16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3"/>
          </w:tcPr>
          <w:p>
            <w:pPr>
              <w:jc w:val="right"/>
              <w:ind w:right="36"/>
              <w:spacing w:after="0"/>
              <w:rPr>
                <w:sz w:val="20"/>
                <w:szCs w:val="20"/>
                <w:color w:val="auto"/>
              </w:rPr>
            </w:pPr>
            <w:r>
              <w:rPr>
                <w:rFonts w:ascii="Arial" w:cs="Arial" w:eastAsia="Arial" w:hAnsi="Arial"/>
                <w:sz w:val="11"/>
                <w:szCs w:val="11"/>
                <w:b w:val="1"/>
                <w:bCs w:val="1"/>
                <w:color w:val="auto"/>
              </w:rPr>
              <w:t>For the Year Ended</w:t>
            </w:r>
          </w:p>
        </w:tc>
        <w:tc>
          <w:tcPr>
            <w:tcW w:w="1660" w:type="dxa"/>
            <w:vAlign w:val="bottom"/>
            <w:tcBorders>
              <w:bottom w:val="single" w:sz="8" w:color="auto"/>
            </w:tcBorders>
          </w:tcPr>
          <w:p>
            <w:pPr>
              <w:spacing w:after="0"/>
              <w:rPr>
                <w:sz w:val="13"/>
                <w:szCs w:val="13"/>
                <w:color w:val="auto"/>
              </w:rPr>
            </w:pPr>
          </w:p>
        </w:tc>
      </w:tr>
      <w:tr>
        <w:trPr>
          <w:trHeight w:val="142"/>
        </w:trPr>
        <w:tc>
          <w:tcPr>
            <w:tcW w:w="6820" w:type="dxa"/>
            <w:vAlign w:val="bottom"/>
            <w:tcBorders>
              <w:bottom w:val="single" w:sz="8" w:color="CCEEFF"/>
            </w:tcBorders>
          </w:tcPr>
          <w:p>
            <w:pPr>
              <w:spacing w:after="0"/>
              <w:rPr>
                <w:sz w:val="12"/>
                <w:szCs w:val="12"/>
                <w:color w:val="auto"/>
              </w:rPr>
            </w:pPr>
          </w:p>
        </w:tc>
        <w:tc>
          <w:tcPr>
            <w:tcW w:w="1640" w:type="dxa"/>
            <w:vAlign w:val="bottom"/>
            <w:tcBorders>
              <w:bottom w:val="single" w:sz="8" w:color="auto"/>
            </w:tcBorders>
          </w:tcPr>
          <w:p>
            <w:pPr>
              <w:jc w:val="right"/>
              <w:ind w:right="39"/>
              <w:spacing w:after="0"/>
              <w:rPr>
                <w:sz w:val="20"/>
                <w:szCs w:val="20"/>
                <w:color w:val="auto"/>
              </w:rPr>
            </w:pPr>
            <w:r>
              <w:rPr>
                <w:rFonts w:ascii="Arial" w:cs="Arial" w:eastAsia="Arial" w:hAnsi="Arial"/>
                <w:sz w:val="11"/>
                <w:szCs w:val="11"/>
                <w:b w:val="1"/>
                <w:bCs w:val="1"/>
                <w:color w:val="auto"/>
              </w:rPr>
              <w:t>December 26, 2021</w:t>
            </w:r>
          </w:p>
        </w:tc>
        <w:tc>
          <w:tcPr>
            <w:tcW w:w="54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660" w:type="dxa"/>
            <w:vAlign w:val="bottom"/>
            <w:tcBorders>
              <w:bottom w:val="single" w:sz="8" w:color="auto"/>
            </w:tcBorders>
          </w:tcPr>
          <w:p>
            <w:pPr>
              <w:jc w:val="right"/>
              <w:ind w:right="577"/>
              <w:spacing w:after="0"/>
              <w:rPr>
                <w:sz w:val="20"/>
                <w:szCs w:val="20"/>
                <w:color w:val="auto"/>
              </w:rPr>
            </w:pPr>
            <w:r>
              <w:rPr>
                <w:rFonts w:ascii="Arial" w:cs="Arial" w:eastAsia="Arial" w:hAnsi="Arial"/>
                <w:sz w:val="11"/>
                <w:szCs w:val="11"/>
                <w:b w:val="1"/>
                <w:bCs w:val="1"/>
                <w:color w:val="auto"/>
              </w:rPr>
              <w:t>December 27, 2020</w:t>
            </w:r>
          </w:p>
        </w:tc>
      </w:tr>
      <w:tr>
        <w:trPr>
          <w:trHeight w:val="161"/>
        </w:trPr>
        <w:tc>
          <w:tcPr>
            <w:tcW w:w="6820" w:type="dxa"/>
            <w:vAlign w:val="bottom"/>
            <w:shd w:val="clear" w:color="auto" w:fill="CCEEFF"/>
          </w:tcPr>
          <w:p>
            <w:pPr>
              <w:ind w:left="20"/>
              <w:spacing w:after="0" w:line="161" w:lineRule="exact"/>
              <w:rPr>
                <w:sz w:val="20"/>
                <w:szCs w:val="20"/>
                <w:color w:val="auto"/>
              </w:rPr>
            </w:pPr>
            <w:r>
              <w:rPr>
                <w:rFonts w:ascii="Arial" w:cs="Arial" w:eastAsia="Arial" w:hAnsi="Arial"/>
                <w:sz w:val="13"/>
                <w:szCs w:val="13"/>
                <w:color w:val="auto"/>
              </w:rPr>
              <w:t>Operating lease cost</w:t>
            </w:r>
            <w:r>
              <w:rPr>
                <w:rFonts w:ascii="Arial" w:cs="Arial" w:eastAsia="Arial" w:hAnsi="Arial"/>
                <w:sz w:val="16"/>
                <w:szCs w:val="16"/>
                <w:color w:val="auto"/>
                <w:vertAlign w:val="superscript"/>
              </w:rPr>
              <w:t>(a)</w:t>
            </w:r>
          </w:p>
        </w:tc>
        <w:tc>
          <w:tcPr>
            <w:tcW w:w="1640" w:type="dxa"/>
            <w:vAlign w:val="bottom"/>
            <w:shd w:val="clear" w:color="auto" w:fill="CCEEFF"/>
          </w:tcPr>
          <w:p>
            <w:pPr>
              <w:jc w:val="right"/>
              <w:ind w:right="1499"/>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93,024</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396"/>
              <w:spacing w:after="0"/>
              <w:rPr>
                <w:sz w:val="20"/>
                <w:szCs w:val="20"/>
                <w:color w:val="auto"/>
              </w:rPr>
            </w:pPr>
            <w:r>
              <w:rPr>
                <w:rFonts w:ascii="Arial" w:cs="Arial" w:eastAsia="Arial" w:hAnsi="Arial"/>
                <w:sz w:val="13"/>
                <w:szCs w:val="13"/>
                <w:color w:val="auto"/>
                <w:w w:val="82"/>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90,887</w:t>
            </w:r>
          </w:p>
        </w:tc>
      </w:tr>
      <w:tr>
        <w:trPr>
          <w:trHeight w:val="168"/>
        </w:trPr>
        <w:tc>
          <w:tcPr>
            <w:tcW w:w="6820" w:type="dxa"/>
            <w:vAlign w:val="bottom"/>
          </w:tcPr>
          <w:p>
            <w:pPr>
              <w:ind w:left="20"/>
              <w:spacing w:after="0"/>
              <w:rPr>
                <w:sz w:val="20"/>
                <w:szCs w:val="20"/>
                <w:color w:val="auto"/>
              </w:rPr>
            </w:pPr>
            <w:r>
              <w:rPr>
                <w:rFonts w:ascii="Arial" w:cs="Arial" w:eastAsia="Arial" w:hAnsi="Arial"/>
                <w:sz w:val="13"/>
                <w:szCs w:val="13"/>
                <w:color w:val="auto"/>
              </w:rPr>
              <w:t>Amortization of finance lease assets</w:t>
            </w:r>
          </w:p>
        </w:tc>
        <w:tc>
          <w:tcPr>
            <w:tcW w:w="16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745</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Arial" w:cs="Arial" w:eastAsia="Arial" w:hAnsi="Arial"/>
                <w:sz w:val="13"/>
                <w:szCs w:val="13"/>
                <w:color w:val="auto"/>
              </w:rPr>
              <w:t>436</w:t>
            </w:r>
          </w:p>
        </w:tc>
      </w:tr>
      <w:tr>
        <w:trPr>
          <w:trHeight w:val="172"/>
        </w:trPr>
        <w:tc>
          <w:tcPr>
            <w:tcW w:w="6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Interest on finance leases</w:t>
            </w:r>
          </w:p>
        </w:tc>
        <w:tc>
          <w:tcPr>
            <w:tcW w:w="16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128</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r>
      <w:tr>
        <w:trPr>
          <w:trHeight w:val="168"/>
        </w:trPr>
        <w:tc>
          <w:tcPr>
            <w:tcW w:w="6820" w:type="dxa"/>
            <w:vAlign w:val="bottom"/>
          </w:tcPr>
          <w:p>
            <w:pPr>
              <w:ind w:left="20"/>
              <w:spacing w:after="0"/>
              <w:rPr>
                <w:sz w:val="20"/>
                <w:szCs w:val="20"/>
                <w:color w:val="auto"/>
              </w:rPr>
            </w:pPr>
            <w:r>
              <w:rPr>
                <w:rFonts w:ascii="Arial" w:cs="Arial" w:eastAsia="Arial" w:hAnsi="Arial"/>
                <w:sz w:val="13"/>
                <w:szCs w:val="13"/>
                <w:color w:val="auto"/>
              </w:rPr>
              <w:t>Short-term lease cost</w:t>
            </w:r>
          </w:p>
        </w:tc>
        <w:tc>
          <w:tcPr>
            <w:tcW w:w="16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63,588</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Arial" w:cs="Arial" w:eastAsia="Arial" w:hAnsi="Arial"/>
                <w:sz w:val="13"/>
                <w:szCs w:val="13"/>
                <w:color w:val="auto"/>
              </w:rPr>
              <w:t>64,410</w:t>
            </w:r>
          </w:p>
        </w:tc>
      </w:tr>
      <w:tr>
        <w:trPr>
          <w:trHeight w:val="170"/>
        </w:trPr>
        <w:tc>
          <w:tcPr>
            <w:tcW w:w="6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Variable lease cost</w:t>
            </w:r>
          </w:p>
        </w:tc>
        <w:tc>
          <w:tcPr>
            <w:tcW w:w="164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4,490</w:t>
            </w:r>
          </w:p>
        </w:tc>
        <w:tc>
          <w:tcPr>
            <w:tcW w:w="80" w:type="dxa"/>
            <w:vAlign w:val="bottom"/>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spacing w:after="0"/>
              <w:rPr>
                <w:sz w:val="14"/>
                <w:szCs w:val="14"/>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3,839</w:t>
            </w:r>
          </w:p>
        </w:tc>
      </w:tr>
      <w:tr>
        <w:trPr>
          <w:trHeight w:val="163"/>
        </w:trPr>
        <w:tc>
          <w:tcPr>
            <w:tcW w:w="6820" w:type="dxa"/>
            <w:vAlign w:val="bottom"/>
          </w:tcPr>
          <w:p>
            <w:pPr>
              <w:ind w:left="120"/>
              <w:spacing w:after="0"/>
              <w:rPr>
                <w:sz w:val="20"/>
                <w:szCs w:val="20"/>
                <w:color w:val="auto"/>
              </w:rPr>
            </w:pPr>
            <w:r>
              <w:rPr>
                <w:rFonts w:ascii="Arial" w:cs="Arial" w:eastAsia="Arial" w:hAnsi="Arial"/>
                <w:sz w:val="13"/>
                <w:szCs w:val="13"/>
                <w:color w:val="auto"/>
              </w:rPr>
              <w:t>Net lease cost</w:t>
            </w:r>
          </w:p>
        </w:tc>
        <w:tc>
          <w:tcPr>
            <w:tcW w:w="1640" w:type="dxa"/>
            <w:vAlign w:val="bottom"/>
            <w:tcBorders>
              <w:bottom w:val="single" w:sz="8" w:color="auto"/>
            </w:tcBorders>
          </w:tcPr>
          <w:p>
            <w:pPr>
              <w:jc w:val="right"/>
              <w:ind w:right="1499"/>
              <w:spacing w:after="0"/>
              <w:rPr>
                <w:sz w:val="20"/>
                <w:szCs w:val="20"/>
                <w:color w:val="auto"/>
              </w:rPr>
            </w:pPr>
            <w:r>
              <w:rPr>
                <w:rFonts w:ascii="Arial" w:cs="Arial" w:eastAsia="Arial" w:hAnsi="Arial"/>
                <w:sz w:val="13"/>
                <w:szCs w:val="13"/>
                <w:color w:val="auto"/>
                <w:w w:val="82"/>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7"/>
              </w:rPr>
              <w:t>161,975</w:t>
            </w:r>
          </w:p>
        </w:tc>
        <w:tc>
          <w:tcPr>
            <w:tcW w:w="80" w:type="dxa"/>
            <w:vAlign w:val="bottom"/>
          </w:tcPr>
          <w:p>
            <w:pPr>
              <w:spacing w:after="0"/>
              <w:rPr>
                <w:sz w:val="14"/>
                <w:szCs w:val="14"/>
                <w:color w:val="auto"/>
              </w:rPr>
            </w:pPr>
          </w:p>
        </w:tc>
        <w:tc>
          <w:tcPr>
            <w:tcW w:w="540" w:type="dxa"/>
            <w:vAlign w:val="bottom"/>
            <w:tcBorders>
              <w:bottom w:val="single" w:sz="8" w:color="auto"/>
            </w:tcBorders>
          </w:tcPr>
          <w:p>
            <w:pPr>
              <w:jc w:val="right"/>
              <w:ind w:right="396"/>
              <w:spacing w:after="0"/>
              <w:rPr>
                <w:sz w:val="20"/>
                <w:szCs w:val="20"/>
                <w:color w:val="auto"/>
              </w:rPr>
            </w:pPr>
            <w:r>
              <w:rPr>
                <w:rFonts w:ascii="Arial" w:cs="Arial" w:eastAsia="Arial" w:hAnsi="Arial"/>
                <w:sz w:val="13"/>
                <w:szCs w:val="13"/>
                <w:color w:val="auto"/>
                <w:w w:val="82"/>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159,671</w:t>
            </w:r>
          </w:p>
        </w:tc>
      </w:tr>
      <w:tr>
        <w:trPr>
          <w:trHeight w:val="20"/>
        </w:trPr>
        <w:tc>
          <w:tcPr>
            <w:tcW w:w="68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ind w:left="520" w:hanging="515"/>
        <w:spacing w:after="0"/>
        <w:tabs>
          <w:tab w:leader="none" w:pos="520" w:val="left"/>
        </w:tabs>
        <w:numPr>
          <w:ilvl w:val="0"/>
          <w:numId w:val="26"/>
        </w:numPr>
        <w:rPr>
          <w:rFonts w:ascii="Arial" w:cs="Arial" w:eastAsia="Arial" w:hAnsi="Arial"/>
          <w:sz w:val="11"/>
          <w:szCs w:val="11"/>
          <w:color w:val="auto"/>
        </w:rPr>
      </w:pPr>
      <w:r>
        <w:rPr>
          <w:rFonts w:ascii="Arial" w:cs="Arial" w:eastAsia="Arial" w:hAnsi="Arial"/>
          <w:sz w:val="11"/>
          <w:szCs w:val="11"/>
          <w:color w:val="auto"/>
        </w:rPr>
        <w:t>Sublease income is immaterial and not included in operating lease costs.</w:t>
      </w:r>
    </w:p>
    <w:p>
      <w:pPr>
        <w:spacing w:after="0" w:line="128"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weighted-average remaining lease term and discount rate for lease liabilities included in our Consolidated Balance Sheets are as follows: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6820" w:type="dxa"/>
            <w:vAlign w:val="bottom"/>
          </w:tcPr>
          <w:p>
            <w:pPr>
              <w:spacing w:after="0"/>
              <w:rPr>
                <w:sz w:val="13"/>
                <w:szCs w:val="13"/>
                <w:color w:val="auto"/>
              </w:rPr>
            </w:pPr>
          </w:p>
        </w:tc>
        <w:tc>
          <w:tcPr>
            <w:tcW w:w="2260" w:type="dxa"/>
            <w:vAlign w:val="bottom"/>
            <w:gridSpan w:val="2"/>
          </w:tcPr>
          <w:p>
            <w:pPr>
              <w:ind w:left="640"/>
              <w:spacing w:after="0"/>
              <w:rPr>
                <w:sz w:val="20"/>
                <w:szCs w:val="20"/>
                <w:color w:val="auto"/>
              </w:rPr>
            </w:pPr>
            <w:r>
              <w:rPr>
                <w:rFonts w:ascii="Arial" w:cs="Arial" w:eastAsia="Arial" w:hAnsi="Arial"/>
                <w:sz w:val="11"/>
                <w:szCs w:val="11"/>
                <w:b w:val="1"/>
                <w:bCs w:val="1"/>
                <w:color w:val="auto"/>
              </w:rPr>
              <w:t>December 26, 2021</w:t>
            </w:r>
          </w:p>
        </w:tc>
        <w:tc>
          <w:tcPr>
            <w:tcW w:w="2200" w:type="dxa"/>
            <w:vAlign w:val="bottom"/>
          </w:tcPr>
          <w:p>
            <w:pPr>
              <w:ind w:left="640"/>
              <w:spacing w:after="0"/>
              <w:rPr>
                <w:sz w:val="20"/>
                <w:szCs w:val="20"/>
                <w:color w:val="auto"/>
              </w:rPr>
            </w:pPr>
            <w:r>
              <w:rPr>
                <w:rFonts w:ascii="Arial" w:cs="Arial" w:eastAsia="Arial" w:hAnsi="Arial"/>
                <w:sz w:val="11"/>
                <w:szCs w:val="11"/>
                <w:b w:val="1"/>
                <w:bCs w:val="1"/>
                <w:color w:val="auto"/>
              </w:rPr>
              <w:t>December 27, 2020</w:t>
            </w:r>
          </w:p>
        </w:tc>
      </w:tr>
      <w:tr>
        <w:trPr>
          <w:trHeight w:val="154"/>
        </w:trPr>
        <w:tc>
          <w:tcPr>
            <w:tcW w:w="6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Weighted-average remaining lease term (years):</w:t>
            </w:r>
          </w:p>
        </w:tc>
        <w:tc>
          <w:tcPr>
            <w:tcW w:w="21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0" w:type="dxa"/>
            <w:vAlign w:val="bottom"/>
            <w:tcBorders>
              <w:top w:val="single" w:sz="8" w:color="auto"/>
            </w:tcBorders>
            <w:shd w:val="clear" w:color="auto" w:fill="CCEEFF"/>
          </w:tcPr>
          <w:p>
            <w:pPr>
              <w:spacing w:after="0"/>
              <w:rPr>
                <w:sz w:val="13"/>
                <w:szCs w:val="13"/>
                <w:color w:val="auto"/>
              </w:rPr>
            </w:pPr>
          </w:p>
        </w:tc>
      </w:tr>
      <w:tr>
        <w:trPr>
          <w:trHeight w:val="168"/>
        </w:trPr>
        <w:tc>
          <w:tcPr>
            <w:tcW w:w="6820" w:type="dxa"/>
            <w:vAlign w:val="bottom"/>
          </w:tcPr>
          <w:p>
            <w:pPr>
              <w:ind w:left="120"/>
              <w:spacing w:after="0"/>
              <w:rPr>
                <w:sz w:val="20"/>
                <w:szCs w:val="20"/>
                <w:color w:val="auto"/>
              </w:rPr>
            </w:pPr>
            <w:r>
              <w:rPr>
                <w:rFonts w:ascii="Arial" w:cs="Arial" w:eastAsia="Arial" w:hAnsi="Arial"/>
                <w:sz w:val="13"/>
                <w:szCs w:val="13"/>
                <w:color w:val="auto"/>
              </w:rPr>
              <w:t>Operating leases</w:t>
            </w:r>
          </w:p>
        </w:tc>
        <w:tc>
          <w:tcPr>
            <w:tcW w:w="2180" w:type="dxa"/>
            <w:vAlign w:val="bottom"/>
          </w:tcPr>
          <w:p>
            <w:pPr>
              <w:jc w:val="center"/>
              <w:spacing w:after="0"/>
              <w:rPr>
                <w:sz w:val="20"/>
                <w:szCs w:val="20"/>
                <w:color w:val="auto"/>
              </w:rPr>
            </w:pPr>
            <w:r>
              <w:rPr>
                <w:rFonts w:ascii="Arial" w:cs="Arial" w:eastAsia="Arial" w:hAnsi="Arial"/>
                <w:sz w:val="13"/>
                <w:szCs w:val="13"/>
                <w:color w:val="auto"/>
                <w:w w:val="86"/>
              </w:rPr>
              <w:t>6.07</w:t>
            </w:r>
          </w:p>
        </w:tc>
        <w:tc>
          <w:tcPr>
            <w:tcW w:w="80" w:type="dxa"/>
            <w:vAlign w:val="bottom"/>
          </w:tcPr>
          <w:p>
            <w:pPr>
              <w:spacing w:after="0"/>
              <w:rPr>
                <w:sz w:val="14"/>
                <w:szCs w:val="14"/>
                <w:color w:val="auto"/>
              </w:rPr>
            </w:pPr>
          </w:p>
        </w:tc>
        <w:tc>
          <w:tcPr>
            <w:tcW w:w="2200" w:type="dxa"/>
            <w:vAlign w:val="bottom"/>
          </w:tcPr>
          <w:p>
            <w:pPr>
              <w:jc w:val="center"/>
              <w:spacing w:after="0"/>
              <w:rPr>
                <w:sz w:val="20"/>
                <w:szCs w:val="20"/>
                <w:color w:val="auto"/>
              </w:rPr>
            </w:pPr>
            <w:r>
              <w:rPr>
                <w:rFonts w:ascii="Arial" w:cs="Arial" w:eastAsia="Arial" w:hAnsi="Arial"/>
                <w:sz w:val="13"/>
                <w:szCs w:val="13"/>
                <w:color w:val="auto"/>
                <w:w w:val="86"/>
              </w:rPr>
              <w:t>5.44</w:t>
            </w:r>
          </w:p>
        </w:tc>
      </w:tr>
      <w:tr>
        <w:trPr>
          <w:trHeight w:val="172"/>
        </w:trPr>
        <w:tc>
          <w:tcPr>
            <w:tcW w:w="68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Finance leases</w:t>
            </w:r>
          </w:p>
        </w:tc>
        <w:tc>
          <w:tcPr>
            <w:tcW w:w="21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5.32</w:t>
            </w:r>
          </w:p>
        </w:tc>
        <w:tc>
          <w:tcPr>
            <w:tcW w:w="80" w:type="dxa"/>
            <w:vAlign w:val="bottom"/>
            <w:shd w:val="clear" w:color="auto" w:fill="CCEEFF"/>
          </w:tcPr>
          <w:p>
            <w:pPr>
              <w:spacing w:after="0"/>
              <w:rPr>
                <w:sz w:val="14"/>
                <w:szCs w:val="14"/>
                <w:color w:val="auto"/>
              </w:rPr>
            </w:pPr>
          </w:p>
        </w:tc>
        <w:tc>
          <w:tcPr>
            <w:tcW w:w="22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3.69</w:t>
            </w:r>
          </w:p>
        </w:tc>
      </w:tr>
      <w:tr>
        <w:trPr>
          <w:trHeight w:val="168"/>
        </w:trPr>
        <w:tc>
          <w:tcPr>
            <w:tcW w:w="6820" w:type="dxa"/>
            <w:vAlign w:val="bottom"/>
          </w:tcPr>
          <w:p>
            <w:pPr>
              <w:ind w:left="20"/>
              <w:spacing w:after="0"/>
              <w:rPr>
                <w:sz w:val="20"/>
                <w:szCs w:val="20"/>
                <w:color w:val="auto"/>
              </w:rPr>
            </w:pPr>
            <w:r>
              <w:rPr>
                <w:rFonts w:ascii="Arial" w:cs="Arial" w:eastAsia="Arial" w:hAnsi="Arial"/>
                <w:sz w:val="13"/>
                <w:szCs w:val="13"/>
                <w:color w:val="auto"/>
              </w:rPr>
              <w:t>Weighted-average discount rate:</w:t>
            </w:r>
          </w:p>
        </w:tc>
        <w:tc>
          <w:tcPr>
            <w:tcW w:w="2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0" w:type="dxa"/>
            <w:vAlign w:val="bottom"/>
          </w:tcPr>
          <w:p>
            <w:pPr>
              <w:spacing w:after="0"/>
              <w:rPr>
                <w:sz w:val="14"/>
                <w:szCs w:val="14"/>
                <w:color w:val="auto"/>
              </w:rPr>
            </w:pPr>
          </w:p>
        </w:tc>
      </w:tr>
      <w:tr>
        <w:trPr>
          <w:trHeight w:val="172"/>
        </w:trPr>
        <w:tc>
          <w:tcPr>
            <w:tcW w:w="68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Operating leases</w:t>
            </w:r>
          </w:p>
        </w:tc>
        <w:tc>
          <w:tcPr>
            <w:tcW w:w="21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3.92%</w:t>
            </w:r>
          </w:p>
        </w:tc>
        <w:tc>
          <w:tcPr>
            <w:tcW w:w="80" w:type="dxa"/>
            <w:vAlign w:val="bottom"/>
            <w:shd w:val="clear" w:color="auto" w:fill="CCEEFF"/>
          </w:tcPr>
          <w:p>
            <w:pPr>
              <w:spacing w:after="0"/>
              <w:rPr>
                <w:sz w:val="14"/>
                <w:szCs w:val="14"/>
                <w:color w:val="auto"/>
              </w:rPr>
            </w:pPr>
          </w:p>
        </w:tc>
        <w:tc>
          <w:tcPr>
            <w:tcW w:w="22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4.53%</w:t>
            </w:r>
          </w:p>
        </w:tc>
      </w:tr>
      <w:tr>
        <w:trPr>
          <w:trHeight w:val="165"/>
        </w:trPr>
        <w:tc>
          <w:tcPr>
            <w:tcW w:w="6820" w:type="dxa"/>
            <w:vAlign w:val="bottom"/>
          </w:tcPr>
          <w:p>
            <w:pPr>
              <w:ind w:left="120"/>
              <w:spacing w:after="0"/>
              <w:rPr>
                <w:sz w:val="20"/>
                <w:szCs w:val="20"/>
                <w:color w:val="auto"/>
              </w:rPr>
            </w:pPr>
            <w:r>
              <w:rPr>
                <w:rFonts w:ascii="Arial" w:cs="Arial" w:eastAsia="Arial" w:hAnsi="Arial"/>
                <w:sz w:val="13"/>
                <w:szCs w:val="13"/>
                <w:color w:val="auto"/>
              </w:rPr>
              <w:t>Finance leases</w:t>
            </w:r>
          </w:p>
        </w:tc>
        <w:tc>
          <w:tcPr>
            <w:tcW w:w="2180" w:type="dxa"/>
            <w:vAlign w:val="bottom"/>
          </w:tcPr>
          <w:p>
            <w:pPr>
              <w:jc w:val="center"/>
              <w:spacing w:after="0"/>
              <w:rPr>
                <w:sz w:val="20"/>
                <w:szCs w:val="20"/>
                <w:color w:val="auto"/>
              </w:rPr>
            </w:pPr>
            <w:r>
              <w:rPr>
                <w:rFonts w:ascii="Arial" w:cs="Arial" w:eastAsia="Arial" w:hAnsi="Arial"/>
                <w:sz w:val="13"/>
                <w:szCs w:val="13"/>
                <w:color w:val="auto"/>
                <w:w w:val="92"/>
              </w:rPr>
              <w:t>3.32%</w:t>
            </w:r>
          </w:p>
        </w:tc>
        <w:tc>
          <w:tcPr>
            <w:tcW w:w="80" w:type="dxa"/>
            <w:vAlign w:val="bottom"/>
          </w:tcPr>
          <w:p>
            <w:pPr>
              <w:spacing w:after="0"/>
              <w:rPr>
                <w:sz w:val="14"/>
                <w:szCs w:val="14"/>
                <w:color w:val="auto"/>
              </w:rPr>
            </w:pPr>
          </w:p>
        </w:tc>
        <w:tc>
          <w:tcPr>
            <w:tcW w:w="2200" w:type="dxa"/>
            <w:vAlign w:val="bottom"/>
          </w:tcPr>
          <w:p>
            <w:pPr>
              <w:jc w:val="center"/>
              <w:spacing w:after="0"/>
              <w:rPr>
                <w:sz w:val="20"/>
                <w:szCs w:val="20"/>
                <w:color w:val="auto"/>
              </w:rPr>
            </w:pPr>
            <w:r>
              <w:rPr>
                <w:rFonts w:ascii="Arial" w:cs="Arial" w:eastAsia="Arial" w:hAnsi="Arial"/>
                <w:sz w:val="13"/>
                <w:szCs w:val="13"/>
                <w:color w:val="auto"/>
                <w:w w:val="86"/>
              </w:rPr>
              <w:t>5.08%</w:t>
            </w:r>
          </w:p>
        </w:tc>
      </w:tr>
    </w:tbl>
    <w:p>
      <w:pPr>
        <w:spacing w:after="0" w:line="12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Supplemental cash flow information related to leases is as follows (in thousands):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6820" w:type="dxa"/>
            <w:vAlign w:val="bottom"/>
          </w:tcPr>
          <w:p>
            <w:pPr>
              <w:spacing w:after="0"/>
              <w:rPr>
                <w:sz w:val="13"/>
                <w:szCs w:val="13"/>
                <w:color w:val="auto"/>
              </w:rPr>
            </w:pPr>
          </w:p>
        </w:tc>
        <w:tc>
          <w:tcPr>
            <w:tcW w:w="16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3"/>
          </w:tcPr>
          <w:p>
            <w:pPr>
              <w:jc w:val="right"/>
              <w:ind w:right="136"/>
              <w:spacing w:after="0"/>
              <w:rPr>
                <w:sz w:val="20"/>
                <w:szCs w:val="20"/>
                <w:color w:val="auto"/>
              </w:rPr>
            </w:pPr>
            <w:r>
              <w:rPr>
                <w:rFonts w:ascii="Arial" w:cs="Arial" w:eastAsia="Arial" w:hAnsi="Arial"/>
                <w:sz w:val="11"/>
                <w:szCs w:val="11"/>
                <w:b w:val="1"/>
                <w:bCs w:val="1"/>
                <w:color w:val="auto"/>
              </w:rPr>
              <w:t>Year Ended</w:t>
            </w:r>
          </w:p>
        </w:tc>
        <w:tc>
          <w:tcPr>
            <w:tcW w:w="1740" w:type="dxa"/>
            <w:vAlign w:val="bottom"/>
            <w:tcBorders>
              <w:bottom w:val="single" w:sz="8" w:color="auto"/>
            </w:tcBorders>
          </w:tcPr>
          <w:p>
            <w:pPr>
              <w:spacing w:after="0"/>
              <w:rPr>
                <w:sz w:val="13"/>
                <w:szCs w:val="13"/>
                <w:color w:val="auto"/>
              </w:rPr>
            </w:pPr>
          </w:p>
        </w:tc>
      </w:tr>
      <w:tr>
        <w:trPr>
          <w:trHeight w:val="142"/>
        </w:trPr>
        <w:tc>
          <w:tcPr>
            <w:tcW w:w="6820" w:type="dxa"/>
            <w:vAlign w:val="bottom"/>
            <w:tcBorders>
              <w:bottom w:val="single" w:sz="8" w:color="CCEEFF"/>
            </w:tcBorders>
          </w:tcPr>
          <w:p>
            <w:pPr>
              <w:spacing w:after="0"/>
              <w:rPr>
                <w:sz w:val="12"/>
                <w:szCs w:val="12"/>
                <w:color w:val="auto"/>
              </w:rPr>
            </w:pPr>
          </w:p>
        </w:tc>
        <w:tc>
          <w:tcPr>
            <w:tcW w:w="1640" w:type="dxa"/>
            <w:vAlign w:val="bottom"/>
            <w:tcBorders>
              <w:bottom w:val="single" w:sz="8" w:color="auto"/>
            </w:tcBorders>
          </w:tcPr>
          <w:p>
            <w:pPr>
              <w:jc w:val="right"/>
              <w:ind w:right="39"/>
              <w:spacing w:after="0"/>
              <w:rPr>
                <w:sz w:val="20"/>
                <w:szCs w:val="20"/>
                <w:color w:val="auto"/>
              </w:rPr>
            </w:pPr>
            <w:r>
              <w:rPr>
                <w:rFonts w:ascii="Arial" w:cs="Arial" w:eastAsia="Arial" w:hAnsi="Arial"/>
                <w:sz w:val="11"/>
                <w:szCs w:val="11"/>
                <w:b w:val="1"/>
                <w:bCs w:val="1"/>
                <w:color w:val="auto"/>
              </w:rPr>
              <w:t>December 26, 2021</w:t>
            </w:r>
          </w:p>
        </w:tc>
        <w:tc>
          <w:tcPr>
            <w:tcW w:w="54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tcPr>
          <w:p>
            <w:pPr>
              <w:jc w:val="right"/>
              <w:ind w:right="578"/>
              <w:spacing w:after="0"/>
              <w:rPr>
                <w:sz w:val="20"/>
                <w:szCs w:val="20"/>
                <w:color w:val="auto"/>
              </w:rPr>
            </w:pPr>
            <w:r>
              <w:rPr>
                <w:rFonts w:ascii="Arial" w:cs="Arial" w:eastAsia="Arial" w:hAnsi="Arial"/>
                <w:sz w:val="11"/>
                <w:szCs w:val="11"/>
                <w:b w:val="1"/>
                <w:bCs w:val="1"/>
                <w:color w:val="auto"/>
              </w:rPr>
              <w:t>December 27, 2020</w:t>
            </w:r>
          </w:p>
        </w:tc>
      </w:tr>
      <w:tr>
        <w:trPr>
          <w:trHeight w:val="151"/>
        </w:trPr>
        <w:tc>
          <w:tcPr>
            <w:tcW w:w="6820" w:type="dxa"/>
            <w:vAlign w:val="bottom"/>
            <w:shd w:val="clear" w:color="auto" w:fill="CCEEFF"/>
          </w:tcPr>
          <w:p>
            <w:pPr>
              <w:ind w:left="20"/>
              <w:spacing w:after="0" w:line="146" w:lineRule="exact"/>
              <w:rPr>
                <w:sz w:val="20"/>
                <w:szCs w:val="20"/>
                <w:color w:val="auto"/>
              </w:rPr>
            </w:pPr>
            <w:r>
              <w:rPr>
                <w:rFonts w:ascii="Arial" w:cs="Arial" w:eastAsia="Arial" w:hAnsi="Arial"/>
                <w:sz w:val="13"/>
                <w:szCs w:val="13"/>
                <w:color w:val="auto"/>
              </w:rPr>
              <w:t>Cash paid for amounts included in the measurement of lease liabilities:</w:t>
            </w:r>
          </w:p>
        </w:tc>
        <w:tc>
          <w:tcPr>
            <w:tcW w:w="16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740" w:type="dxa"/>
            <w:vAlign w:val="bottom"/>
            <w:shd w:val="clear" w:color="auto" w:fill="CCEEFF"/>
          </w:tcPr>
          <w:p>
            <w:pPr>
              <w:spacing w:after="0"/>
              <w:rPr>
                <w:sz w:val="13"/>
                <w:szCs w:val="13"/>
                <w:color w:val="auto"/>
              </w:rPr>
            </w:pPr>
          </w:p>
        </w:tc>
      </w:tr>
      <w:tr>
        <w:trPr>
          <w:trHeight w:val="168"/>
        </w:trPr>
        <w:tc>
          <w:tcPr>
            <w:tcW w:w="6820" w:type="dxa"/>
            <w:vAlign w:val="bottom"/>
          </w:tcPr>
          <w:p>
            <w:pPr>
              <w:ind w:left="120"/>
              <w:spacing w:after="0"/>
              <w:rPr>
                <w:sz w:val="20"/>
                <w:szCs w:val="20"/>
                <w:color w:val="auto"/>
              </w:rPr>
            </w:pPr>
            <w:r>
              <w:rPr>
                <w:rFonts w:ascii="Arial" w:cs="Arial" w:eastAsia="Arial" w:hAnsi="Arial"/>
                <w:sz w:val="13"/>
                <w:szCs w:val="13"/>
                <w:color w:val="auto"/>
              </w:rPr>
              <w:t>Operating cash flows - operating leases</w:t>
            </w:r>
          </w:p>
        </w:tc>
        <w:tc>
          <w:tcPr>
            <w:tcW w:w="1640" w:type="dxa"/>
            <w:vAlign w:val="bottom"/>
          </w:tcPr>
          <w:p>
            <w:pPr>
              <w:jc w:val="right"/>
              <w:ind w:right="1499"/>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77,113</w:t>
            </w:r>
          </w:p>
        </w:tc>
        <w:tc>
          <w:tcPr>
            <w:tcW w:w="80" w:type="dxa"/>
            <w:vAlign w:val="bottom"/>
          </w:tcPr>
          <w:p>
            <w:pPr>
              <w:spacing w:after="0"/>
              <w:rPr>
                <w:sz w:val="14"/>
                <w:szCs w:val="14"/>
                <w:color w:val="auto"/>
              </w:rPr>
            </w:pPr>
          </w:p>
        </w:tc>
        <w:tc>
          <w:tcPr>
            <w:tcW w:w="460" w:type="dxa"/>
            <w:vAlign w:val="bottom"/>
          </w:tcPr>
          <w:p>
            <w:pPr>
              <w:jc w:val="right"/>
              <w:ind w:right="316"/>
              <w:spacing w:after="0"/>
              <w:rPr>
                <w:sz w:val="20"/>
                <w:szCs w:val="20"/>
                <w:color w:val="auto"/>
              </w:rPr>
            </w:pPr>
            <w:r>
              <w:rPr>
                <w:rFonts w:ascii="Arial" w:cs="Arial" w:eastAsia="Arial" w:hAnsi="Arial"/>
                <w:sz w:val="13"/>
                <w:szCs w:val="13"/>
                <w:color w:val="auto"/>
                <w:w w:val="82"/>
              </w:rPr>
              <w:t>$</w:t>
            </w:r>
          </w:p>
        </w:tc>
        <w:tc>
          <w:tcPr>
            <w:tcW w:w="1740" w:type="dxa"/>
            <w:vAlign w:val="bottom"/>
          </w:tcPr>
          <w:p>
            <w:pPr>
              <w:jc w:val="right"/>
              <w:spacing w:after="0"/>
              <w:rPr>
                <w:sz w:val="20"/>
                <w:szCs w:val="20"/>
                <w:color w:val="auto"/>
              </w:rPr>
            </w:pPr>
            <w:r>
              <w:rPr>
                <w:rFonts w:ascii="Arial" w:cs="Arial" w:eastAsia="Arial" w:hAnsi="Arial"/>
                <w:sz w:val="13"/>
                <w:szCs w:val="13"/>
                <w:color w:val="auto"/>
              </w:rPr>
              <w:t>91,254</w:t>
            </w:r>
          </w:p>
        </w:tc>
      </w:tr>
      <w:tr>
        <w:trPr>
          <w:trHeight w:val="172"/>
        </w:trPr>
        <w:tc>
          <w:tcPr>
            <w:tcW w:w="68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Operating cash flows - finance leases</w:t>
            </w:r>
          </w:p>
        </w:tc>
        <w:tc>
          <w:tcPr>
            <w:tcW w:w="16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r>
      <w:tr>
        <w:trPr>
          <w:trHeight w:val="168"/>
        </w:trPr>
        <w:tc>
          <w:tcPr>
            <w:tcW w:w="6820" w:type="dxa"/>
            <w:vAlign w:val="bottom"/>
          </w:tcPr>
          <w:p>
            <w:pPr>
              <w:ind w:left="120"/>
              <w:spacing w:after="0"/>
              <w:rPr>
                <w:sz w:val="20"/>
                <w:szCs w:val="20"/>
                <w:color w:val="auto"/>
              </w:rPr>
            </w:pPr>
            <w:r>
              <w:rPr>
                <w:rFonts w:ascii="Arial" w:cs="Arial" w:eastAsia="Arial" w:hAnsi="Arial"/>
                <w:sz w:val="13"/>
                <w:szCs w:val="13"/>
                <w:color w:val="auto"/>
              </w:rPr>
              <w:t>Financing cash flows - finance leases</w:t>
            </w:r>
          </w:p>
        </w:tc>
        <w:tc>
          <w:tcPr>
            <w:tcW w:w="16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76</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Arial" w:cs="Arial" w:eastAsia="Arial" w:hAnsi="Arial"/>
                <w:sz w:val="13"/>
                <w:szCs w:val="13"/>
                <w:color w:val="auto"/>
              </w:rPr>
              <w:t>486</w:t>
            </w:r>
          </w:p>
        </w:tc>
      </w:tr>
      <w:tr>
        <w:trPr>
          <w:trHeight w:val="76"/>
        </w:trPr>
        <w:tc>
          <w:tcPr>
            <w:tcW w:w="6820" w:type="dxa"/>
            <w:vAlign w:val="bottom"/>
            <w:shd w:val="clear" w:color="auto" w:fill="CCEEFF"/>
          </w:tcPr>
          <w:p>
            <w:pPr>
              <w:spacing w:after="0"/>
              <w:rPr>
                <w:sz w:val="6"/>
                <w:szCs w:val="6"/>
                <w:color w:val="auto"/>
              </w:rPr>
            </w:pPr>
          </w:p>
        </w:tc>
        <w:tc>
          <w:tcPr>
            <w:tcW w:w="164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1740" w:type="dxa"/>
            <w:vAlign w:val="bottom"/>
            <w:shd w:val="clear" w:color="auto" w:fill="CCEEFF"/>
          </w:tcPr>
          <w:p>
            <w:pPr>
              <w:spacing w:after="0"/>
              <w:rPr>
                <w:sz w:val="6"/>
                <w:szCs w:val="6"/>
                <w:color w:val="auto"/>
              </w:rPr>
            </w:pPr>
          </w:p>
        </w:tc>
      </w:tr>
      <w:tr>
        <w:trPr>
          <w:trHeight w:val="168"/>
        </w:trPr>
        <w:tc>
          <w:tcPr>
            <w:tcW w:w="6820" w:type="dxa"/>
            <w:vAlign w:val="bottom"/>
          </w:tcPr>
          <w:p>
            <w:pPr>
              <w:ind w:left="20"/>
              <w:spacing w:after="0"/>
              <w:rPr>
                <w:sz w:val="20"/>
                <w:szCs w:val="20"/>
                <w:color w:val="auto"/>
              </w:rPr>
            </w:pPr>
            <w:r>
              <w:rPr>
                <w:rFonts w:ascii="Arial" w:cs="Arial" w:eastAsia="Arial" w:hAnsi="Arial"/>
                <w:sz w:val="13"/>
                <w:szCs w:val="13"/>
                <w:color w:val="auto"/>
              </w:rPr>
              <w:t>Operating lease assets obtained in exchange for operating lease liabilities</w:t>
            </w:r>
          </w:p>
        </w:tc>
        <w:tc>
          <w:tcPr>
            <w:tcW w:w="1640" w:type="dxa"/>
            <w:vAlign w:val="bottom"/>
          </w:tcPr>
          <w:p>
            <w:pPr>
              <w:jc w:val="right"/>
              <w:ind w:right="1499"/>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spacing w:after="0"/>
              <w:rPr>
                <w:sz w:val="20"/>
                <w:szCs w:val="20"/>
                <w:color w:val="auto"/>
              </w:rPr>
            </w:pPr>
            <w:r>
              <w:rPr>
                <w:rFonts w:ascii="Arial" w:cs="Arial" w:eastAsia="Arial" w:hAnsi="Arial"/>
                <w:sz w:val="13"/>
                <w:szCs w:val="13"/>
                <w:color w:val="auto"/>
                <w:w w:val="97"/>
              </w:rPr>
              <w:t>144,028</w:t>
            </w:r>
          </w:p>
        </w:tc>
        <w:tc>
          <w:tcPr>
            <w:tcW w:w="80" w:type="dxa"/>
            <w:vAlign w:val="bottom"/>
          </w:tcPr>
          <w:p>
            <w:pPr>
              <w:spacing w:after="0"/>
              <w:rPr>
                <w:sz w:val="14"/>
                <w:szCs w:val="14"/>
                <w:color w:val="auto"/>
              </w:rPr>
            </w:pPr>
          </w:p>
        </w:tc>
        <w:tc>
          <w:tcPr>
            <w:tcW w:w="460" w:type="dxa"/>
            <w:vAlign w:val="bottom"/>
          </w:tcPr>
          <w:p>
            <w:pPr>
              <w:jc w:val="right"/>
              <w:ind w:right="316"/>
              <w:spacing w:after="0"/>
              <w:rPr>
                <w:sz w:val="20"/>
                <w:szCs w:val="20"/>
                <w:color w:val="auto"/>
              </w:rPr>
            </w:pPr>
            <w:r>
              <w:rPr>
                <w:rFonts w:ascii="Arial" w:cs="Arial" w:eastAsia="Arial" w:hAnsi="Arial"/>
                <w:sz w:val="13"/>
                <w:szCs w:val="13"/>
                <w:color w:val="auto"/>
                <w:w w:val="82"/>
              </w:rPr>
              <w:t>$</w:t>
            </w:r>
          </w:p>
        </w:tc>
        <w:tc>
          <w:tcPr>
            <w:tcW w:w="1740" w:type="dxa"/>
            <w:vAlign w:val="bottom"/>
          </w:tcPr>
          <w:p>
            <w:pPr>
              <w:jc w:val="right"/>
              <w:spacing w:after="0"/>
              <w:rPr>
                <w:sz w:val="20"/>
                <w:szCs w:val="20"/>
                <w:color w:val="auto"/>
              </w:rPr>
            </w:pPr>
            <w:r>
              <w:rPr>
                <w:rFonts w:ascii="Arial" w:cs="Arial" w:eastAsia="Arial" w:hAnsi="Arial"/>
                <w:sz w:val="13"/>
                <w:szCs w:val="13"/>
                <w:color w:val="auto"/>
              </w:rPr>
              <w:t>60,776</w:t>
            </w:r>
          </w:p>
        </w:tc>
      </w:tr>
      <w:tr>
        <w:trPr>
          <w:trHeight w:val="172"/>
        </w:trPr>
        <w:tc>
          <w:tcPr>
            <w:tcW w:w="6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Finance lease assets obtained in exchange for finance lease liabilities</w:t>
            </w:r>
          </w:p>
        </w:tc>
        <w:tc>
          <w:tcPr>
            <w:tcW w:w="16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3,527</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bl>
    <w:p>
      <w:pPr>
        <w:spacing w:after="0" w:line="11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Future minimum lease payments under noncancelable leases as of December 26, 2021 are as follows (in thousands):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6800" w:type="dxa"/>
            <w:vAlign w:val="bottom"/>
            <w:tcBorders>
              <w:bottom w:val="single" w:sz="8" w:color="CCEEFF"/>
            </w:tcBorders>
          </w:tcPr>
          <w:p>
            <w:pPr>
              <w:spacing w:after="0"/>
              <w:rPr>
                <w:sz w:val="13"/>
                <w:szCs w:val="13"/>
                <w:color w:val="auto"/>
              </w:rPr>
            </w:pPr>
          </w:p>
        </w:tc>
        <w:tc>
          <w:tcPr>
            <w:tcW w:w="1620" w:type="dxa"/>
            <w:vAlign w:val="bottom"/>
            <w:tcBorders>
              <w:bottom w:val="single" w:sz="8" w:color="auto"/>
            </w:tcBorders>
          </w:tcPr>
          <w:p>
            <w:pPr>
              <w:jc w:val="right"/>
              <w:ind w:right="39"/>
              <w:spacing w:after="0"/>
              <w:rPr>
                <w:sz w:val="20"/>
                <w:szCs w:val="20"/>
                <w:color w:val="auto"/>
              </w:rPr>
            </w:pPr>
            <w:r>
              <w:rPr>
                <w:rFonts w:ascii="Arial" w:cs="Arial" w:eastAsia="Arial" w:hAnsi="Arial"/>
                <w:sz w:val="11"/>
                <w:szCs w:val="11"/>
                <w:b w:val="1"/>
                <w:bCs w:val="1"/>
                <w:color w:val="auto"/>
              </w:rPr>
              <w:t>Operating Leases</w:t>
            </w:r>
          </w:p>
        </w:tc>
        <w:tc>
          <w:tcPr>
            <w:tcW w:w="58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tcPr>
          <w:p>
            <w:pPr>
              <w:jc w:val="right"/>
              <w:ind w:right="657"/>
              <w:spacing w:after="0"/>
              <w:rPr>
                <w:sz w:val="20"/>
                <w:szCs w:val="20"/>
                <w:color w:val="auto"/>
              </w:rPr>
            </w:pPr>
            <w:r>
              <w:rPr>
                <w:rFonts w:ascii="Arial" w:cs="Arial" w:eastAsia="Arial" w:hAnsi="Arial"/>
                <w:sz w:val="11"/>
                <w:szCs w:val="11"/>
                <w:b w:val="1"/>
                <w:bCs w:val="1"/>
                <w:color w:val="auto"/>
              </w:rPr>
              <w:t>Finance Leases</w:t>
            </w:r>
          </w:p>
        </w:tc>
      </w:tr>
      <w:tr>
        <w:trPr>
          <w:trHeight w:val="154"/>
        </w:trPr>
        <w:tc>
          <w:tcPr>
            <w:tcW w:w="6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For the fiscal years ending December:</w:t>
            </w:r>
          </w:p>
        </w:tc>
        <w:tc>
          <w:tcPr>
            <w:tcW w:w="16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780" w:type="dxa"/>
            <w:vAlign w:val="bottom"/>
            <w:shd w:val="clear" w:color="auto" w:fill="CCEEFF"/>
          </w:tcPr>
          <w:p>
            <w:pPr>
              <w:spacing w:after="0"/>
              <w:rPr>
                <w:sz w:val="13"/>
                <w:szCs w:val="13"/>
                <w:color w:val="auto"/>
              </w:rPr>
            </w:pPr>
          </w:p>
        </w:tc>
      </w:tr>
      <w:tr>
        <w:trPr>
          <w:trHeight w:val="168"/>
        </w:trPr>
        <w:tc>
          <w:tcPr>
            <w:tcW w:w="6800" w:type="dxa"/>
            <w:vAlign w:val="bottom"/>
          </w:tcPr>
          <w:p>
            <w:pPr>
              <w:ind w:left="20"/>
              <w:spacing w:after="0"/>
              <w:rPr>
                <w:sz w:val="20"/>
                <w:szCs w:val="20"/>
                <w:color w:val="auto"/>
              </w:rPr>
            </w:pPr>
            <w:r>
              <w:rPr>
                <w:rFonts w:ascii="Arial" w:cs="Arial" w:eastAsia="Arial" w:hAnsi="Arial"/>
                <w:sz w:val="13"/>
                <w:szCs w:val="13"/>
                <w:color w:val="auto"/>
              </w:rPr>
              <w:t>2022</w:t>
            </w:r>
          </w:p>
        </w:tc>
        <w:tc>
          <w:tcPr>
            <w:tcW w:w="1620" w:type="dxa"/>
            <w:vAlign w:val="bottom"/>
          </w:tcPr>
          <w:p>
            <w:pPr>
              <w:jc w:val="right"/>
              <w:ind w:right="1479"/>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102,390</w:t>
            </w:r>
          </w:p>
        </w:tc>
        <w:tc>
          <w:tcPr>
            <w:tcW w:w="80" w:type="dxa"/>
            <w:vAlign w:val="bottom"/>
          </w:tcPr>
          <w:p>
            <w:pPr>
              <w:spacing w:after="0"/>
              <w:rPr>
                <w:sz w:val="14"/>
                <w:szCs w:val="14"/>
                <w:color w:val="auto"/>
              </w:rPr>
            </w:pPr>
          </w:p>
        </w:tc>
        <w:tc>
          <w:tcPr>
            <w:tcW w:w="420" w:type="dxa"/>
            <w:vAlign w:val="bottom"/>
          </w:tcPr>
          <w:p>
            <w:pPr>
              <w:jc w:val="right"/>
              <w:ind w:right="276"/>
              <w:spacing w:after="0"/>
              <w:rPr>
                <w:sz w:val="20"/>
                <w:szCs w:val="20"/>
                <w:color w:val="auto"/>
              </w:rPr>
            </w:pPr>
            <w:r>
              <w:rPr>
                <w:rFonts w:ascii="Arial" w:cs="Arial" w:eastAsia="Arial" w:hAnsi="Arial"/>
                <w:sz w:val="13"/>
                <w:szCs w:val="13"/>
                <w:color w:val="auto"/>
                <w:w w:val="82"/>
              </w:rPr>
              <w:t>$</w:t>
            </w:r>
          </w:p>
        </w:tc>
        <w:tc>
          <w:tcPr>
            <w:tcW w:w="1780" w:type="dxa"/>
            <w:vAlign w:val="bottom"/>
          </w:tcPr>
          <w:p>
            <w:pPr>
              <w:jc w:val="right"/>
              <w:spacing w:after="0"/>
              <w:rPr>
                <w:sz w:val="20"/>
                <w:szCs w:val="20"/>
                <w:color w:val="auto"/>
              </w:rPr>
            </w:pPr>
            <w:r>
              <w:rPr>
                <w:rFonts w:ascii="Arial" w:cs="Arial" w:eastAsia="Arial" w:hAnsi="Arial"/>
                <w:sz w:val="13"/>
                <w:szCs w:val="13"/>
                <w:color w:val="auto"/>
              </w:rPr>
              <w:t>1,064</w:t>
            </w:r>
          </w:p>
        </w:tc>
      </w:tr>
      <w:tr>
        <w:trPr>
          <w:trHeight w:val="172"/>
        </w:trPr>
        <w:tc>
          <w:tcPr>
            <w:tcW w:w="6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2023</w:t>
            </w:r>
          </w:p>
        </w:tc>
        <w:tc>
          <w:tcPr>
            <w:tcW w:w="16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75,822</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1,057</w:t>
            </w:r>
          </w:p>
        </w:tc>
      </w:tr>
      <w:tr>
        <w:trPr>
          <w:trHeight w:val="168"/>
        </w:trPr>
        <w:tc>
          <w:tcPr>
            <w:tcW w:w="6800" w:type="dxa"/>
            <w:vAlign w:val="bottom"/>
          </w:tcPr>
          <w:p>
            <w:pPr>
              <w:ind w:left="20"/>
              <w:spacing w:after="0"/>
              <w:rPr>
                <w:sz w:val="20"/>
                <w:szCs w:val="20"/>
                <w:color w:val="auto"/>
              </w:rPr>
            </w:pPr>
            <w:r>
              <w:rPr>
                <w:rFonts w:ascii="Arial" w:cs="Arial" w:eastAsia="Arial" w:hAnsi="Arial"/>
                <w:sz w:val="13"/>
                <w:szCs w:val="13"/>
                <w:color w:val="auto"/>
              </w:rPr>
              <w:t>2024</w:t>
            </w:r>
          </w:p>
        </w:tc>
        <w:tc>
          <w:tcPr>
            <w:tcW w:w="16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60,196</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780" w:type="dxa"/>
            <w:vAlign w:val="bottom"/>
          </w:tcPr>
          <w:p>
            <w:pPr>
              <w:jc w:val="right"/>
              <w:spacing w:after="0"/>
              <w:rPr>
                <w:sz w:val="20"/>
                <w:szCs w:val="20"/>
                <w:color w:val="auto"/>
              </w:rPr>
            </w:pPr>
            <w:r>
              <w:rPr>
                <w:rFonts w:ascii="Arial" w:cs="Arial" w:eastAsia="Arial" w:hAnsi="Arial"/>
                <w:sz w:val="13"/>
                <w:szCs w:val="13"/>
                <w:color w:val="auto"/>
              </w:rPr>
              <w:t>908</w:t>
            </w:r>
          </w:p>
        </w:tc>
      </w:tr>
      <w:tr>
        <w:trPr>
          <w:trHeight w:val="172"/>
        </w:trPr>
        <w:tc>
          <w:tcPr>
            <w:tcW w:w="6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2025</w:t>
            </w:r>
          </w:p>
        </w:tc>
        <w:tc>
          <w:tcPr>
            <w:tcW w:w="16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46,991</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563</w:t>
            </w:r>
          </w:p>
        </w:tc>
      </w:tr>
      <w:tr>
        <w:trPr>
          <w:trHeight w:val="168"/>
        </w:trPr>
        <w:tc>
          <w:tcPr>
            <w:tcW w:w="6800" w:type="dxa"/>
            <w:vAlign w:val="bottom"/>
          </w:tcPr>
          <w:p>
            <w:pPr>
              <w:ind w:left="20"/>
              <w:spacing w:after="0"/>
              <w:rPr>
                <w:sz w:val="20"/>
                <w:szCs w:val="20"/>
                <w:color w:val="auto"/>
              </w:rPr>
            </w:pPr>
            <w:r>
              <w:rPr>
                <w:rFonts w:ascii="Arial" w:cs="Arial" w:eastAsia="Arial" w:hAnsi="Arial"/>
                <w:sz w:val="13"/>
                <w:szCs w:val="13"/>
                <w:color w:val="auto"/>
              </w:rPr>
              <w:t>2026</w:t>
            </w:r>
          </w:p>
        </w:tc>
        <w:tc>
          <w:tcPr>
            <w:tcW w:w="16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34,034</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780" w:type="dxa"/>
            <w:vAlign w:val="bottom"/>
          </w:tcPr>
          <w:p>
            <w:pPr>
              <w:jc w:val="right"/>
              <w:spacing w:after="0"/>
              <w:rPr>
                <w:sz w:val="20"/>
                <w:szCs w:val="20"/>
                <w:color w:val="auto"/>
              </w:rPr>
            </w:pPr>
            <w:r>
              <w:rPr>
                <w:rFonts w:ascii="Arial" w:cs="Arial" w:eastAsia="Arial" w:hAnsi="Arial"/>
                <w:sz w:val="13"/>
                <w:szCs w:val="13"/>
                <w:color w:val="auto"/>
              </w:rPr>
              <w:t>554</w:t>
            </w:r>
          </w:p>
        </w:tc>
      </w:tr>
      <w:tr>
        <w:trPr>
          <w:trHeight w:val="172"/>
        </w:trPr>
        <w:tc>
          <w:tcPr>
            <w:tcW w:w="6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Thereafter</w:t>
            </w:r>
          </w:p>
        </w:tc>
        <w:tc>
          <w:tcPr>
            <w:tcW w:w="162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71,230</w:t>
            </w:r>
          </w:p>
        </w:tc>
        <w:tc>
          <w:tcPr>
            <w:tcW w:w="8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779</w:t>
            </w:r>
          </w:p>
        </w:tc>
      </w:tr>
      <w:tr>
        <w:trPr>
          <w:trHeight w:val="158"/>
        </w:trPr>
        <w:tc>
          <w:tcPr>
            <w:tcW w:w="6800" w:type="dxa"/>
            <w:vAlign w:val="bottom"/>
          </w:tcPr>
          <w:p>
            <w:pPr>
              <w:ind w:left="120"/>
              <w:spacing w:after="0"/>
              <w:rPr>
                <w:sz w:val="20"/>
                <w:szCs w:val="20"/>
                <w:color w:val="auto"/>
              </w:rPr>
            </w:pPr>
            <w:r>
              <w:rPr>
                <w:rFonts w:ascii="Arial" w:cs="Arial" w:eastAsia="Arial" w:hAnsi="Arial"/>
                <w:sz w:val="13"/>
                <w:szCs w:val="13"/>
                <w:color w:val="auto"/>
              </w:rPr>
              <w:t>Total future minimum lease payments</w:t>
            </w:r>
          </w:p>
        </w:tc>
        <w:tc>
          <w:tcPr>
            <w:tcW w:w="16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390,663</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780" w:type="dxa"/>
            <w:vAlign w:val="bottom"/>
          </w:tcPr>
          <w:p>
            <w:pPr>
              <w:jc w:val="right"/>
              <w:spacing w:after="0"/>
              <w:rPr>
                <w:sz w:val="20"/>
                <w:szCs w:val="20"/>
                <w:color w:val="auto"/>
              </w:rPr>
            </w:pPr>
            <w:r>
              <w:rPr>
                <w:rFonts w:ascii="Arial" w:cs="Arial" w:eastAsia="Arial" w:hAnsi="Arial"/>
                <w:sz w:val="13"/>
                <w:szCs w:val="13"/>
                <w:color w:val="auto"/>
              </w:rPr>
              <w:t>4,925</w:t>
            </w:r>
          </w:p>
        </w:tc>
      </w:tr>
      <w:tr>
        <w:trPr>
          <w:trHeight w:val="170"/>
        </w:trPr>
        <w:tc>
          <w:tcPr>
            <w:tcW w:w="6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Less: imputed interest</w:t>
            </w:r>
          </w:p>
        </w:tc>
        <w:tc>
          <w:tcPr>
            <w:tcW w:w="162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(36,350)</w:t>
            </w:r>
          </w:p>
        </w:tc>
        <w:tc>
          <w:tcPr>
            <w:tcW w:w="8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(377)</w:t>
            </w:r>
          </w:p>
        </w:tc>
      </w:tr>
      <w:tr>
        <w:trPr>
          <w:trHeight w:val="163"/>
        </w:trPr>
        <w:tc>
          <w:tcPr>
            <w:tcW w:w="6800" w:type="dxa"/>
            <w:vAlign w:val="bottom"/>
          </w:tcPr>
          <w:p>
            <w:pPr>
              <w:ind w:left="120"/>
              <w:spacing w:after="0"/>
              <w:rPr>
                <w:sz w:val="20"/>
                <w:szCs w:val="20"/>
                <w:color w:val="auto"/>
              </w:rPr>
            </w:pPr>
            <w:r>
              <w:rPr>
                <w:rFonts w:ascii="Arial" w:cs="Arial" w:eastAsia="Arial" w:hAnsi="Arial"/>
                <w:sz w:val="13"/>
                <w:szCs w:val="13"/>
                <w:color w:val="auto"/>
              </w:rPr>
              <w:t>Present value of lease liabilities</w:t>
            </w:r>
          </w:p>
        </w:tc>
        <w:tc>
          <w:tcPr>
            <w:tcW w:w="1620" w:type="dxa"/>
            <w:vAlign w:val="bottom"/>
            <w:tcBorders>
              <w:bottom w:val="single" w:sz="8" w:color="auto"/>
            </w:tcBorders>
          </w:tcPr>
          <w:p>
            <w:pPr>
              <w:jc w:val="right"/>
              <w:ind w:right="1479"/>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354,313</w:t>
            </w:r>
          </w:p>
        </w:tc>
        <w:tc>
          <w:tcPr>
            <w:tcW w:w="80" w:type="dxa"/>
            <w:vAlign w:val="bottom"/>
          </w:tcPr>
          <w:p>
            <w:pPr>
              <w:spacing w:after="0"/>
              <w:rPr>
                <w:sz w:val="14"/>
                <w:szCs w:val="14"/>
                <w:color w:val="auto"/>
              </w:rPr>
            </w:pPr>
          </w:p>
        </w:tc>
        <w:tc>
          <w:tcPr>
            <w:tcW w:w="42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color w:val="auto"/>
                <w:w w:val="82"/>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4,548</w:t>
            </w:r>
          </w:p>
        </w:tc>
      </w:tr>
      <w:tr>
        <w:trPr>
          <w:trHeight w:val="20"/>
        </w:trPr>
        <w:tc>
          <w:tcPr>
            <w:tcW w:w="68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4" w:name="page65"/>
    <w:bookmarkEnd w:id="6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NOTES TO CONSOLIDATED FINANCIAL STATEMENTS</w:t>
      </w:r>
    </w:p>
    <w:p>
      <w:pPr>
        <w:spacing w:after="0" w:line="39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Lease liabilities are included in our Consolidated Balance Sheets as follows (in thousands):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44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760" w:type="dxa"/>
            <w:vAlign w:val="bottom"/>
            <w:tcBorders>
              <w:bottom w:val="single" w:sz="8" w:color="auto"/>
            </w:tcBorders>
            <w:gridSpan w:val="3"/>
          </w:tcPr>
          <w:p>
            <w:pPr>
              <w:jc w:val="right"/>
              <w:ind w:right="779"/>
              <w:spacing w:after="0"/>
              <w:rPr>
                <w:sz w:val="20"/>
                <w:szCs w:val="20"/>
                <w:color w:val="auto"/>
              </w:rPr>
            </w:pPr>
            <w:r>
              <w:rPr>
                <w:rFonts w:ascii="Arial" w:cs="Arial" w:eastAsia="Arial" w:hAnsi="Arial"/>
                <w:sz w:val="11"/>
                <w:szCs w:val="11"/>
                <w:b w:val="1"/>
                <w:bCs w:val="1"/>
                <w:color w:val="auto"/>
              </w:rPr>
              <w:t>December 26, 2021</w:t>
            </w:r>
          </w:p>
        </w:tc>
        <w:tc>
          <w:tcPr>
            <w:tcW w:w="4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December 27, 2020</w:t>
            </w:r>
          </w:p>
        </w:tc>
        <w:tc>
          <w:tcPr>
            <w:tcW w:w="1200" w:type="dxa"/>
            <w:vAlign w:val="bottom"/>
            <w:tcBorders>
              <w:bottom w:val="single" w:sz="8" w:color="auto"/>
            </w:tcBorders>
          </w:tcPr>
          <w:p>
            <w:pPr>
              <w:spacing w:after="0"/>
              <w:rPr>
                <w:sz w:val="13"/>
                <w:szCs w:val="13"/>
                <w:color w:val="auto"/>
              </w:rPr>
            </w:pPr>
          </w:p>
        </w:tc>
      </w:tr>
      <w:tr>
        <w:trPr>
          <w:trHeight w:val="142"/>
        </w:trPr>
        <w:tc>
          <w:tcPr>
            <w:tcW w:w="44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ind w:right="338"/>
              <w:spacing w:after="0"/>
              <w:rPr>
                <w:sz w:val="20"/>
                <w:szCs w:val="20"/>
                <w:color w:val="auto"/>
              </w:rPr>
            </w:pPr>
            <w:r>
              <w:rPr>
                <w:rFonts w:ascii="Arial" w:cs="Arial" w:eastAsia="Arial" w:hAnsi="Arial"/>
                <w:sz w:val="11"/>
                <w:szCs w:val="11"/>
                <w:b w:val="1"/>
                <w:bCs w:val="1"/>
                <w:color w:val="auto"/>
              </w:rPr>
              <w:t>Operating Leases</w:t>
            </w:r>
          </w:p>
        </w:tc>
        <w:tc>
          <w:tcPr>
            <w:tcW w:w="80" w:type="dxa"/>
            <w:vAlign w:val="bottom"/>
            <w:tcBorders>
              <w:bottom w:val="single" w:sz="8" w:color="CCEEFF"/>
            </w:tcBorders>
          </w:tcPr>
          <w:p>
            <w:pPr>
              <w:spacing w:after="0"/>
              <w:rPr>
                <w:sz w:val="12"/>
                <w:szCs w:val="1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Finance Leases</w:t>
            </w:r>
          </w:p>
        </w:tc>
        <w:tc>
          <w:tcPr>
            <w:tcW w:w="40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ind w:right="338"/>
              <w:spacing w:after="0"/>
              <w:rPr>
                <w:sz w:val="20"/>
                <w:szCs w:val="20"/>
                <w:color w:val="auto"/>
              </w:rPr>
            </w:pPr>
            <w:r>
              <w:rPr>
                <w:rFonts w:ascii="Arial" w:cs="Arial" w:eastAsia="Arial" w:hAnsi="Arial"/>
                <w:sz w:val="11"/>
                <w:szCs w:val="11"/>
                <w:b w:val="1"/>
                <w:bCs w:val="1"/>
                <w:color w:val="auto"/>
              </w:rPr>
              <w:t>Operating Leases</w:t>
            </w:r>
          </w:p>
        </w:tc>
        <w:tc>
          <w:tcPr>
            <w:tcW w:w="8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398"/>
              <w:spacing w:after="0"/>
              <w:rPr>
                <w:sz w:val="20"/>
                <w:szCs w:val="20"/>
                <w:color w:val="auto"/>
              </w:rPr>
            </w:pPr>
            <w:r>
              <w:rPr>
                <w:rFonts w:ascii="Arial" w:cs="Arial" w:eastAsia="Arial" w:hAnsi="Arial"/>
                <w:sz w:val="11"/>
                <w:szCs w:val="11"/>
                <w:b w:val="1"/>
                <w:bCs w:val="1"/>
                <w:color w:val="auto"/>
                <w:w w:val="87"/>
              </w:rPr>
              <w:t>Finance Leases</w:t>
            </w:r>
          </w:p>
        </w:tc>
      </w:tr>
      <w:tr>
        <w:trPr>
          <w:trHeight w:val="161"/>
        </w:trPr>
        <w:tc>
          <w:tcPr>
            <w:tcW w:w="4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Accrued expenses and other current liabilities</w:t>
            </w:r>
          </w:p>
        </w:tc>
        <w:tc>
          <w:tcPr>
            <w:tcW w:w="2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82,947</w:t>
            </w:r>
          </w:p>
        </w:tc>
        <w:tc>
          <w:tcPr>
            <w:tcW w:w="80" w:type="dxa"/>
            <w:vAlign w:val="bottom"/>
            <w:shd w:val="clear" w:color="auto" w:fill="CCEEFF"/>
          </w:tcPr>
          <w:p>
            <w:pPr>
              <w:spacing w:after="0"/>
              <w:rPr>
                <w:sz w:val="14"/>
                <w:szCs w:val="14"/>
                <w:color w:val="auto"/>
              </w:rPr>
            </w:pPr>
          </w:p>
        </w:tc>
        <w:tc>
          <w:tcPr>
            <w:tcW w:w="1260" w:type="dxa"/>
            <w:vAlign w:val="bottom"/>
            <w:shd w:val="clear" w:color="auto" w:fill="CCEEFF"/>
          </w:tcPr>
          <w:p>
            <w:pPr>
              <w:jc w:val="right"/>
              <w:ind w:right="1119"/>
              <w:spacing w:after="0"/>
              <w:rPr>
                <w:sz w:val="20"/>
                <w:szCs w:val="20"/>
                <w:color w:val="auto"/>
              </w:rPr>
            </w:pPr>
            <w:r>
              <w:rPr>
                <w:rFonts w:ascii="Arial" w:cs="Arial" w:eastAsia="Arial" w:hAnsi="Arial"/>
                <w:sz w:val="13"/>
                <w:szCs w:val="13"/>
                <w:color w:val="auto"/>
                <w:w w:val="82"/>
              </w:rPr>
              <w:t>$</w:t>
            </w: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71,592</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w w:val="82"/>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4420" w:type="dxa"/>
            <w:vAlign w:val="bottom"/>
          </w:tcPr>
          <w:p>
            <w:pPr>
              <w:ind w:left="20"/>
              <w:spacing w:after="0"/>
              <w:rPr>
                <w:sz w:val="20"/>
                <w:szCs w:val="20"/>
                <w:color w:val="auto"/>
              </w:rPr>
            </w:pPr>
            <w:r>
              <w:rPr>
                <w:rFonts w:ascii="Arial" w:cs="Arial" w:eastAsia="Arial" w:hAnsi="Arial"/>
                <w:sz w:val="13"/>
                <w:szCs w:val="13"/>
                <w:color w:val="auto"/>
              </w:rPr>
              <w:t>Current maturities of long-term debt</w:t>
            </w:r>
          </w:p>
        </w:tc>
        <w:tc>
          <w:tcPr>
            <w:tcW w:w="240" w:type="dxa"/>
            <w:vAlign w:val="bottom"/>
          </w:tcPr>
          <w:p>
            <w:pPr>
              <w:spacing w:after="0"/>
              <w:rPr>
                <w:sz w:val="14"/>
                <w:szCs w:val="14"/>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930</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420</w:t>
            </w:r>
          </w:p>
        </w:tc>
      </w:tr>
      <w:tr>
        <w:trPr>
          <w:trHeight w:val="172"/>
        </w:trPr>
        <w:tc>
          <w:tcPr>
            <w:tcW w:w="4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Noncurrent operating lease liability, less current maturities</w:t>
            </w:r>
          </w:p>
        </w:tc>
        <w:tc>
          <w:tcPr>
            <w:tcW w:w="24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271,366</w:t>
            </w:r>
          </w:p>
        </w:tc>
        <w:tc>
          <w:tcPr>
            <w:tcW w:w="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217,432</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4420" w:type="dxa"/>
            <w:vAlign w:val="bottom"/>
          </w:tcPr>
          <w:p>
            <w:pPr>
              <w:ind w:left="20"/>
              <w:spacing w:after="0"/>
              <w:rPr>
                <w:sz w:val="20"/>
                <w:szCs w:val="20"/>
                <w:color w:val="auto"/>
              </w:rPr>
            </w:pPr>
            <w:r>
              <w:rPr>
                <w:rFonts w:ascii="Arial" w:cs="Arial" w:eastAsia="Arial" w:hAnsi="Arial"/>
                <w:sz w:val="13"/>
                <w:szCs w:val="13"/>
                <w:color w:val="auto"/>
              </w:rPr>
              <w:t>Long-term debt, less current maturities</w:t>
            </w:r>
          </w:p>
        </w:tc>
        <w:tc>
          <w:tcPr>
            <w:tcW w:w="240" w:type="dxa"/>
            <w:vAlign w:val="bottom"/>
          </w:tcPr>
          <w:p>
            <w:pPr>
              <w:spacing w:after="0"/>
              <w:rPr>
                <w:sz w:val="14"/>
                <w:szCs w:val="14"/>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w w:val="98"/>
              </w:rPr>
              <w:t>3,618</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1,244</w:t>
            </w:r>
          </w:p>
        </w:tc>
      </w:tr>
      <w:tr>
        <w:trPr>
          <w:trHeight w:val="188"/>
        </w:trPr>
        <w:tc>
          <w:tcPr>
            <w:tcW w:w="442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Total lease liabilities</w:t>
            </w:r>
          </w:p>
        </w:tc>
        <w:tc>
          <w:tcPr>
            <w:tcW w:w="24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354,313</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260" w:type="dxa"/>
            <w:vAlign w:val="bottom"/>
            <w:tcBorders>
              <w:top w:val="single" w:sz="8" w:color="auto"/>
              <w:bottom w:val="single" w:sz="8" w:color="auto"/>
            </w:tcBorders>
            <w:shd w:val="clear" w:color="auto" w:fill="CCEEFF"/>
          </w:tcPr>
          <w:p>
            <w:pPr>
              <w:jc w:val="right"/>
              <w:ind w:right="1119"/>
              <w:spacing w:after="0"/>
              <w:rPr>
                <w:sz w:val="20"/>
                <w:szCs w:val="20"/>
                <w:color w:val="auto"/>
              </w:rPr>
            </w:pPr>
            <w:r>
              <w:rPr>
                <w:rFonts w:ascii="Arial" w:cs="Arial" w:eastAsia="Arial" w:hAnsi="Arial"/>
                <w:sz w:val="13"/>
                <w:szCs w:val="13"/>
                <w:color w:val="auto"/>
                <w:w w:val="82"/>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8"/>
              </w:rPr>
              <w:t>4,548</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289,024</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440" w:type="dxa"/>
            <w:vAlign w:val="bottom"/>
            <w:tcBorders>
              <w:top w:val="single" w:sz="8" w:color="auto"/>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color w:val="auto"/>
                <w:w w:val="82"/>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1,664</w:t>
            </w: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13" w:lineRule="exact"/>
        <w:rPr>
          <w:sz w:val="20"/>
          <w:szCs w:val="20"/>
          <w:color w:val="auto"/>
        </w:rPr>
      </w:pPr>
    </w:p>
    <w:p>
      <w:pPr>
        <w:spacing w:after="0"/>
        <w:tabs>
          <w:tab w:leader="none" w:pos="240" w:val="left"/>
        </w:tabs>
        <w:rPr>
          <w:sz w:val="20"/>
          <w:szCs w:val="20"/>
          <w:color w:val="auto"/>
        </w:rPr>
      </w:pPr>
      <w:r>
        <w:rPr>
          <w:rFonts w:ascii="Arial" w:cs="Arial" w:eastAsia="Arial" w:hAnsi="Arial"/>
          <w:sz w:val="14"/>
          <w:szCs w:val="14"/>
          <w:b w:val="1"/>
          <w:bCs w:val="1"/>
          <w:color w:val="auto"/>
        </w:rPr>
        <w:t>5.</w:t>
        <w:tab/>
        <w:t>DERIVATIVE FINANCIAL INSTRUMENTS</w:t>
      </w:r>
    </w:p>
    <w:p>
      <w:pPr>
        <w:spacing w:after="0" w:line="140" w:lineRule="exact"/>
        <w:rPr>
          <w:sz w:val="20"/>
          <w:szCs w:val="20"/>
          <w:color w:val="auto"/>
        </w:rPr>
      </w:pPr>
    </w:p>
    <w:p>
      <w:pPr>
        <w:jc w:val="both"/>
        <w:ind w:firstLine="509"/>
        <w:spacing w:after="0" w:line="313" w:lineRule="auto"/>
        <w:rPr>
          <w:sz w:val="20"/>
          <w:szCs w:val="20"/>
          <w:color w:val="auto"/>
        </w:rPr>
      </w:pPr>
      <w:r>
        <w:rPr>
          <w:rFonts w:ascii="Arial" w:cs="Arial" w:eastAsia="Arial" w:hAnsi="Arial"/>
          <w:sz w:val="12"/>
          <w:szCs w:val="12"/>
          <w:color w:val="auto"/>
        </w:rPr>
        <w:t>The Company utilizes various raw materials in its operations, including corn, soybean meal, soybean oil, wheat, natural gas, electricity and diesel fuel, which are all considered commodities. The Company considers these raw materials generally available from a number of different sources and believes it can obtain them to meet its requirements. These commodities are subject to price fluctuations and related price risk due to factors beyond our control, such as economic and political conditions, supply and demand, weather, governmental regulation and other circumstances. Generally, the Company purchases derivative financial instruments, specifically exchange-traded futures and options, in an attempt to mitigate price risk related to its anticipated consumption of commodity inputs for approximately the next twelve months. The Company may purchase longer-term derivative financial instruments on particular commodities if deemed appropriate.</w:t>
      </w:r>
    </w:p>
    <w:p>
      <w:pPr>
        <w:spacing w:after="0" w:line="76" w:lineRule="exact"/>
        <w:rPr>
          <w:sz w:val="20"/>
          <w:szCs w:val="20"/>
          <w:color w:val="auto"/>
        </w:rPr>
      </w:pPr>
    </w:p>
    <w:p>
      <w:pPr>
        <w:jc w:val="both"/>
        <w:ind w:firstLine="509"/>
        <w:spacing w:after="0" w:line="321" w:lineRule="auto"/>
        <w:rPr>
          <w:sz w:val="20"/>
          <w:szCs w:val="20"/>
          <w:color w:val="auto"/>
        </w:rPr>
      </w:pPr>
      <w:r>
        <w:rPr>
          <w:rFonts w:ascii="Arial" w:cs="Arial" w:eastAsia="Arial" w:hAnsi="Arial"/>
          <w:sz w:val="13"/>
          <w:szCs w:val="13"/>
          <w:color w:val="auto"/>
        </w:rPr>
        <w:t>The Company has operations in Mexico, the U.K., France, the Netherlands and the Republic of Ireland. Therefore, it has exposure to translational foreign exchange risk when the financial results of those operations are remeasured in U.S. dollars. The Company has purchased foreign currency forward contracts to manage this translational foreign exchange risk.</w:t>
      </w:r>
    </w:p>
    <w:p>
      <w:pPr>
        <w:spacing w:after="0" w:line="67"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4"/>
          <w:szCs w:val="14"/>
          <w:color w:val="auto"/>
        </w:rPr>
        <w:t>The Company has exposure to variability in cash flows from interest payments due to the use of variable interest rates on certain long-term debt arrangements in the U.S. reportable segment. The Company has purchased an interest rate swap contract to convert the variable interest rate to a fixed interest rate on a portion of its outstanding long-term debt arrangements in order to manage this interest rate risk and add stability to interest expense and cash flows.</w:t>
      </w:r>
    </w:p>
    <w:p>
      <w:pPr>
        <w:spacing w:after="0" w:line="99"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4"/>
          <w:szCs w:val="14"/>
          <w:color w:val="auto"/>
        </w:rPr>
        <w:t xml:space="preserve">The fair value of derivative assets is included in the line item </w:t>
      </w:r>
      <w:r>
        <w:rPr>
          <w:rFonts w:ascii="Arial" w:cs="Arial" w:eastAsia="Arial" w:hAnsi="Arial"/>
          <w:sz w:val="14"/>
          <w:szCs w:val="14"/>
          <w:i w:val="1"/>
          <w:iCs w:val="1"/>
          <w:color w:val="auto"/>
        </w:rPr>
        <w:t>Prepaid expenses and other current assets</w:t>
      </w:r>
      <w:r>
        <w:rPr>
          <w:rFonts w:ascii="Arial" w:cs="Arial" w:eastAsia="Arial" w:hAnsi="Arial"/>
          <w:sz w:val="14"/>
          <w:szCs w:val="14"/>
          <w:color w:val="auto"/>
        </w:rPr>
        <w:t xml:space="preserve"> on the Consolidated Balance Sheets while the fair value of derivative liabilities is included in the line item </w:t>
      </w:r>
      <w:r>
        <w:rPr>
          <w:rFonts w:ascii="Arial" w:cs="Arial" w:eastAsia="Arial" w:hAnsi="Arial"/>
          <w:sz w:val="14"/>
          <w:szCs w:val="14"/>
          <w:i w:val="1"/>
          <w:iCs w:val="1"/>
          <w:color w:val="auto"/>
        </w:rPr>
        <w:t>Accrued expenses and other current liabilities</w:t>
      </w:r>
      <w:r>
        <w:rPr>
          <w:rFonts w:ascii="Arial" w:cs="Arial" w:eastAsia="Arial" w:hAnsi="Arial"/>
          <w:sz w:val="14"/>
          <w:szCs w:val="14"/>
          <w:color w:val="auto"/>
        </w:rPr>
        <w:t xml:space="preserve"> on the same statements. The Company’s counterparties require that it post collateral for changes in the net fair value of the derivative contracts. This cash collateral is reported in the line item </w:t>
      </w:r>
      <w:r>
        <w:rPr>
          <w:rFonts w:ascii="Arial" w:cs="Arial" w:eastAsia="Arial" w:hAnsi="Arial"/>
          <w:sz w:val="14"/>
          <w:szCs w:val="14"/>
          <w:i w:val="1"/>
          <w:iCs w:val="1"/>
          <w:color w:val="auto"/>
        </w:rPr>
        <w:t>Restricted cash and cash equivalents</w:t>
      </w:r>
      <w:r>
        <w:rPr>
          <w:rFonts w:ascii="Arial" w:cs="Arial" w:eastAsia="Arial" w:hAnsi="Arial"/>
          <w:sz w:val="14"/>
          <w:szCs w:val="14"/>
          <w:color w:val="auto"/>
        </w:rPr>
        <w:t xml:space="preserve"> on the Consolidated Balance Sheets.</w:t>
      </w:r>
    </w:p>
    <w:p>
      <w:pPr>
        <w:spacing w:after="0" w:line="99" w:lineRule="exact"/>
        <w:rPr>
          <w:sz w:val="20"/>
          <w:szCs w:val="20"/>
          <w:color w:val="auto"/>
        </w:rPr>
      </w:pPr>
    </w:p>
    <w:p>
      <w:pPr>
        <w:jc w:val="both"/>
        <w:ind w:firstLine="509"/>
        <w:spacing w:after="0" w:line="313" w:lineRule="auto"/>
        <w:rPr>
          <w:sz w:val="20"/>
          <w:szCs w:val="20"/>
          <w:color w:val="auto"/>
        </w:rPr>
      </w:pPr>
      <w:r>
        <w:rPr>
          <w:rFonts w:ascii="Arial" w:cs="Arial" w:eastAsia="Arial" w:hAnsi="Arial"/>
          <w:sz w:val="12"/>
          <w:szCs w:val="12"/>
          <w:color w:val="auto"/>
        </w:rPr>
        <w:t xml:space="preserve">Undesignated contracts may include contracts not designated as a hedge or for which the normal purchase normal sales (“NPNS”) exception was not elected, contracts that do not qualify for hedge accounting and derivatives that do not or no longer qualify for the NPNS scope exception. The fair value of each of these derivatives is recognized in the Consolidated Balance Sheets within </w:t>
      </w:r>
      <w:r>
        <w:rPr>
          <w:rFonts w:ascii="Arial" w:cs="Arial" w:eastAsia="Arial" w:hAnsi="Arial"/>
          <w:sz w:val="12"/>
          <w:szCs w:val="12"/>
          <w:i w:val="1"/>
          <w:iCs w:val="1"/>
          <w:color w:val="auto"/>
        </w:rPr>
        <w:t xml:space="preserve">Prepaid expenses and other current assets </w:t>
      </w:r>
      <w:r>
        <w:rPr>
          <w:rFonts w:ascii="Arial" w:cs="Arial" w:eastAsia="Arial" w:hAnsi="Arial"/>
          <w:sz w:val="12"/>
          <w:szCs w:val="12"/>
          <w:color w:val="auto"/>
        </w:rPr>
        <w:t>or</w:t>
      </w:r>
      <w:r>
        <w:rPr>
          <w:rFonts w:ascii="Arial" w:cs="Arial" w:eastAsia="Arial" w:hAnsi="Arial"/>
          <w:sz w:val="12"/>
          <w:szCs w:val="12"/>
          <w:i w:val="1"/>
          <w:iCs w:val="1"/>
          <w:color w:val="auto"/>
        </w:rPr>
        <w:t xml:space="preserve"> Accrued expenses and other current liabilities</w:t>
      </w:r>
      <w:r>
        <w:rPr>
          <w:rFonts w:ascii="Arial" w:cs="Arial" w:eastAsia="Arial" w:hAnsi="Arial"/>
          <w:sz w:val="12"/>
          <w:szCs w:val="12"/>
          <w:color w:val="auto"/>
        </w:rPr>
        <w:t>. Changes in fair value of each derivative are recognized immediately in the Consolidated Statements of</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Income within </w:t>
      </w:r>
      <w:r>
        <w:rPr>
          <w:rFonts w:ascii="Arial" w:cs="Arial" w:eastAsia="Arial" w:hAnsi="Arial"/>
          <w:sz w:val="12"/>
          <w:szCs w:val="12"/>
          <w:i w:val="1"/>
          <w:iCs w:val="1"/>
          <w:color w:val="auto"/>
        </w:rPr>
        <w:t>Net sales</w:t>
      </w:r>
      <w:r>
        <w:rPr>
          <w:rFonts w:ascii="Arial" w:cs="Arial" w:eastAsia="Arial" w:hAnsi="Arial"/>
          <w:sz w:val="12"/>
          <w:szCs w:val="12"/>
          <w:color w:val="auto"/>
        </w:rPr>
        <w:t>, C</w:t>
      </w:r>
      <w:r>
        <w:rPr>
          <w:rFonts w:ascii="Arial" w:cs="Arial" w:eastAsia="Arial" w:hAnsi="Arial"/>
          <w:sz w:val="12"/>
          <w:szCs w:val="12"/>
          <w:i w:val="1"/>
          <w:iCs w:val="1"/>
          <w:color w:val="auto"/>
        </w:rPr>
        <w:t>ost of sales</w:t>
      </w:r>
      <w:r>
        <w:rPr>
          <w:rFonts w:ascii="Arial" w:cs="Arial" w:eastAsia="Arial" w:hAnsi="Arial"/>
          <w:sz w:val="12"/>
          <w:szCs w:val="12"/>
          <w:color w:val="auto"/>
        </w:rPr>
        <w:t xml:space="preserve">, </w:t>
      </w:r>
      <w:r>
        <w:rPr>
          <w:rFonts w:ascii="Arial" w:cs="Arial" w:eastAsia="Arial" w:hAnsi="Arial"/>
          <w:sz w:val="12"/>
          <w:szCs w:val="12"/>
          <w:i w:val="1"/>
          <w:iCs w:val="1"/>
          <w:color w:val="auto"/>
        </w:rPr>
        <w:t>Selling, general and administrative expense</w:t>
      </w:r>
      <w:r>
        <w:rPr>
          <w:rFonts w:ascii="Arial" w:cs="Arial" w:eastAsia="Arial" w:hAnsi="Arial"/>
          <w:sz w:val="12"/>
          <w:szCs w:val="12"/>
          <w:color w:val="auto"/>
        </w:rPr>
        <w:t xml:space="preserve">, or </w:t>
      </w:r>
      <w:r>
        <w:rPr>
          <w:rFonts w:ascii="Arial" w:cs="Arial" w:eastAsia="Arial" w:hAnsi="Arial"/>
          <w:sz w:val="12"/>
          <w:szCs w:val="12"/>
          <w:i w:val="1"/>
          <w:iCs w:val="1"/>
          <w:color w:val="auto"/>
        </w:rPr>
        <w:t>Foreign currency transaction losses (gains)</w:t>
      </w:r>
      <w:r>
        <w:rPr>
          <w:rFonts w:ascii="Arial" w:cs="Arial" w:eastAsia="Arial" w:hAnsi="Arial"/>
          <w:sz w:val="12"/>
          <w:szCs w:val="12"/>
          <w:color w:val="auto"/>
        </w:rPr>
        <w:t xml:space="preserve"> depending on the risk the derivative is intended to mitigate. While management believes these instruments help mitigate various market risks, they are not designated and accounted for as hedges as a result of the extensive record keeping requirements.</w:t>
      </w:r>
    </w:p>
    <w:p>
      <w:pPr>
        <w:spacing w:after="0" w:line="76"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4"/>
          <w:szCs w:val="14"/>
          <w:color w:val="auto"/>
        </w:rPr>
        <w:t>The Company has elected not to apply the NPNS exemption to a fixed-price product sales contract with a certain customer in order to mitigate various risk exposures and to try to achieve an accounting result that aligns the accounting for the derivative with the economics achieved through the use of the derivative. Transactions originating from this contact are accounted for as undesignated derivatives and recognized at fair value.</w:t>
      </w:r>
    </w:p>
    <w:p>
      <w:pPr>
        <w:spacing w:after="0" w:line="99" w:lineRule="exact"/>
        <w:rPr>
          <w:sz w:val="20"/>
          <w:szCs w:val="20"/>
          <w:color w:val="auto"/>
        </w:rPr>
      </w:pPr>
    </w:p>
    <w:p>
      <w:pPr>
        <w:jc w:val="both"/>
        <w:ind w:firstLine="509"/>
        <w:spacing w:after="0" w:line="288" w:lineRule="auto"/>
        <w:rPr>
          <w:sz w:val="20"/>
          <w:szCs w:val="20"/>
          <w:color w:val="auto"/>
        </w:rPr>
      </w:pPr>
      <w:r>
        <w:rPr>
          <w:rFonts w:ascii="Arial" w:cs="Arial" w:eastAsia="Arial" w:hAnsi="Arial"/>
          <w:sz w:val="13"/>
          <w:szCs w:val="13"/>
          <w:color w:val="auto"/>
        </w:rPr>
        <w:t xml:space="preserve">The Company does not apply hedge accounting treatment to certain derivative financial instruments that it has purchased to mitigate commodity purchase exposures in the U.S. and Mexico or foreign currency transaction exposures on our Mexico operations. Therefore, the Company recognized changes in the fair value of these derivative financial instruments immediately in earnings. Gains or losses related to the commodity derivative financial instruments are included in the line item </w:t>
      </w:r>
      <w:r>
        <w:rPr>
          <w:rFonts w:ascii="Arial" w:cs="Arial" w:eastAsia="Arial" w:hAnsi="Arial"/>
          <w:sz w:val="13"/>
          <w:szCs w:val="13"/>
          <w:i w:val="1"/>
          <w:iCs w:val="1"/>
          <w:color w:val="auto"/>
        </w:rPr>
        <w:t>Cost of sales</w:t>
      </w:r>
      <w:r>
        <w:rPr>
          <w:rFonts w:ascii="Arial" w:cs="Arial" w:eastAsia="Arial" w:hAnsi="Arial"/>
          <w:sz w:val="13"/>
          <w:szCs w:val="13"/>
          <w:color w:val="auto"/>
        </w:rPr>
        <w:t xml:space="preserve"> in the Consolidated Statements of Income. Gains or losses related to the foreign currency derivative financial instruments are included in the line item </w:t>
      </w:r>
      <w:r>
        <w:rPr>
          <w:rFonts w:ascii="Arial" w:cs="Arial" w:eastAsia="Arial" w:hAnsi="Arial"/>
          <w:sz w:val="13"/>
          <w:szCs w:val="13"/>
          <w:i w:val="1"/>
          <w:iCs w:val="1"/>
          <w:color w:val="auto"/>
        </w:rPr>
        <w:t>Foreign currency transaction losses (gains)</w:t>
      </w:r>
      <w:r>
        <w:rPr>
          <w:rFonts w:ascii="Arial" w:cs="Arial" w:eastAsia="Arial" w:hAnsi="Arial"/>
          <w:sz w:val="13"/>
          <w:szCs w:val="13"/>
          <w:color w:val="auto"/>
        </w:rPr>
        <w:t xml:space="preserve"> and </w:t>
      </w:r>
      <w:r>
        <w:rPr>
          <w:rFonts w:ascii="Arial" w:cs="Arial" w:eastAsia="Arial" w:hAnsi="Arial"/>
          <w:sz w:val="13"/>
          <w:szCs w:val="13"/>
          <w:i w:val="1"/>
          <w:iCs w:val="1"/>
          <w:color w:val="auto"/>
        </w:rPr>
        <w:t>Cost of sales</w:t>
      </w:r>
      <w:r>
        <w:rPr>
          <w:rFonts w:ascii="Arial" w:cs="Arial" w:eastAsia="Arial" w:hAnsi="Arial"/>
          <w:sz w:val="13"/>
          <w:szCs w:val="13"/>
          <w:color w:val="auto"/>
        </w:rPr>
        <w:t xml:space="preserve"> in the Consolidated Statements of Income.</w:t>
      </w:r>
    </w:p>
    <w:p>
      <w:pPr>
        <w:spacing w:after="0" w:line="89" w:lineRule="exact"/>
        <w:rPr>
          <w:sz w:val="20"/>
          <w:szCs w:val="20"/>
          <w:color w:val="auto"/>
        </w:rPr>
      </w:pPr>
    </w:p>
    <w:p>
      <w:pPr>
        <w:jc w:val="both"/>
        <w:ind w:firstLine="509"/>
        <w:spacing w:after="0" w:line="281" w:lineRule="auto"/>
        <w:rPr>
          <w:sz w:val="20"/>
          <w:szCs w:val="20"/>
          <w:color w:val="auto"/>
        </w:rPr>
      </w:pPr>
      <w:r>
        <w:rPr>
          <w:rFonts w:ascii="Arial" w:cs="Arial" w:eastAsia="Arial" w:hAnsi="Arial"/>
          <w:sz w:val="14"/>
          <w:szCs w:val="14"/>
          <w:color w:val="auto"/>
        </w:rPr>
        <w:t>The Company does apply hedge accounting to certain derivative financial instruments related to its U.K. and Europe reportable segment that it has purchased to mitigate foreign currency transaction exposures. Before the settlement date of the</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5" w:name="page66"/>
    <w:bookmarkEnd w:id="6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NOTES TO CONSOLIDATED FINANCIAL STATEMENTS</w:t>
      </w:r>
    </w:p>
    <w:p>
      <w:pPr>
        <w:spacing w:after="0" w:line="391"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 xml:space="preserve">financial derivative instruments, the Company recognizes changes in the fair value of the cash flow hedge into accumulated other comprehensive loss (“AOCL”). When the derivative financial instruments are settled, the amount in AOCL is then reclassified to earnings. Gains or losses related to these derivative financial instruments are included in the line items </w:t>
      </w:r>
      <w:r>
        <w:rPr>
          <w:rFonts w:ascii="Arial" w:cs="Arial" w:eastAsia="Arial" w:hAnsi="Arial"/>
          <w:sz w:val="14"/>
          <w:szCs w:val="14"/>
          <w:i w:val="1"/>
          <w:iCs w:val="1"/>
          <w:color w:val="auto"/>
        </w:rPr>
        <w:t>Net sales</w:t>
      </w:r>
      <w:r>
        <w:rPr>
          <w:rFonts w:ascii="Arial" w:cs="Arial" w:eastAsia="Arial" w:hAnsi="Arial"/>
          <w:sz w:val="14"/>
          <w:szCs w:val="14"/>
          <w:color w:val="auto"/>
        </w:rPr>
        <w:t xml:space="preserve"> and </w:t>
      </w:r>
      <w:r>
        <w:rPr>
          <w:rFonts w:ascii="Arial" w:cs="Arial" w:eastAsia="Arial" w:hAnsi="Arial"/>
          <w:sz w:val="14"/>
          <w:szCs w:val="14"/>
          <w:i w:val="1"/>
          <w:iCs w:val="1"/>
          <w:color w:val="auto"/>
        </w:rPr>
        <w:t>Cost of sales</w:t>
      </w:r>
      <w:r>
        <w:rPr>
          <w:rFonts w:ascii="Arial" w:cs="Arial" w:eastAsia="Arial" w:hAnsi="Arial"/>
          <w:sz w:val="14"/>
          <w:szCs w:val="14"/>
          <w:color w:val="auto"/>
        </w:rPr>
        <w:t xml:space="preserve"> in the Consolidated Statements of Income.</w:t>
      </w:r>
    </w:p>
    <w:p>
      <w:pPr>
        <w:spacing w:after="0" w:line="99"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color w:val="auto"/>
        </w:rPr>
        <w:t xml:space="preserve">The Company does apply hedge accounting to a derivative financial instrument related to its U.S. reportable segment that it has purchased to mitigate variable interest rate exposures. The interest rate swap has monthly settlement dates. Upon each settlement date, the Company recognizes changes in the fair value of the cash flow hedge into AOCL. Upon settlement of the derivative instrument, the amount in AOCL is then reclassified to earnings. Gains or losses related to the interest rate swap derivative financial instrument are included in the line item </w:t>
      </w:r>
      <w:r>
        <w:rPr>
          <w:rFonts w:ascii="Arial" w:cs="Arial" w:eastAsia="Arial" w:hAnsi="Arial"/>
          <w:sz w:val="14"/>
          <w:szCs w:val="14"/>
          <w:i w:val="1"/>
          <w:iCs w:val="1"/>
          <w:color w:val="auto"/>
        </w:rPr>
        <w:t>Interest expense, net of</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capitalized interest </w:t>
      </w:r>
      <w:r>
        <w:rPr>
          <w:rFonts w:ascii="Arial" w:cs="Arial" w:eastAsia="Arial" w:hAnsi="Arial"/>
          <w:sz w:val="14"/>
          <w:szCs w:val="14"/>
          <w:color w:val="auto"/>
        </w:rPr>
        <w:t>in the Consolidated Statements of Income.</w:t>
      </w:r>
    </w:p>
    <w:p>
      <w:pPr>
        <w:spacing w:after="0" w:line="103" w:lineRule="exact"/>
        <w:rPr>
          <w:sz w:val="20"/>
          <w:szCs w:val="20"/>
          <w:color w:val="auto"/>
        </w:rPr>
      </w:pPr>
    </w:p>
    <w:p>
      <w:pPr>
        <w:ind w:left="520"/>
        <w:spacing w:after="0"/>
        <w:rPr>
          <w:sz w:val="20"/>
          <w:szCs w:val="20"/>
          <w:color w:val="auto"/>
        </w:rPr>
      </w:pPr>
      <w:r>
        <w:rPr>
          <w:rFonts w:ascii="Arial" w:cs="Arial" w:eastAsia="Arial" w:hAnsi="Arial"/>
          <w:sz w:val="14"/>
          <w:szCs w:val="14"/>
          <w:color w:val="auto"/>
        </w:rPr>
        <w:t>Information regarding the Company’s outstanding derivative instruments and cash collateral posted with brokers is included in the following table:</w:t>
      </w:r>
    </w:p>
    <w:p>
      <w:pPr>
        <w:spacing w:after="0" w:line="76" w:lineRule="exact"/>
        <w:rPr>
          <w:sz w:val="20"/>
          <w:szCs w:val="20"/>
          <w:color w:val="auto"/>
        </w:rPr>
      </w:pPr>
    </w:p>
    <w:tbl>
      <w:tblPr>
        <w:tblLayout w:type="fixed"/>
        <w:tblInd w:w="20" w:type="dxa"/>
        <w:tblCellMar>
          <w:top w:w="0" w:type="dxa"/>
          <w:left w:w="0" w:type="dxa"/>
          <w:bottom w:w="0" w:type="dxa"/>
          <w:right w:w="0" w:type="dxa"/>
        </w:tblCellMar>
      </w:tblPr>
      <w:tr>
        <w:trPr>
          <w:trHeight w:val="151"/>
        </w:trPr>
        <w:tc>
          <w:tcPr>
            <w:tcW w:w="746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tcPr>
          <w:p>
            <w:pPr>
              <w:jc w:val="right"/>
              <w:ind w:right="457"/>
              <w:spacing w:after="0"/>
              <w:rPr>
                <w:sz w:val="20"/>
                <w:szCs w:val="20"/>
                <w:color w:val="auto"/>
              </w:rPr>
            </w:pPr>
            <w:r>
              <w:rPr>
                <w:rFonts w:ascii="Arial" w:cs="Arial" w:eastAsia="Arial" w:hAnsi="Arial"/>
                <w:sz w:val="11"/>
                <w:szCs w:val="11"/>
                <w:b w:val="1"/>
                <w:bCs w:val="1"/>
                <w:color w:val="auto"/>
              </w:rPr>
              <w:t>December 26, 2021</w:t>
            </w:r>
          </w:p>
        </w:tc>
        <w:tc>
          <w:tcPr>
            <w:tcW w:w="32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jc w:val="right"/>
              <w:ind w:right="417"/>
              <w:spacing w:after="0"/>
              <w:rPr>
                <w:sz w:val="20"/>
                <w:szCs w:val="20"/>
                <w:color w:val="auto"/>
              </w:rPr>
            </w:pPr>
            <w:r>
              <w:rPr>
                <w:rFonts w:ascii="Arial" w:cs="Arial" w:eastAsia="Arial" w:hAnsi="Arial"/>
                <w:sz w:val="11"/>
                <w:szCs w:val="11"/>
                <w:b w:val="1"/>
                <w:bCs w:val="1"/>
                <w:color w:val="auto"/>
              </w:rPr>
              <w:t>December 27, 2020</w:t>
            </w:r>
          </w:p>
        </w:tc>
      </w:tr>
      <w:tr>
        <w:trPr>
          <w:trHeight w:val="142"/>
        </w:trPr>
        <w:tc>
          <w:tcPr>
            <w:tcW w:w="7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520" w:type="dxa"/>
            <w:vAlign w:val="bottom"/>
            <w:gridSpan w:val="3"/>
          </w:tcPr>
          <w:p>
            <w:pPr>
              <w:jc w:val="right"/>
              <w:ind w:right="1217"/>
              <w:spacing w:after="0"/>
              <w:rPr>
                <w:sz w:val="20"/>
                <w:szCs w:val="20"/>
                <w:color w:val="auto"/>
              </w:rPr>
            </w:pPr>
            <w:r>
              <w:rPr>
                <w:rFonts w:ascii="Arial" w:cs="Arial" w:eastAsia="Arial" w:hAnsi="Arial"/>
                <w:sz w:val="11"/>
                <w:szCs w:val="11"/>
                <w:b w:val="1"/>
                <w:bCs w:val="1"/>
                <w:color w:val="auto"/>
              </w:rPr>
              <w:t>(Fair values in thousands)</w:t>
            </w:r>
          </w:p>
        </w:tc>
      </w:tr>
      <w:tr>
        <w:trPr>
          <w:trHeight w:val="171"/>
        </w:trPr>
        <w:tc>
          <w:tcPr>
            <w:tcW w:w="74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Fair values:</w:t>
            </w:r>
          </w:p>
        </w:tc>
        <w:tc>
          <w:tcPr>
            <w:tcW w:w="28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r>
      <w:tr>
        <w:trPr>
          <w:trHeight w:val="168"/>
        </w:trPr>
        <w:tc>
          <w:tcPr>
            <w:tcW w:w="7460" w:type="dxa"/>
            <w:vAlign w:val="bottom"/>
          </w:tcPr>
          <w:p>
            <w:pPr>
              <w:ind w:left="160"/>
              <w:spacing w:after="0"/>
              <w:rPr>
                <w:sz w:val="20"/>
                <w:szCs w:val="20"/>
                <w:color w:val="auto"/>
              </w:rPr>
            </w:pPr>
            <w:r>
              <w:rPr>
                <w:rFonts w:ascii="Arial" w:cs="Arial" w:eastAsia="Arial" w:hAnsi="Arial"/>
                <w:sz w:val="13"/>
                <w:szCs w:val="13"/>
                <w:color w:val="auto"/>
              </w:rPr>
              <w:t>Commodity derivative assets</w:t>
            </w:r>
          </w:p>
        </w:tc>
        <w:tc>
          <w:tcPr>
            <w:tcW w:w="280" w:type="dxa"/>
            <w:vAlign w:val="bottom"/>
          </w:tcPr>
          <w:p>
            <w:pPr>
              <w:jc w:val="right"/>
              <w:ind w:right="136"/>
              <w:spacing w:after="0"/>
              <w:rPr>
                <w:sz w:val="20"/>
                <w:szCs w:val="20"/>
                <w:color w:val="auto"/>
              </w:rPr>
            </w:pPr>
            <w:r>
              <w:rPr>
                <w:rFonts w:ascii="Arial" w:cs="Arial" w:eastAsia="Arial" w:hAnsi="Arial"/>
                <w:sz w:val="13"/>
                <w:szCs w:val="13"/>
                <w:color w:val="auto"/>
                <w:w w:val="82"/>
              </w:rPr>
              <w:t>$</w:t>
            </w:r>
          </w:p>
        </w:tc>
        <w:tc>
          <w:tcPr>
            <w:tcW w:w="1620" w:type="dxa"/>
            <w:vAlign w:val="bottom"/>
          </w:tcPr>
          <w:p>
            <w:pPr>
              <w:jc w:val="right"/>
              <w:ind w:right="137"/>
              <w:spacing w:after="0"/>
              <w:rPr>
                <w:sz w:val="20"/>
                <w:szCs w:val="20"/>
                <w:color w:val="auto"/>
              </w:rPr>
            </w:pPr>
            <w:r>
              <w:rPr>
                <w:rFonts w:ascii="Arial" w:cs="Arial" w:eastAsia="Arial" w:hAnsi="Arial"/>
                <w:sz w:val="13"/>
                <w:szCs w:val="13"/>
                <w:color w:val="auto"/>
              </w:rPr>
              <w:t>17,567</w:t>
            </w:r>
          </w:p>
        </w:tc>
        <w:tc>
          <w:tcPr>
            <w:tcW w:w="320" w:type="dxa"/>
            <w:vAlign w:val="bottom"/>
          </w:tcPr>
          <w:p>
            <w:pPr>
              <w:jc w:val="right"/>
              <w:ind w:right="136"/>
              <w:spacing w:after="0"/>
              <w:rPr>
                <w:sz w:val="20"/>
                <w:szCs w:val="20"/>
                <w:color w:val="auto"/>
              </w:rPr>
            </w:pPr>
            <w:r>
              <w:rPr>
                <w:rFonts w:ascii="Arial" w:cs="Arial" w:eastAsia="Arial" w:hAnsi="Arial"/>
                <w:sz w:val="13"/>
                <w:szCs w:val="13"/>
                <w:color w:val="auto"/>
              </w:rPr>
              <w:t>$</w:t>
            </w:r>
          </w:p>
        </w:tc>
        <w:tc>
          <w:tcPr>
            <w:tcW w:w="1580" w:type="dxa"/>
            <w:vAlign w:val="bottom"/>
          </w:tcPr>
          <w:p>
            <w:pPr>
              <w:jc w:val="right"/>
              <w:ind w:right="97"/>
              <w:spacing w:after="0"/>
              <w:rPr>
                <w:sz w:val="20"/>
                <w:szCs w:val="20"/>
                <w:color w:val="auto"/>
              </w:rPr>
            </w:pPr>
            <w:r>
              <w:rPr>
                <w:rFonts w:ascii="Arial" w:cs="Arial" w:eastAsia="Arial" w:hAnsi="Arial"/>
                <w:sz w:val="13"/>
                <w:szCs w:val="13"/>
                <w:color w:val="auto"/>
              </w:rPr>
              <w:t>24,059</w:t>
            </w:r>
          </w:p>
        </w:tc>
      </w:tr>
      <w:tr>
        <w:trPr>
          <w:trHeight w:val="172"/>
        </w:trPr>
        <w:tc>
          <w:tcPr>
            <w:tcW w:w="7460" w:type="dxa"/>
            <w:vAlign w:val="bottom"/>
            <w:shd w:val="clear" w:color="auto" w:fill="CCEEFF"/>
          </w:tcPr>
          <w:p>
            <w:pPr>
              <w:ind w:left="160"/>
              <w:spacing w:after="0"/>
              <w:rPr>
                <w:sz w:val="20"/>
                <w:szCs w:val="20"/>
                <w:color w:val="auto"/>
              </w:rPr>
            </w:pPr>
            <w:r>
              <w:rPr>
                <w:rFonts w:ascii="Arial" w:cs="Arial" w:eastAsia="Arial" w:hAnsi="Arial"/>
                <w:sz w:val="13"/>
                <w:szCs w:val="13"/>
                <w:color w:val="auto"/>
              </w:rPr>
              <w:t>Commodity derivative liabilities</w:t>
            </w:r>
          </w:p>
        </w:tc>
        <w:tc>
          <w:tcPr>
            <w:tcW w:w="280" w:type="dxa"/>
            <w:vAlign w:val="bottom"/>
            <w:shd w:val="clear" w:color="auto" w:fill="CCEEFF"/>
          </w:tcPr>
          <w:p>
            <w:pPr>
              <w:spacing w:after="0"/>
              <w:rPr>
                <w:sz w:val="14"/>
                <w:szCs w:val="14"/>
                <w:color w:val="auto"/>
              </w:rPr>
            </w:pPr>
          </w:p>
        </w:tc>
        <w:tc>
          <w:tcPr>
            <w:tcW w:w="162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(14,119)</w:t>
            </w:r>
          </w:p>
        </w:tc>
        <w:tc>
          <w:tcPr>
            <w:tcW w:w="320" w:type="dxa"/>
            <w:vAlign w:val="bottom"/>
            <w:shd w:val="clear" w:color="auto" w:fill="CCEEFF"/>
          </w:tcPr>
          <w:p>
            <w:pPr>
              <w:spacing w:after="0"/>
              <w:rPr>
                <w:sz w:val="14"/>
                <w:szCs w:val="14"/>
                <w:color w:val="auto"/>
              </w:rPr>
            </w:pPr>
          </w:p>
        </w:tc>
        <w:tc>
          <w:tcPr>
            <w:tcW w:w="15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(6,531)</w:t>
            </w:r>
          </w:p>
        </w:tc>
      </w:tr>
      <w:tr>
        <w:trPr>
          <w:trHeight w:val="168"/>
        </w:trPr>
        <w:tc>
          <w:tcPr>
            <w:tcW w:w="7460" w:type="dxa"/>
            <w:vAlign w:val="bottom"/>
          </w:tcPr>
          <w:p>
            <w:pPr>
              <w:ind w:left="160"/>
              <w:spacing w:after="0"/>
              <w:rPr>
                <w:sz w:val="20"/>
                <w:szCs w:val="20"/>
                <w:color w:val="auto"/>
              </w:rPr>
            </w:pPr>
            <w:r>
              <w:rPr>
                <w:rFonts w:ascii="Arial" w:cs="Arial" w:eastAsia="Arial" w:hAnsi="Arial"/>
                <w:sz w:val="13"/>
                <w:szCs w:val="13"/>
                <w:color w:val="auto"/>
              </w:rPr>
              <w:t>Foreign currency derivative assets</w:t>
            </w:r>
          </w:p>
        </w:tc>
        <w:tc>
          <w:tcPr>
            <w:tcW w:w="280" w:type="dxa"/>
            <w:vAlign w:val="bottom"/>
          </w:tcPr>
          <w:p>
            <w:pPr>
              <w:spacing w:after="0"/>
              <w:rPr>
                <w:sz w:val="14"/>
                <w:szCs w:val="14"/>
                <w:color w:val="auto"/>
              </w:rPr>
            </w:pPr>
          </w:p>
        </w:tc>
        <w:tc>
          <w:tcPr>
            <w:tcW w:w="1620" w:type="dxa"/>
            <w:vAlign w:val="bottom"/>
          </w:tcPr>
          <w:p>
            <w:pPr>
              <w:jc w:val="right"/>
              <w:ind w:right="137"/>
              <w:spacing w:after="0"/>
              <w:rPr>
                <w:sz w:val="20"/>
                <w:szCs w:val="20"/>
                <w:color w:val="auto"/>
              </w:rPr>
            </w:pPr>
            <w:r>
              <w:rPr>
                <w:rFonts w:ascii="Arial" w:cs="Arial" w:eastAsia="Arial" w:hAnsi="Arial"/>
                <w:sz w:val="13"/>
                <w:szCs w:val="13"/>
                <w:color w:val="auto"/>
              </w:rPr>
              <w:t>518</w:t>
            </w:r>
          </w:p>
        </w:tc>
        <w:tc>
          <w:tcPr>
            <w:tcW w:w="320" w:type="dxa"/>
            <w:vAlign w:val="bottom"/>
          </w:tcPr>
          <w:p>
            <w:pPr>
              <w:spacing w:after="0"/>
              <w:rPr>
                <w:sz w:val="14"/>
                <w:szCs w:val="14"/>
                <w:color w:val="auto"/>
              </w:rPr>
            </w:pPr>
          </w:p>
        </w:tc>
        <w:tc>
          <w:tcPr>
            <w:tcW w:w="1580" w:type="dxa"/>
            <w:vAlign w:val="bottom"/>
          </w:tcPr>
          <w:p>
            <w:pPr>
              <w:jc w:val="right"/>
              <w:ind w:right="97"/>
              <w:spacing w:after="0"/>
              <w:rPr>
                <w:sz w:val="20"/>
                <w:szCs w:val="20"/>
                <w:color w:val="auto"/>
              </w:rPr>
            </w:pPr>
            <w:r>
              <w:rPr>
                <w:rFonts w:ascii="Arial" w:cs="Arial" w:eastAsia="Arial" w:hAnsi="Arial"/>
                <w:sz w:val="13"/>
                <w:szCs w:val="13"/>
                <w:color w:val="auto"/>
              </w:rPr>
              <w:t>2,204</w:t>
            </w:r>
          </w:p>
        </w:tc>
      </w:tr>
      <w:tr>
        <w:trPr>
          <w:trHeight w:val="172"/>
        </w:trPr>
        <w:tc>
          <w:tcPr>
            <w:tcW w:w="7460" w:type="dxa"/>
            <w:vAlign w:val="bottom"/>
            <w:shd w:val="clear" w:color="auto" w:fill="CCEEFF"/>
          </w:tcPr>
          <w:p>
            <w:pPr>
              <w:ind w:left="160"/>
              <w:spacing w:after="0"/>
              <w:rPr>
                <w:sz w:val="20"/>
                <w:szCs w:val="20"/>
                <w:color w:val="auto"/>
              </w:rPr>
            </w:pPr>
            <w:r>
              <w:rPr>
                <w:rFonts w:ascii="Arial" w:cs="Arial" w:eastAsia="Arial" w:hAnsi="Arial"/>
                <w:sz w:val="13"/>
                <w:szCs w:val="13"/>
                <w:color w:val="auto"/>
              </w:rPr>
              <w:t>Foreign currency derivative liabilities</w:t>
            </w:r>
          </w:p>
        </w:tc>
        <w:tc>
          <w:tcPr>
            <w:tcW w:w="280" w:type="dxa"/>
            <w:vAlign w:val="bottom"/>
            <w:shd w:val="clear" w:color="auto" w:fill="CCEEFF"/>
          </w:tcPr>
          <w:p>
            <w:pPr>
              <w:spacing w:after="0"/>
              <w:rPr>
                <w:sz w:val="14"/>
                <w:szCs w:val="14"/>
                <w:color w:val="auto"/>
              </w:rPr>
            </w:pPr>
          </w:p>
        </w:tc>
        <w:tc>
          <w:tcPr>
            <w:tcW w:w="162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(4,958)</w:t>
            </w:r>
          </w:p>
        </w:tc>
        <w:tc>
          <w:tcPr>
            <w:tcW w:w="320" w:type="dxa"/>
            <w:vAlign w:val="bottom"/>
            <w:shd w:val="clear" w:color="auto" w:fill="CCEEFF"/>
          </w:tcPr>
          <w:p>
            <w:pPr>
              <w:spacing w:after="0"/>
              <w:rPr>
                <w:sz w:val="14"/>
                <w:szCs w:val="14"/>
                <w:color w:val="auto"/>
              </w:rPr>
            </w:pPr>
          </w:p>
        </w:tc>
        <w:tc>
          <w:tcPr>
            <w:tcW w:w="15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(428)</w:t>
            </w:r>
          </w:p>
        </w:tc>
      </w:tr>
      <w:tr>
        <w:trPr>
          <w:trHeight w:val="168"/>
        </w:trPr>
        <w:tc>
          <w:tcPr>
            <w:tcW w:w="7460" w:type="dxa"/>
            <w:vAlign w:val="bottom"/>
          </w:tcPr>
          <w:p>
            <w:pPr>
              <w:ind w:left="160"/>
              <w:spacing w:after="0"/>
              <w:rPr>
                <w:sz w:val="20"/>
                <w:szCs w:val="20"/>
                <w:color w:val="auto"/>
              </w:rPr>
            </w:pPr>
            <w:r>
              <w:rPr>
                <w:rFonts w:ascii="Arial" w:cs="Arial" w:eastAsia="Arial" w:hAnsi="Arial"/>
                <w:sz w:val="13"/>
                <w:szCs w:val="13"/>
                <w:color w:val="auto"/>
              </w:rPr>
              <w:t>Interest rate swap derivative liabilities</w:t>
            </w:r>
          </w:p>
        </w:tc>
        <w:tc>
          <w:tcPr>
            <w:tcW w:w="280" w:type="dxa"/>
            <w:vAlign w:val="bottom"/>
          </w:tcPr>
          <w:p>
            <w:pPr>
              <w:spacing w:after="0"/>
              <w:rPr>
                <w:sz w:val="14"/>
                <w:szCs w:val="14"/>
                <w:color w:val="auto"/>
              </w:rPr>
            </w:pPr>
          </w:p>
        </w:tc>
        <w:tc>
          <w:tcPr>
            <w:tcW w:w="1620" w:type="dxa"/>
            <w:vAlign w:val="bottom"/>
          </w:tcPr>
          <w:p>
            <w:pPr>
              <w:jc w:val="right"/>
              <w:ind w:right="117"/>
              <w:spacing w:after="0"/>
              <w:rPr>
                <w:sz w:val="20"/>
                <w:szCs w:val="20"/>
                <w:color w:val="auto"/>
              </w:rPr>
            </w:pPr>
            <w:r>
              <w:rPr>
                <w:rFonts w:ascii="Arial" w:cs="Arial" w:eastAsia="Arial" w:hAnsi="Arial"/>
                <w:sz w:val="13"/>
                <w:szCs w:val="13"/>
                <w:color w:val="auto"/>
              </w:rPr>
              <w:t>(98)</w:t>
            </w:r>
          </w:p>
        </w:tc>
        <w:tc>
          <w:tcPr>
            <w:tcW w:w="320" w:type="dxa"/>
            <w:vAlign w:val="bottom"/>
          </w:tcPr>
          <w:p>
            <w:pPr>
              <w:spacing w:after="0"/>
              <w:rPr>
                <w:sz w:val="14"/>
                <w:szCs w:val="14"/>
                <w:color w:val="auto"/>
              </w:rPr>
            </w:pPr>
          </w:p>
        </w:tc>
        <w:tc>
          <w:tcPr>
            <w:tcW w:w="1580" w:type="dxa"/>
            <w:vAlign w:val="bottom"/>
          </w:tcPr>
          <w:p>
            <w:pPr>
              <w:jc w:val="right"/>
              <w:ind w:right="77"/>
              <w:spacing w:after="0"/>
              <w:rPr>
                <w:sz w:val="20"/>
                <w:szCs w:val="20"/>
                <w:color w:val="auto"/>
              </w:rPr>
            </w:pPr>
            <w:r>
              <w:rPr>
                <w:rFonts w:ascii="Arial" w:cs="Arial" w:eastAsia="Arial" w:hAnsi="Arial"/>
                <w:sz w:val="13"/>
                <w:szCs w:val="13"/>
                <w:color w:val="auto"/>
              </w:rPr>
              <w:t>(640)</w:t>
            </w:r>
          </w:p>
        </w:tc>
      </w:tr>
      <w:tr>
        <w:trPr>
          <w:trHeight w:val="172"/>
        </w:trPr>
        <w:tc>
          <w:tcPr>
            <w:tcW w:w="7460" w:type="dxa"/>
            <w:vAlign w:val="bottom"/>
            <w:shd w:val="clear" w:color="auto" w:fill="CCEEFF"/>
          </w:tcPr>
          <w:p>
            <w:pPr>
              <w:ind w:left="160"/>
              <w:spacing w:after="0"/>
              <w:rPr>
                <w:sz w:val="20"/>
                <w:szCs w:val="20"/>
                <w:color w:val="auto"/>
              </w:rPr>
            </w:pPr>
            <w:r>
              <w:rPr>
                <w:rFonts w:ascii="Arial" w:cs="Arial" w:eastAsia="Arial" w:hAnsi="Arial"/>
                <w:sz w:val="13"/>
                <w:szCs w:val="13"/>
                <w:color w:val="auto"/>
              </w:rPr>
              <w:t>Sales contract derivative liabilities</w:t>
            </w:r>
          </w:p>
        </w:tc>
        <w:tc>
          <w:tcPr>
            <w:tcW w:w="280" w:type="dxa"/>
            <w:vAlign w:val="bottom"/>
            <w:shd w:val="clear" w:color="auto" w:fill="CCEEFF"/>
          </w:tcPr>
          <w:p>
            <w:pPr>
              <w:spacing w:after="0"/>
              <w:rPr>
                <w:sz w:val="14"/>
                <w:szCs w:val="14"/>
                <w:color w:val="auto"/>
              </w:rPr>
            </w:pPr>
          </w:p>
        </w:tc>
        <w:tc>
          <w:tcPr>
            <w:tcW w:w="162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(12,691)</w:t>
            </w:r>
          </w:p>
        </w:tc>
        <w:tc>
          <w:tcPr>
            <w:tcW w:w="320" w:type="dxa"/>
            <w:vAlign w:val="bottom"/>
            <w:shd w:val="clear" w:color="auto" w:fill="CCEEFF"/>
          </w:tcPr>
          <w:p>
            <w:pPr>
              <w:spacing w:after="0"/>
              <w:rPr>
                <w:sz w:val="14"/>
                <w:szCs w:val="14"/>
                <w:color w:val="auto"/>
              </w:rPr>
            </w:pPr>
          </w:p>
        </w:tc>
        <w:tc>
          <w:tcPr>
            <w:tcW w:w="15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w:t>
            </w:r>
          </w:p>
        </w:tc>
      </w:tr>
      <w:tr>
        <w:trPr>
          <w:trHeight w:val="170"/>
        </w:trPr>
        <w:tc>
          <w:tcPr>
            <w:tcW w:w="7460" w:type="dxa"/>
            <w:vAlign w:val="bottom"/>
          </w:tcPr>
          <w:p>
            <w:pPr>
              <w:ind w:left="160"/>
              <w:spacing w:after="0" w:line="170" w:lineRule="exact"/>
              <w:rPr>
                <w:sz w:val="20"/>
                <w:szCs w:val="20"/>
                <w:color w:val="auto"/>
              </w:rPr>
            </w:pPr>
            <w:r>
              <w:rPr>
                <w:rFonts w:ascii="Arial" w:cs="Arial" w:eastAsia="Arial" w:hAnsi="Arial"/>
                <w:sz w:val="13"/>
                <w:szCs w:val="13"/>
                <w:color w:val="auto"/>
              </w:rPr>
              <w:t>Cash collateral posted with brokers</w:t>
            </w:r>
            <w:r>
              <w:rPr>
                <w:rFonts w:ascii="Arial" w:cs="Arial" w:eastAsia="Arial" w:hAnsi="Arial"/>
                <w:sz w:val="16"/>
                <w:szCs w:val="16"/>
                <w:color w:val="auto"/>
                <w:vertAlign w:val="superscript"/>
              </w:rPr>
              <w:t>(a)</w:t>
            </w:r>
          </w:p>
        </w:tc>
        <w:tc>
          <w:tcPr>
            <w:tcW w:w="280" w:type="dxa"/>
            <w:vAlign w:val="bottom"/>
          </w:tcPr>
          <w:p>
            <w:pPr>
              <w:spacing w:after="0"/>
              <w:rPr>
                <w:sz w:val="14"/>
                <w:szCs w:val="14"/>
                <w:color w:val="auto"/>
              </w:rPr>
            </w:pPr>
          </w:p>
        </w:tc>
        <w:tc>
          <w:tcPr>
            <w:tcW w:w="1620" w:type="dxa"/>
            <w:vAlign w:val="bottom"/>
          </w:tcPr>
          <w:p>
            <w:pPr>
              <w:jc w:val="right"/>
              <w:ind w:right="137"/>
              <w:spacing w:after="0"/>
              <w:rPr>
                <w:sz w:val="20"/>
                <w:szCs w:val="20"/>
                <w:color w:val="auto"/>
              </w:rPr>
            </w:pPr>
            <w:r>
              <w:rPr>
                <w:rFonts w:ascii="Arial" w:cs="Arial" w:eastAsia="Arial" w:hAnsi="Arial"/>
                <w:sz w:val="13"/>
                <w:szCs w:val="13"/>
                <w:color w:val="auto"/>
              </w:rPr>
              <w:t>22,459</w:t>
            </w:r>
          </w:p>
        </w:tc>
        <w:tc>
          <w:tcPr>
            <w:tcW w:w="320" w:type="dxa"/>
            <w:vAlign w:val="bottom"/>
          </w:tcPr>
          <w:p>
            <w:pPr>
              <w:spacing w:after="0"/>
              <w:rPr>
                <w:sz w:val="14"/>
                <w:szCs w:val="14"/>
                <w:color w:val="auto"/>
              </w:rPr>
            </w:pPr>
          </w:p>
        </w:tc>
        <w:tc>
          <w:tcPr>
            <w:tcW w:w="1580" w:type="dxa"/>
            <w:vAlign w:val="bottom"/>
          </w:tcPr>
          <w:p>
            <w:pPr>
              <w:jc w:val="right"/>
              <w:ind w:right="97"/>
              <w:spacing w:after="0"/>
              <w:rPr>
                <w:sz w:val="20"/>
                <w:szCs w:val="20"/>
                <w:color w:val="auto"/>
              </w:rPr>
            </w:pPr>
            <w:r>
              <w:rPr>
                <w:rFonts w:ascii="Arial" w:cs="Arial" w:eastAsia="Arial" w:hAnsi="Arial"/>
                <w:sz w:val="13"/>
                <w:szCs w:val="13"/>
                <w:color w:val="auto"/>
              </w:rPr>
              <w:t>782</w:t>
            </w:r>
          </w:p>
        </w:tc>
      </w:tr>
      <w:tr>
        <w:trPr>
          <w:trHeight w:val="170"/>
        </w:trPr>
        <w:tc>
          <w:tcPr>
            <w:tcW w:w="7460" w:type="dxa"/>
            <w:vAlign w:val="bottom"/>
            <w:shd w:val="clear" w:color="auto" w:fill="CCEEFF"/>
          </w:tcPr>
          <w:p>
            <w:pPr>
              <w:spacing w:after="0" w:line="170" w:lineRule="exact"/>
              <w:rPr>
                <w:sz w:val="20"/>
                <w:szCs w:val="20"/>
                <w:color w:val="auto"/>
              </w:rPr>
            </w:pPr>
            <w:r>
              <w:rPr>
                <w:rFonts w:ascii="Arial" w:cs="Arial" w:eastAsia="Arial" w:hAnsi="Arial"/>
                <w:sz w:val="13"/>
                <w:szCs w:val="13"/>
                <w:b w:val="1"/>
                <w:bCs w:val="1"/>
                <w:color w:val="auto"/>
              </w:rPr>
              <w:t>Derivatives Coverage</w:t>
            </w:r>
            <w:r>
              <w:rPr>
                <w:rFonts w:ascii="Arial" w:cs="Arial" w:eastAsia="Arial" w:hAnsi="Arial"/>
                <w:sz w:val="16"/>
                <w:szCs w:val="16"/>
                <w:b w:val="1"/>
                <w:bCs w:val="1"/>
                <w:color w:val="auto"/>
                <w:vertAlign w:val="superscript"/>
              </w:rPr>
              <w:t>(b)</w:t>
            </w:r>
            <w:r>
              <w:rPr>
                <w:rFonts w:ascii="Arial" w:cs="Arial" w:eastAsia="Arial" w:hAnsi="Arial"/>
                <w:sz w:val="13"/>
                <w:szCs w:val="13"/>
                <w:b w:val="1"/>
                <w:bCs w:val="1"/>
                <w:color w:val="auto"/>
              </w:rPr>
              <w:t>:</w:t>
            </w:r>
          </w:p>
        </w:tc>
        <w:tc>
          <w:tcPr>
            <w:tcW w:w="28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r>
      <w:tr>
        <w:trPr>
          <w:trHeight w:val="168"/>
        </w:trPr>
        <w:tc>
          <w:tcPr>
            <w:tcW w:w="7460" w:type="dxa"/>
            <w:vAlign w:val="bottom"/>
          </w:tcPr>
          <w:p>
            <w:pPr>
              <w:ind w:left="160"/>
              <w:spacing w:after="0"/>
              <w:rPr>
                <w:sz w:val="20"/>
                <w:szCs w:val="20"/>
                <w:color w:val="auto"/>
              </w:rPr>
            </w:pPr>
            <w:r>
              <w:rPr>
                <w:rFonts w:ascii="Arial" w:cs="Arial" w:eastAsia="Arial" w:hAnsi="Arial"/>
                <w:sz w:val="13"/>
                <w:szCs w:val="13"/>
                <w:color w:val="auto"/>
              </w:rPr>
              <w:t>Corn</w:t>
            </w:r>
          </w:p>
        </w:tc>
        <w:tc>
          <w:tcPr>
            <w:tcW w:w="28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Arial" w:cs="Arial" w:eastAsia="Arial" w:hAnsi="Arial"/>
                <w:sz w:val="13"/>
                <w:szCs w:val="13"/>
                <w:color w:val="auto"/>
              </w:rPr>
              <w:t>6.6 %</w:t>
            </w:r>
          </w:p>
        </w:tc>
        <w:tc>
          <w:tcPr>
            <w:tcW w:w="32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Arial" w:cs="Arial" w:eastAsia="Arial" w:hAnsi="Arial"/>
                <w:sz w:val="13"/>
                <w:szCs w:val="13"/>
                <w:color w:val="auto"/>
              </w:rPr>
              <w:t>16.0 %</w:t>
            </w:r>
          </w:p>
        </w:tc>
      </w:tr>
      <w:tr>
        <w:trPr>
          <w:trHeight w:val="172"/>
        </w:trPr>
        <w:tc>
          <w:tcPr>
            <w:tcW w:w="7460" w:type="dxa"/>
            <w:vAlign w:val="bottom"/>
            <w:shd w:val="clear" w:color="auto" w:fill="CCEEFF"/>
          </w:tcPr>
          <w:p>
            <w:pPr>
              <w:ind w:left="160"/>
              <w:spacing w:after="0"/>
              <w:rPr>
                <w:sz w:val="20"/>
                <w:szCs w:val="20"/>
                <w:color w:val="auto"/>
              </w:rPr>
            </w:pPr>
            <w:r>
              <w:rPr>
                <w:rFonts w:ascii="Arial" w:cs="Arial" w:eastAsia="Arial" w:hAnsi="Arial"/>
                <w:sz w:val="13"/>
                <w:szCs w:val="13"/>
                <w:color w:val="auto"/>
              </w:rPr>
              <w:t>Soybean meal</w:t>
            </w:r>
          </w:p>
        </w:tc>
        <w:tc>
          <w:tcPr>
            <w:tcW w:w="28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11.8 %</w:t>
            </w:r>
          </w:p>
        </w:tc>
        <w:tc>
          <w:tcPr>
            <w:tcW w:w="32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24.0 %</w:t>
            </w:r>
          </w:p>
        </w:tc>
      </w:tr>
      <w:tr>
        <w:trPr>
          <w:trHeight w:val="168"/>
        </w:trPr>
        <w:tc>
          <w:tcPr>
            <w:tcW w:w="7460" w:type="dxa"/>
            <w:vAlign w:val="bottom"/>
          </w:tcPr>
          <w:p>
            <w:pPr>
              <w:ind w:left="160"/>
              <w:spacing w:after="0"/>
              <w:rPr>
                <w:sz w:val="20"/>
                <w:szCs w:val="20"/>
                <w:color w:val="auto"/>
              </w:rPr>
            </w:pPr>
            <w:r>
              <w:rPr>
                <w:rFonts w:ascii="Arial" w:cs="Arial" w:eastAsia="Arial" w:hAnsi="Arial"/>
                <w:sz w:val="13"/>
                <w:szCs w:val="13"/>
                <w:color w:val="auto"/>
              </w:rPr>
              <w:t>Period through which stated percent of needs are covered:</w:t>
            </w:r>
          </w:p>
        </w:tc>
        <w:tc>
          <w:tcPr>
            <w:tcW w:w="2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72"/>
        </w:trPr>
        <w:tc>
          <w:tcPr>
            <w:tcW w:w="7460" w:type="dxa"/>
            <w:vAlign w:val="bottom"/>
            <w:shd w:val="clear" w:color="auto" w:fill="CCEEFF"/>
          </w:tcPr>
          <w:p>
            <w:pPr>
              <w:ind w:left="360"/>
              <w:spacing w:after="0"/>
              <w:rPr>
                <w:sz w:val="20"/>
                <w:szCs w:val="20"/>
                <w:color w:val="auto"/>
              </w:rPr>
            </w:pPr>
            <w:r>
              <w:rPr>
                <w:rFonts w:ascii="Arial" w:cs="Arial" w:eastAsia="Arial" w:hAnsi="Arial"/>
                <w:sz w:val="13"/>
                <w:szCs w:val="13"/>
                <w:color w:val="auto"/>
              </w:rPr>
              <w:t>Corn</w:t>
            </w:r>
          </w:p>
        </w:tc>
        <w:tc>
          <w:tcPr>
            <w:tcW w:w="28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December 2022</w:t>
            </w:r>
          </w:p>
        </w:tc>
        <w:tc>
          <w:tcPr>
            <w:tcW w:w="32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December 2021</w:t>
            </w:r>
          </w:p>
        </w:tc>
      </w:tr>
      <w:tr>
        <w:trPr>
          <w:trHeight w:val="165"/>
        </w:trPr>
        <w:tc>
          <w:tcPr>
            <w:tcW w:w="7460" w:type="dxa"/>
            <w:vAlign w:val="bottom"/>
          </w:tcPr>
          <w:p>
            <w:pPr>
              <w:ind w:left="360"/>
              <w:spacing w:after="0"/>
              <w:rPr>
                <w:sz w:val="20"/>
                <w:szCs w:val="20"/>
                <w:color w:val="auto"/>
              </w:rPr>
            </w:pPr>
            <w:r>
              <w:rPr>
                <w:rFonts w:ascii="Arial" w:cs="Arial" w:eastAsia="Arial" w:hAnsi="Arial"/>
                <w:sz w:val="13"/>
                <w:szCs w:val="13"/>
                <w:color w:val="auto"/>
              </w:rPr>
              <w:t>Soybean meal</w:t>
            </w:r>
          </w:p>
        </w:tc>
        <w:tc>
          <w:tcPr>
            <w:tcW w:w="28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Arial" w:cs="Arial" w:eastAsia="Arial" w:hAnsi="Arial"/>
                <w:sz w:val="13"/>
                <w:szCs w:val="13"/>
                <w:color w:val="auto"/>
              </w:rPr>
              <w:t>December 2022</w:t>
            </w:r>
          </w:p>
        </w:tc>
        <w:tc>
          <w:tcPr>
            <w:tcW w:w="32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Arial" w:cs="Arial" w:eastAsia="Arial" w:hAnsi="Arial"/>
                <w:sz w:val="13"/>
                <w:szCs w:val="13"/>
                <w:color w:val="auto"/>
              </w:rPr>
              <w:t>December 2021</w:t>
            </w:r>
          </w:p>
        </w:tc>
      </w:tr>
    </w:tbl>
    <w:p>
      <w:pPr>
        <w:spacing w:after="0" w:line="32" w:lineRule="exact"/>
        <w:rPr>
          <w:sz w:val="20"/>
          <w:szCs w:val="20"/>
          <w:color w:val="auto"/>
        </w:rPr>
      </w:pPr>
    </w:p>
    <w:p>
      <w:pPr>
        <w:ind w:left="520" w:hanging="515"/>
        <w:spacing w:after="0"/>
        <w:tabs>
          <w:tab w:leader="none" w:pos="520" w:val="left"/>
        </w:tabs>
        <w:numPr>
          <w:ilvl w:val="0"/>
          <w:numId w:val="27"/>
        </w:numPr>
        <w:rPr>
          <w:rFonts w:ascii="Arial" w:cs="Arial" w:eastAsia="Arial" w:hAnsi="Arial"/>
          <w:sz w:val="11"/>
          <w:szCs w:val="11"/>
          <w:color w:val="auto"/>
        </w:rPr>
      </w:pPr>
      <w:r>
        <w:rPr>
          <w:rFonts w:ascii="Arial" w:cs="Arial" w:eastAsia="Arial" w:hAnsi="Arial"/>
          <w:sz w:val="11"/>
          <w:szCs w:val="11"/>
          <w:color w:val="auto"/>
        </w:rPr>
        <w:t>Collateral posted with brokers consists primarily of cash, short term treasury bills, or other cash equivalents.</w:t>
      </w:r>
    </w:p>
    <w:p>
      <w:pPr>
        <w:spacing w:after="0" w:line="10" w:lineRule="exact"/>
        <w:rPr>
          <w:rFonts w:ascii="Arial" w:cs="Arial" w:eastAsia="Arial" w:hAnsi="Arial"/>
          <w:sz w:val="11"/>
          <w:szCs w:val="11"/>
          <w:color w:val="auto"/>
        </w:rPr>
      </w:pPr>
    </w:p>
    <w:p>
      <w:pPr>
        <w:ind w:left="500" w:hanging="495"/>
        <w:spacing w:after="0"/>
        <w:tabs>
          <w:tab w:leader="none" w:pos="500" w:val="left"/>
        </w:tabs>
        <w:numPr>
          <w:ilvl w:val="0"/>
          <w:numId w:val="27"/>
        </w:numPr>
        <w:rPr>
          <w:rFonts w:ascii="Arial" w:cs="Arial" w:eastAsia="Arial" w:hAnsi="Arial"/>
          <w:sz w:val="11"/>
          <w:szCs w:val="11"/>
          <w:color w:val="auto"/>
        </w:rPr>
      </w:pPr>
      <w:r>
        <w:rPr>
          <w:rFonts w:ascii="Arial" w:cs="Arial" w:eastAsia="Arial" w:hAnsi="Arial"/>
          <w:sz w:val="11"/>
          <w:szCs w:val="11"/>
          <w:color w:val="auto"/>
        </w:rPr>
        <w:t>Derivatives coverage is the percent of anticipated commodity needs covered by outstanding derivative instruments through a specified date.</w:t>
      </w:r>
    </w:p>
    <w:p>
      <w:pPr>
        <w:spacing w:after="0" w:line="123"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following table presents the gains and losses of each derivative instrument held by the Company not designated or qualifying as hedging instruments: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640" w:type="dxa"/>
            <w:vAlign w:val="bottom"/>
            <w:vMerge w:val="restart"/>
          </w:tcPr>
          <w:p>
            <w:pPr>
              <w:ind w:left="920"/>
              <w:spacing w:after="0"/>
              <w:rPr>
                <w:sz w:val="20"/>
                <w:szCs w:val="20"/>
                <w:color w:val="auto"/>
              </w:rPr>
            </w:pPr>
            <w:r>
              <w:rPr>
                <w:rFonts w:ascii="Arial" w:cs="Arial" w:eastAsia="Arial" w:hAnsi="Arial"/>
                <w:sz w:val="11"/>
                <w:szCs w:val="11"/>
                <w:b w:val="1"/>
                <w:bCs w:val="1"/>
                <w:color w:val="auto"/>
              </w:rPr>
              <w:t xml:space="preserve">Losses (Gains) by Type of Contract </w:t>
            </w:r>
            <w:r>
              <w:rPr>
                <w:rFonts w:ascii="Arial" w:cs="Arial" w:eastAsia="Arial" w:hAnsi="Arial"/>
                <w:sz w:val="14"/>
                <w:szCs w:val="14"/>
                <w:b w:val="1"/>
                <w:bCs w:val="1"/>
                <w:color w:val="auto"/>
                <w:vertAlign w:val="superscript"/>
              </w:rPr>
              <w:t>(a)</w:t>
            </w:r>
          </w:p>
        </w:tc>
        <w:tc>
          <w:tcPr>
            <w:tcW w:w="220" w:type="dxa"/>
            <w:vAlign w:val="bottom"/>
          </w:tcPr>
          <w:p>
            <w:pPr>
              <w:spacing w:after="0"/>
              <w:rPr>
                <w:sz w:val="10"/>
                <w:szCs w:val="10"/>
                <w:color w:val="auto"/>
              </w:rPr>
            </w:pPr>
          </w:p>
        </w:tc>
        <w:tc>
          <w:tcPr>
            <w:tcW w:w="1480" w:type="dxa"/>
            <w:vAlign w:val="bottom"/>
            <w:gridSpan w:val="2"/>
            <w:vMerge w:val="restart"/>
          </w:tcPr>
          <w:p>
            <w:pPr>
              <w:ind w:left="120"/>
              <w:spacing w:after="0"/>
              <w:rPr>
                <w:sz w:val="20"/>
                <w:szCs w:val="20"/>
                <w:color w:val="auto"/>
              </w:rPr>
            </w:pPr>
            <w:r>
              <w:rPr>
                <w:rFonts w:ascii="Arial" w:cs="Arial" w:eastAsia="Arial" w:hAnsi="Arial"/>
                <w:sz w:val="11"/>
                <w:szCs w:val="11"/>
                <w:b w:val="1"/>
                <w:bCs w:val="1"/>
                <w:color w:val="auto"/>
              </w:rPr>
              <w:t>December 26, 2021</w:t>
            </w:r>
          </w:p>
        </w:tc>
        <w:tc>
          <w:tcPr>
            <w:tcW w:w="220" w:type="dxa"/>
            <w:vAlign w:val="bottom"/>
          </w:tcPr>
          <w:p>
            <w:pPr>
              <w:spacing w:after="0"/>
              <w:rPr>
                <w:sz w:val="10"/>
                <w:szCs w:val="10"/>
                <w:color w:val="auto"/>
              </w:rPr>
            </w:pPr>
          </w:p>
        </w:tc>
        <w:tc>
          <w:tcPr>
            <w:tcW w:w="1480" w:type="dxa"/>
            <w:vAlign w:val="bottom"/>
            <w:gridSpan w:val="2"/>
            <w:vMerge w:val="restart"/>
          </w:tcPr>
          <w:p>
            <w:pPr>
              <w:ind w:left="120"/>
              <w:spacing w:after="0"/>
              <w:rPr>
                <w:sz w:val="20"/>
                <w:szCs w:val="20"/>
                <w:color w:val="auto"/>
              </w:rPr>
            </w:pPr>
            <w:r>
              <w:rPr>
                <w:rFonts w:ascii="Arial" w:cs="Arial" w:eastAsia="Arial" w:hAnsi="Arial"/>
                <w:sz w:val="11"/>
                <w:szCs w:val="11"/>
                <w:b w:val="1"/>
                <w:bCs w:val="1"/>
                <w:color w:val="auto"/>
              </w:rPr>
              <w:t>December 27, 2020</w:t>
            </w:r>
          </w:p>
        </w:tc>
        <w:tc>
          <w:tcPr>
            <w:tcW w:w="220" w:type="dxa"/>
            <w:vAlign w:val="bottom"/>
          </w:tcPr>
          <w:p>
            <w:pPr>
              <w:spacing w:after="0"/>
              <w:rPr>
                <w:sz w:val="10"/>
                <w:szCs w:val="10"/>
                <w:color w:val="auto"/>
              </w:rPr>
            </w:pPr>
          </w:p>
        </w:tc>
        <w:tc>
          <w:tcPr>
            <w:tcW w:w="1380" w:type="dxa"/>
            <w:vAlign w:val="bottom"/>
            <w:vMerge w:val="restart"/>
          </w:tcPr>
          <w:p>
            <w:pPr>
              <w:jc w:val="right"/>
              <w:ind w:right="278"/>
              <w:spacing w:after="0"/>
              <w:rPr>
                <w:sz w:val="20"/>
                <w:szCs w:val="20"/>
                <w:color w:val="auto"/>
              </w:rPr>
            </w:pPr>
            <w:r>
              <w:rPr>
                <w:rFonts w:ascii="Arial" w:cs="Arial" w:eastAsia="Arial" w:hAnsi="Arial"/>
                <w:sz w:val="11"/>
                <w:szCs w:val="11"/>
                <w:b w:val="1"/>
                <w:bCs w:val="1"/>
                <w:color w:val="auto"/>
              </w:rPr>
              <w:t>December 29, 2019</w:t>
            </w:r>
          </w:p>
        </w:tc>
        <w:tc>
          <w:tcPr>
            <w:tcW w:w="2620" w:type="dxa"/>
            <w:vAlign w:val="bottom"/>
          </w:tcPr>
          <w:p>
            <w:pPr>
              <w:jc w:val="center"/>
              <w:spacing w:after="0"/>
              <w:rPr>
                <w:sz w:val="20"/>
                <w:szCs w:val="20"/>
                <w:color w:val="auto"/>
              </w:rPr>
            </w:pPr>
            <w:r>
              <w:rPr>
                <w:rFonts w:ascii="Arial" w:cs="Arial" w:eastAsia="Arial" w:hAnsi="Arial"/>
                <w:sz w:val="11"/>
                <w:szCs w:val="11"/>
                <w:b w:val="1"/>
                <w:bCs w:val="1"/>
                <w:color w:val="auto"/>
                <w:w w:val="92"/>
              </w:rPr>
              <w:t>Affected Line Item in the Consolidated Statements of</w:t>
            </w:r>
          </w:p>
        </w:tc>
        <w:tc>
          <w:tcPr>
            <w:tcW w:w="0" w:type="dxa"/>
            <w:vAlign w:val="bottom"/>
          </w:tcPr>
          <w:p>
            <w:pPr>
              <w:spacing w:after="0"/>
              <w:rPr>
                <w:sz w:val="1"/>
                <w:szCs w:val="1"/>
                <w:color w:val="auto"/>
              </w:rPr>
            </w:pPr>
          </w:p>
        </w:tc>
      </w:tr>
      <w:tr>
        <w:trPr>
          <w:trHeight w:val="149"/>
        </w:trPr>
        <w:tc>
          <w:tcPr>
            <w:tcW w:w="36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2620" w:type="dxa"/>
            <w:vAlign w:val="bottom"/>
          </w:tcPr>
          <w:p>
            <w:pPr>
              <w:jc w:val="center"/>
              <w:spacing w:after="0"/>
              <w:rPr>
                <w:sz w:val="20"/>
                <w:szCs w:val="20"/>
                <w:color w:val="auto"/>
              </w:rPr>
            </w:pPr>
            <w:r>
              <w:rPr>
                <w:rFonts w:ascii="Arial" w:cs="Arial" w:eastAsia="Arial" w:hAnsi="Arial"/>
                <w:sz w:val="11"/>
                <w:szCs w:val="11"/>
                <w:b w:val="1"/>
                <w:bCs w:val="1"/>
                <w:color w:val="auto"/>
                <w:w w:val="93"/>
              </w:rPr>
              <w:t>Income</w:t>
            </w:r>
          </w:p>
        </w:tc>
        <w:tc>
          <w:tcPr>
            <w:tcW w:w="0" w:type="dxa"/>
            <w:vAlign w:val="bottom"/>
          </w:tcPr>
          <w:p>
            <w:pPr>
              <w:spacing w:after="0"/>
              <w:rPr>
                <w:sz w:val="1"/>
                <w:szCs w:val="1"/>
                <w:color w:val="auto"/>
              </w:rPr>
            </w:pPr>
          </w:p>
        </w:tc>
      </w:tr>
      <w:tr>
        <w:trPr>
          <w:trHeight w:val="160"/>
        </w:trPr>
        <w:tc>
          <w:tcPr>
            <w:tcW w:w="36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Foreign currency derivatives gain (loss)</w:t>
            </w:r>
          </w:p>
        </w:tc>
        <w:tc>
          <w:tcPr>
            <w:tcW w:w="220" w:type="dxa"/>
            <w:vAlign w:val="bottom"/>
            <w:tcBorders>
              <w:top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380" w:type="dxa"/>
            <w:vAlign w:val="bottom"/>
            <w:tcBorders>
              <w:top w:val="single" w:sz="8" w:color="auto"/>
            </w:tcBorders>
            <w:shd w:val="clear" w:color="auto" w:fill="CCEEFF"/>
          </w:tcPr>
          <w:p>
            <w:pPr>
              <w:jc w:val="center"/>
              <w:ind w:left="878"/>
              <w:spacing w:after="0"/>
              <w:rPr>
                <w:sz w:val="20"/>
                <w:szCs w:val="20"/>
                <w:color w:val="auto"/>
              </w:rPr>
            </w:pPr>
            <w:r>
              <w:rPr>
                <w:rFonts w:ascii="Arial" w:cs="Arial" w:eastAsia="Arial" w:hAnsi="Arial"/>
                <w:sz w:val="13"/>
                <w:szCs w:val="13"/>
                <w:color w:val="auto"/>
                <w:w w:val="90"/>
              </w:rPr>
              <w:t>12,806</w:t>
            </w: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(6,637)</w:t>
            </w: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(17,839)</w:t>
            </w:r>
          </w:p>
        </w:tc>
        <w:tc>
          <w:tcPr>
            <w:tcW w:w="2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Foreign currency transaction (gains) losses</w:t>
            </w:r>
          </w:p>
        </w:tc>
        <w:tc>
          <w:tcPr>
            <w:tcW w:w="0" w:type="dxa"/>
            <w:vAlign w:val="bottom"/>
          </w:tcPr>
          <w:p>
            <w:pPr>
              <w:spacing w:after="0"/>
              <w:rPr>
                <w:sz w:val="1"/>
                <w:szCs w:val="1"/>
                <w:color w:val="auto"/>
              </w:rPr>
            </w:pPr>
          </w:p>
        </w:tc>
      </w:tr>
      <w:tr>
        <w:trPr>
          <w:trHeight w:val="168"/>
        </w:trPr>
        <w:tc>
          <w:tcPr>
            <w:tcW w:w="3640" w:type="dxa"/>
            <w:vAlign w:val="bottom"/>
          </w:tcPr>
          <w:p>
            <w:pPr>
              <w:ind w:left="20"/>
              <w:spacing w:after="0"/>
              <w:rPr>
                <w:sz w:val="20"/>
                <w:szCs w:val="20"/>
                <w:color w:val="auto"/>
              </w:rPr>
            </w:pPr>
            <w:r>
              <w:rPr>
                <w:rFonts w:ascii="Arial" w:cs="Arial" w:eastAsia="Arial" w:hAnsi="Arial"/>
                <w:sz w:val="13"/>
                <w:szCs w:val="13"/>
                <w:color w:val="auto"/>
              </w:rPr>
              <w:t>Commodity derivative gain (loss)</w:t>
            </w:r>
          </w:p>
        </w:tc>
        <w:tc>
          <w:tcPr>
            <w:tcW w:w="220" w:type="dxa"/>
            <w:vAlign w:val="bottom"/>
          </w:tcPr>
          <w:p>
            <w:pPr>
              <w:spacing w:after="0"/>
              <w:rPr>
                <w:sz w:val="14"/>
                <w:szCs w:val="14"/>
                <w:color w:val="auto"/>
              </w:rPr>
            </w:pPr>
          </w:p>
        </w:tc>
        <w:tc>
          <w:tcPr>
            <w:tcW w:w="1380" w:type="dxa"/>
            <w:vAlign w:val="bottom"/>
          </w:tcPr>
          <w:p>
            <w:pPr>
              <w:jc w:val="center"/>
              <w:ind w:left="878"/>
              <w:spacing w:after="0"/>
              <w:rPr>
                <w:sz w:val="20"/>
                <w:szCs w:val="20"/>
                <w:color w:val="auto"/>
              </w:rPr>
            </w:pPr>
            <w:r>
              <w:rPr>
                <w:rFonts w:ascii="Arial" w:cs="Arial" w:eastAsia="Arial" w:hAnsi="Arial"/>
                <w:sz w:val="13"/>
                <w:szCs w:val="13"/>
                <w:color w:val="auto"/>
                <w:w w:val="90"/>
              </w:rPr>
              <w:t>50,404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47,554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(12,306)</w:t>
            </w:r>
          </w:p>
        </w:tc>
        <w:tc>
          <w:tcPr>
            <w:tcW w:w="2620" w:type="dxa"/>
            <w:vAlign w:val="bottom"/>
          </w:tcPr>
          <w:p>
            <w:pPr>
              <w:ind w:left="20"/>
              <w:spacing w:after="0"/>
              <w:rPr>
                <w:sz w:val="20"/>
                <w:szCs w:val="20"/>
                <w:color w:val="auto"/>
              </w:rPr>
            </w:pPr>
            <w:r>
              <w:rPr>
                <w:rFonts w:ascii="Arial" w:cs="Arial" w:eastAsia="Arial" w:hAnsi="Arial"/>
                <w:sz w:val="13"/>
                <w:szCs w:val="13"/>
                <w:color w:val="auto"/>
              </w:rPr>
              <w:t>Cost of sales</w:t>
            </w:r>
          </w:p>
        </w:tc>
        <w:tc>
          <w:tcPr>
            <w:tcW w:w="0" w:type="dxa"/>
            <w:vAlign w:val="bottom"/>
          </w:tcPr>
          <w:p>
            <w:pPr>
              <w:spacing w:after="0"/>
              <w:rPr>
                <w:sz w:val="1"/>
                <w:szCs w:val="1"/>
                <w:color w:val="auto"/>
              </w:rPr>
            </w:pPr>
          </w:p>
        </w:tc>
      </w:tr>
      <w:tr>
        <w:trPr>
          <w:trHeight w:val="170"/>
        </w:trPr>
        <w:tc>
          <w:tcPr>
            <w:tcW w:w="3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Sales contract derivative loss</w:t>
            </w:r>
          </w:p>
        </w:tc>
        <w:tc>
          <w:tcPr>
            <w:tcW w:w="220" w:type="dxa"/>
            <w:vAlign w:val="bottom"/>
            <w:tcBorders>
              <w:bottom w:val="single" w:sz="8" w:color="auto"/>
            </w:tcBorders>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center"/>
              <w:ind w:left="858"/>
              <w:spacing w:after="0"/>
              <w:rPr>
                <w:sz w:val="20"/>
                <w:szCs w:val="20"/>
                <w:color w:val="auto"/>
              </w:rPr>
            </w:pPr>
            <w:r>
              <w:rPr>
                <w:rFonts w:ascii="Arial" w:cs="Arial" w:eastAsia="Arial" w:hAnsi="Arial"/>
                <w:sz w:val="13"/>
                <w:szCs w:val="13"/>
                <w:color w:val="auto"/>
                <w:w w:val="86"/>
              </w:rPr>
              <w:t>(12,691)</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(209)</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sales</w:t>
            </w:r>
          </w:p>
        </w:tc>
        <w:tc>
          <w:tcPr>
            <w:tcW w:w="0" w:type="dxa"/>
            <w:vAlign w:val="bottom"/>
          </w:tcPr>
          <w:p>
            <w:pPr>
              <w:spacing w:after="0"/>
              <w:rPr>
                <w:sz w:val="1"/>
                <w:szCs w:val="1"/>
                <w:color w:val="auto"/>
              </w:rPr>
            </w:pPr>
          </w:p>
        </w:tc>
      </w:tr>
      <w:tr>
        <w:trPr>
          <w:trHeight w:val="163"/>
        </w:trPr>
        <w:tc>
          <w:tcPr>
            <w:tcW w:w="3640" w:type="dxa"/>
            <w:vAlign w:val="bottom"/>
          </w:tcPr>
          <w:p>
            <w:pPr>
              <w:ind w:left="180"/>
              <w:spacing w:after="0"/>
              <w:rPr>
                <w:sz w:val="20"/>
                <w:szCs w:val="20"/>
                <w:color w:val="auto"/>
              </w:rPr>
            </w:pPr>
            <w:r>
              <w:rPr>
                <w:rFonts w:ascii="Arial" w:cs="Arial" w:eastAsia="Arial" w:hAnsi="Arial"/>
                <w:sz w:val="13"/>
                <w:szCs w:val="13"/>
                <w:color w:val="auto"/>
              </w:rPr>
              <w:t>Total</w:t>
            </w:r>
          </w:p>
        </w:tc>
        <w:tc>
          <w:tcPr>
            <w:tcW w:w="2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w w:val="82"/>
              </w:rPr>
              <w:t>$</w:t>
            </w:r>
          </w:p>
        </w:tc>
        <w:tc>
          <w:tcPr>
            <w:tcW w:w="1380" w:type="dxa"/>
            <w:vAlign w:val="bottom"/>
            <w:tcBorders>
              <w:bottom w:val="single" w:sz="8" w:color="auto"/>
            </w:tcBorders>
          </w:tcPr>
          <w:p>
            <w:pPr>
              <w:jc w:val="center"/>
              <w:ind w:left="878"/>
              <w:spacing w:after="0"/>
              <w:rPr>
                <w:sz w:val="20"/>
                <w:szCs w:val="20"/>
                <w:color w:val="auto"/>
              </w:rPr>
            </w:pPr>
            <w:r>
              <w:rPr>
                <w:rFonts w:ascii="Arial" w:cs="Arial" w:eastAsia="Arial" w:hAnsi="Arial"/>
                <w:sz w:val="13"/>
                <w:szCs w:val="13"/>
                <w:color w:val="auto"/>
                <w:w w:val="90"/>
              </w:rPr>
              <w:t>50,519</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w w:val="82"/>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40,708</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w w:val="82"/>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(30,145)</w:t>
            </w:r>
          </w:p>
        </w:tc>
        <w:tc>
          <w:tcPr>
            <w:tcW w:w="2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 w:lineRule="exact"/>
        <w:rPr>
          <w:sz w:val="20"/>
          <w:szCs w:val="20"/>
          <w:color w:val="auto"/>
        </w:rPr>
      </w:pPr>
    </w:p>
    <w:p>
      <w:pPr>
        <w:ind w:left="520" w:hanging="515"/>
        <w:spacing w:after="0"/>
        <w:tabs>
          <w:tab w:leader="none" w:pos="520" w:val="left"/>
        </w:tabs>
        <w:numPr>
          <w:ilvl w:val="0"/>
          <w:numId w:val="28"/>
        </w:numPr>
        <w:rPr>
          <w:rFonts w:ascii="Arial" w:cs="Arial" w:eastAsia="Arial" w:hAnsi="Arial"/>
          <w:sz w:val="11"/>
          <w:szCs w:val="11"/>
          <w:color w:val="auto"/>
        </w:rPr>
      </w:pPr>
      <w:r>
        <w:rPr>
          <w:rFonts w:ascii="Arial" w:cs="Arial" w:eastAsia="Arial" w:hAnsi="Arial"/>
          <w:sz w:val="11"/>
          <w:szCs w:val="11"/>
          <w:color w:val="auto"/>
        </w:rPr>
        <w:t>Amounts in parentheses represent income (expenses) related to results of operations.</w:t>
      </w:r>
    </w:p>
    <w:p>
      <w:pPr>
        <w:spacing w:after="0" w:line="133"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following tables present the components of the gain or loss on derivatives that qualify as cash flow hedges: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4360" w:type="dxa"/>
            <w:vAlign w:val="bottom"/>
          </w:tcPr>
          <w:p>
            <w:pPr>
              <w:spacing w:after="0"/>
              <w:rPr>
                <w:sz w:val="13"/>
                <w:szCs w:val="13"/>
                <w:color w:val="auto"/>
              </w:rPr>
            </w:pPr>
          </w:p>
        </w:tc>
        <w:tc>
          <w:tcPr>
            <w:tcW w:w="1660" w:type="dxa"/>
            <w:vAlign w:val="bottom"/>
            <w:tcBorders>
              <w:bottom w:val="single" w:sz="8" w:color="auto"/>
            </w:tcBorders>
          </w:tcPr>
          <w:p>
            <w:pPr>
              <w:spacing w:after="0"/>
              <w:rPr>
                <w:sz w:val="13"/>
                <w:szCs w:val="13"/>
                <w:color w:val="auto"/>
              </w:rPr>
            </w:pPr>
          </w:p>
        </w:tc>
        <w:tc>
          <w:tcPr>
            <w:tcW w:w="3580" w:type="dxa"/>
            <w:vAlign w:val="bottom"/>
            <w:tcBorders>
              <w:bottom w:val="single" w:sz="8" w:color="auto"/>
            </w:tcBorders>
            <w:gridSpan w:val="6"/>
          </w:tcPr>
          <w:p>
            <w:pPr>
              <w:jc w:val="center"/>
              <w:spacing w:after="0"/>
              <w:rPr>
                <w:sz w:val="20"/>
                <w:szCs w:val="20"/>
                <w:color w:val="auto"/>
              </w:rPr>
            </w:pPr>
            <w:r>
              <w:rPr>
                <w:rFonts w:ascii="Arial" w:cs="Arial" w:eastAsia="Arial" w:hAnsi="Arial"/>
                <w:sz w:val="11"/>
                <w:szCs w:val="11"/>
                <w:b w:val="1"/>
                <w:bCs w:val="1"/>
                <w:color w:val="auto"/>
                <w:w w:val="92"/>
              </w:rPr>
              <w:t>Gain (Loss) Recognized in Other Comprehensive Income on Derivative</w:t>
            </w:r>
          </w:p>
        </w:tc>
        <w:tc>
          <w:tcPr>
            <w:tcW w:w="1660" w:type="dxa"/>
            <w:vAlign w:val="bottom"/>
            <w:tcBorders>
              <w:bottom w:val="single" w:sz="8" w:color="auto"/>
            </w:tcBorders>
          </w:tcPr>
          <w:p>
            <w:pPr>
              <w:spacing w:after="0"/>
              <w:rPr>
                <w:sz w:val="13"/>
                <w:szCs w:val="13"/>
                <w:color w:val="auto"/>
              </w:rPr>
            </w:pPr>
          </w:p>
        </w:tc>
      </w:tr>
      <w:tr>
        <w:trPr>
          <w:trHeight w:val="142"/>
        </w:trPr>
        <w:tc>
          <w:tcPr>
            <w:tcW w:w="4360" w:type="dxa"/>
            <w:vAlign w:val="bottom"/>
          </w:tcPr>
          <w:p>
            <w:pPr>
              <w:spacing w:after="0"/>
              <w:rPr>
                <w:sz w:val="12"/>
                <w:szCs w:val="12"/>
                <w:color w:val="auto"/>
              </w:rPr>
            </w:pPr>
          </w:p>
        </w:tc>
        <w:tc>
          <w:tcPr>
            <w:tcW w:w="1660" w:type="dxa"/>
            <w:vAlign w:val="bottom"/>
            <w:tcBorders>
              <w:bottom w:val="single" w:sz="8" w:color="auto"/>
            </w:tcBorders>
          </w:tcPr>
          <w:p>
            <w:pPr>
              <w:jc w:val="right"/>
              <w:ind w:right="19"/>
              <w:spacing w:after="0"/>
              <w:rPr>
                <w:sz w:val="20"/>
                <w:szCs w:val="20"/>
                <w:color w:val="auto"/>
              </w:rPr>
            </w:pPr>
            <w:r>
              <w:rPr>
                <w:rFonts w:ascii="Arial" w:cs="Arial" w:eastAsia="Arial" w:hAnsi="Arial"/>
                <w:sz w:val="11"/>
                <w:szCs w:val="11"/>
                <w:b w:val="1"/>
                <w:bCs w:val="1"/>
                <w:color w:val="auto"/>
              </w:rPr>
              <w:t>December 26, 2021</w:t>
            </w:r>
          </w:p>
        </w:tc>
        <w:tc>
          <w:tcPr>
            <w:tcW w:w="5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96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1"/>
                <w:szCs w:val="11"/>
                <w:b w:val="1"/>
                <w:bCs w:val="1"/>
                <w:color w:val="auto"/>
                <w:w w:val="90"/>
              </w:rPr>
              <w:t>December 27, 2020</w:t>
            </w:r>
          </w:p>
        </w:tc>
        <w:tc>
          <w:tcPr>
            <w:tcW w:w="580" w:type="dxa"/>
            <w:vAlign w:val="bottom"/>
            <w:tcBorders>
              <w:bottom w:val="single" w:sz="8" w:color="auto"/>
            </w:tcBorders>
          </w:tcPr>
          <w:p>
            <w:pPr>
              <w:spacing w:after="0"/>
              <w:rPr>
                <w:sz w:val="12"/>
                <w:szCs w:val="12"/>
                <w:color w:val="auto"/>
              </w:rPr>
            </w:pPr>
          </w:p>
        </w:tc>
        <w:tc>
          <w:tcPr>
            <w:tcW w:w="1660" w:type="dxa"/>
            <w:vAlign w:val="bottom"/>
            <w:tcBorders>
              <w:bottom w:val="single" w:sz="8" w:color="auto"/>
            </w:tcBorders>
          </w:tcPr>
          <w:p>
            <w:pPr>
              <w:jc w:val="right"/>
              <w:ind w:right="598"/>
              <w:spacing w:after="0"/>
              <w:rPr>
                <w:sz w:val="20"/>
                <w:szCs w:val="20"/>
                <w:color w:val="auto"/>
              </w:rPr>
            </w:pPr>
            <w:r>
              <w:rPr>
                <w:rFonts w:ascii="Arial" w:cs="Arial" w:eastAsia="Arial" w:hAnsi="Arial"/>
                <w:sz w:val="11"/>
                <w:szCs w:val="11"/>
                <w:b w:val="1"/>
                <w:bCs w:val="1"/>
                <w:color w:val="auto"/>
                <w:w w:val="98"/>
              </w:rPr>
              <w:t>December 29, 2019</w:t>
            </w:r>
          </w:p>
        </w:tc>
      </w:tr>
      <w:tr>
        <w:trPr>
          <w:trHeight w:val="124"/>
        </w:trPr>
        <w:tc>
          <w:tcPr>
            <w:tcW w:w="436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960" w:type="dxa"/>
            <w:vAlign w:val="bottom"/>
            <w:gridSpan w:val="2"/>
          </w:tcPr>
          <w:p>
            <w:pPr>
              <w:jc w:val="center"/>
              <w:ind w:right="460"/>
              <w:spacing w:after="0"/>
              <w:rPr>
                <w:sz w:val="20"/>
                <w:szCs w:val="20"/>
                <w:color w:val="auto"/>
              </w:rPr>
            </w:pPr>
            <w:r>
              <w:rPr>
                <w:rFonts w:ascii="Arial" w:cs="Arial" w:eastAsia="Arial" w:hAnsi="Arial"/>
                <w:sz w:val="10"/>
                <w:szCs w:val="10"/>
                <w:b w:val="1"/>
                <w:bCs w:val="1"/>
                <w:color w:val="auto"/>
                <w:w w:val="89"/>
              </w:rPr>
              <w:t>(In thousands)</w:t>
            </w:r>
          </w:p>
        </w:tc>
        <w:tc>
          <w:tcPr>
            <w:tcW w:w="580" w:type="dxa"/>
            <w:vAlign w:val="bottom"/>
          </w:tcPr>
          <w:p>
            <w:pPr>
              <w:spacing w:after="0"/>
              <w:rPr>
                <w:sz w:val="10"/>
                <w:szCs w:val="10"/>
                <w:color w:val="auto"/>
              </w:rPr>
            </w:pPr>
          </w:p>
        </w:tc>
        <w:tc>
          <w:tcPr>
            <w:tcW w:w="1660" w:type="dxa"/>
            <w:vAlign w:val="bottom"/>
          </w:tcPr>
          <w:p>
            <w:pPr>
              <w:spacing w:after="0"/>
              <w:rPr>
                <w:sz w:val="10"/>
                <w:szCs w:val="10"/>
                <w:color w:val="auto"/>
              </w:rPr>
            </w:pPr>
          </w:p>
        </w:tc>
      </w:tr>
      <w:tr>
        <w:trPr>
          <w:trHeight w:val="176"/>
        </w:trPr>
        <w:tc>
          <w:tcPr>
            <w:tcW w:w="4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Foreign currency derivatives</w:t>
            </w:r>
          </w:p>
        </w:tc>
        <w:tc>
          <w:tcPr>
            <w:tcW w:w="1660" w:type="dxa"/>
            <w:vAlign w:val="bottom"/>
            <w:shd w:val="clear" w:color="auto" w:fill="CCEEFF"/>
          </w:tcPr>
          <w:p>
            <w:pPr>
              <w:jc w:val="right"/>
              <w:ind w:right="1519"/>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ind w:left="320"/>
              <w:spacing w:after="0"/>
              <w:rPr>
                <w:sz w:val="20"/>
                <w:szCs w:val="20"/>
                <w:color w:val="auto"/>
              </w:rPr>
            </w:pPr>
            <w:r>
              <w:rPr>
                <w:rFonts w:ascii="Arial" w:cs="Arial" w:eastAsia="Arial" w:hAnsi="Arial"/>
                <w:sz w:val="13"/>
                <w:szCs w:val="13"/>
                <w:color w:val="auto"/>
              </w:rPr>
              <w:t>471</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w w:val="82"/>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4,514</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436"/>
              <w:spacing w:after="0"/>
              <w:rPr>
                <w:sz w:val="20"/>
                <w:szCs w:val="20"/>
                <w:color w:val="auto"/>
              </w:rPr>
            </w:pPr>
            <w:r>
              <w:rPr>
                <w:rFonts w:ascii="Arial" w:cs="Arial" w:eastAsia="Arial" w:hAnsi="Arial"/>
                <w:sz w:val="13"/>
                <w:szCs w:val="13"/>
                <w:color w:val="auto"/>
                <w:w w:val="82"/>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(2,052)</w:t>
            </w:r>
          </w:p>
        </w:tc>
      </w:tr>
      <w:tr>
        <w:trPr>
          <w:trHeight w:val="168"/>
        </w:trPr>
        <w:tc>
          <w:tcPr>
            <w:tcW w:w="43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Interest rate swap derivatives</w:t>
            </w:r>
          </w:p>
        </w:tc>
        <w:tc>
          <w:tcPr>
            <w:tcW w:w="16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ind w:left="340"/>
              <w:spacing w:after="0"/>
              <w:rPr>
                <w:sz w:val="20"/>
                <w:szCs w:val="20"/>
                <w:color w:val="auto"/>
              </w:rPr>
            </w:pPr>
            <w:r>
              <w:rPr>
                <w:rFonts w:ascii="Arial" w:cs="Arial" w:eastAsia="Arial" w:hAnsi="Arial"/>
                <w:sz w:val="13"/>
                <w:szCs w:val="13"/>
                <w:color w:val="auto"/>
                <w:w w:val="94"/>
              </w:rPr>
              <w:t>(88)</w:t>
            </w: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(850)</w:t>
            </w:r>
          </w:p>
        </w:tc>
        <w:tc>
          <w:tcPr>
            <w:tcW w:w="10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188"/>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Total</w:t>
            </w:r>
          </w:p>
        </w:tc>
        <w:tc>
          <w:tcPr>
            <w:tcW w:w="1660" w:type="dxa"/>
            <w:vAlign w:val="bottom"/>
            <w:tcBorders>
              <w:bottom w:val="single" w:sz="8" w:color="auto"/>
            </w:tcBorders>
            <w:shd w:val="clear" w:color="auto" w:fill="CCEEFF"/>
          </w:tcPr>
          <w:p>
            <w:pPr>
              <w:jc w:val="right"/>
              <w:ind w:right="1519"/>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3"/>
                <w:szCs w:val="13"/>
                <w:color w:val="auto"/>
              </w:rPr>
              <w:t>383</w:t>
            </w:r>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3"/>
                <w:szCs w:val="13"/>
                <w:color w:val="auto"/>
                <w:w w:val="82"/>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3,664</w:t>
            </w:r>
          </w:p>
        </w:tc>
        <w:tc>
          <w:tcPr>
            <w:tcW w:w="1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ind w:right="436"/>
              <w:spacing w:after="0"/>
              <w:rPr>
                <w:sz w:val="20"/>
                <w:szCs w:val="20"/>
                <w:color w:val="auto"/>
              </w:rPr>
            </w:pPr>
            <w:r>
              <w:rPr>
                <w:rFonts w:ascii="Arial" w:cs="Arial" w:eastAsia="Arial" w:hAnsi="Arial"/>
                <w:sz w:val="13"/>
                <w:szCs w:val="13"/>
                <w:color w:val="auto"/>
                <w:w w:val="82"/>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(2,052)</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6" w:name="page67"/>
    <w:bookmarkEnd w:id="6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NOTES TO CONSOLIDATED FINANCIAL STATEMENTS</w:t>
      </w: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36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1"/>
                <w:szCs w:val="11"/>
                <w:b w:val="1"/>
                <w:bCs w:val="1"/>
                <w:color w:val="auto"/>
                <w:w w:val="92"/>
              </w:rPr>
              <w:t>December 26, 2021</w:t>
            </w:r>
          </w:p>
        </w:tc>
        <w:tc>
          <w:tcPr>
            <w:tcW w:w="1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1"/>
                <w:szCs w:val="11"/>
                <w:b w:val="1"/>
                <w:bCs w:val="1"/>
                <w:color w:val="auto"/>
                <w:w w:val="92"/>
              </w:rPr>
              <w:t>December 27, 2020</w:t>
            </w:r>
          </w:p>
        </w:tc>
        <w:tc>
          <w:tcPr>
            <w:tcW w:w="1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1"/>
        </w:trPr>
        <w:tc>
          <w:tcPr>
            <w:tcW w:w="3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20" w:type="dxa"/>
            <w:vAlign w:val="bottom"/>
            <w:vMerge w:val="restart"/>
          </w:tcPr>
          <w:p>
            <w:pPr>
              <w:jc w:val="right"/>
              <w:ind w:right="318"/>
              <w:spacing w:after="0"/>
              <w:rPr>
                <w:sz w:val="20"/>
                <w:szCs w:val="20"/>
                <w:color w:val="auto"/>
              </w:rPr>
            </w:pPr>
            <w:r>
              <w:rPr>
                <w:rFonts w:ascii="Arial" w:cs="Arial" w:eastAsia="Arial" w:hAnsi="Arial"/>
                <w:sz w:val="11"/>
                <w:szCs w:val="11"/>
                <w:b w:val="1"/>
                <w:bCs w:val="1"/>
                <w:color w:val="auto"/>
              </w:rPr>
              <w:t>Net sales</w:t>
            </w:r>
            <w:r>
              <w:rPr>
                <w:rFonts w:ascii="Arial" w:cs="Arial" w:eastAsia="Arial" w:hAnsi="Arial"/>
                <w:sz w:val="14"/>
                <w:szCs w:val="14"/>
                <w:b w:val="1"/>
                <w:bCs w:val="1"/>
                <w:color w:val="auto"/>
                <w:vertAlign w:val="superscript"/>
              </w:rPr>
              <w:t>(a)</w:t>
            </w:r>
          </w:p>
        </w:tc>
        <w:tc>
          <w:tcPr>
            <w:tcW w:w="180" w:type="dxa"/>
            <w:vAlign w:val="bottom"/>
          </w:tcPr>
          <w:p>
            <w:pPr>
              <w:spacing w:after="0"/>
              <w:rPr>
                <w:sz w:val="8"/>
                <w:szCs w:val="8"/>
                <w:color w:val="auto"/>
              </w:rPr>
            </w:pPr>
          </w:p>
        </w:tc>
        <w:tc>
          <w:tcPr>
            <w:tcW w:w="1120" w:type="dxa"/>
            <w:vAlign w:val="bottom"/>
            <w:vMerge w:val="restart"/>
          </w:tcPr>
          <w:p>
            <w:pPr>
              <w:jc w:val="right"/>
              <w:ind w:right="239"/>
              <w:spacing w:after="0"/>
              <w:rPr>
                <w:sz w:val="20"/>
                <w:szCs w:val="20"/>
                <w:color w:val="auto"/>
              </w:rPr>
            </w:pPr>
            <w:r>
              <w:rPr>
                <w:rFonts w:ascii="Arial" w:cs="Arial" w:eastAsia="Arial" w:hAnsi="Arial"/>
                <w:sz w:val="11"/>
                <w:szCs w:val="11"/>
                <w:b w:val="1"/>
                <w:bCs w:val="1"/>
                <w:color w:val="auto"/>
                <w:w w:val="99"/>
              </w:rPr>
              <w:t>Cost of sales</w:t>
            </w:r>
            <w:r>
              <w:rPr>
                <w:rFonts w:ascii="Arial" w:cs="Arial" w:eastAsia="Arial" w:hAnsi="Arial"/>
                <w:sz w:val="14"/>
                <w:szCs w:val="14"/>
                <w:b w:val="1"/>
                <w:bCs w:val="1"/>
                <w:color w:val="auto"/>
                <w:w w:val="99"/>
                <w:vertAlign w:val="superscript"/>
              </w:rPr>
              <w:t>(b)</w:t>
            </w:r>
          </w:p>
        </w:tc>
        <w:tc>
          <w:tcPr>
            <w:tcW w:w="1260" w:type="dxa"/>
            <w:vAlign w:val="bottom"/>
            <w:gridSpan w:val="2"/>
          </w:tcPr>
          <w:p>
            <w:pPr>
              <w:jc w:val="center"/>
              <w:spacing w:after="0" w:line="101" w:lineRule="exact"/>
              <w:rPr>
                <w:sz w:val="20"/>
                <w:szCs w:val="20"/>
                <w:color w:val="auto"/>
              </w:rPr>
            </w:pPr>
            <w:r>
              <w:rPr>
                <w:rFonts w:ascii="Arial" w:cs="Arial" w:eastAsia="Arial" w:hAnsi="Arial"/>
                <w:sz w:val="11"/>
                <w:szCs w:val="11"/>
                <w:b w:val="1"/>
                <w:bCs w:val="1"/>
                <w:color w:val="auto"/>
                <w:w w:val="91"/>
              </w:rPr>
              <w:t>Interest expense, net of</w:t>
            </w: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940" w:type="dxa"/>
            <w:vAlign w:val="bottom"/>
            <w:vMerge w:val="restart"/>
          </w:tcPr>
          <w:p>
            <w:pPr>
              <w:jc w:val="right"/>
              <w:ind w:right="338"/>
              <w:spacing w:after="0"/>
              <w:rPr>
                <w:sz w:val="20"/>
                <w:szCs w:val="20"/>
                <w:color w:val="auto"/>
              </w:rPr>
            </w:pPr>
            <w:r>
              <w:rPr>
                <w:rFonts w:ascii="Arial" w:cs="Arial" w:eastAsia="Arial" w:hAnsi="Arial"/>
                <w:sz w:val="11"/>
                <w:szCs w:val="11"/>
                <w:b w:val="1"/>
                <w:bCs w:val="1"/>
                <w:color w:val="auto"/>
                <w:w w:val="87"/>
              </w:rPr>
              <w:t>Net sales</w:t>
            </w:r>
            <w:r>
              <w:rPr>
                <w:rFonts w:ascii="Arial" w:cs="Arial" w:eastAsia="Arial" w:hAnsi="Arial"/>
                <w:sz w:val="14"/>
                <w:szCs w:val="14"/>
                <w:b w:val="1"/>
                <w:bCs w:val="1"/>
                <w:color w:val="auto"/>
                <w:w w:val="87"/>
                <w:vertAlign w:val="superscript"/>
              </w:rPr>
              <w:t>(a)</w:t>
            </w:r>
          </w:p>
        </w:tc>
        <w:tc>
          <w:tcPr>
            <w:tcW w:w="160" w:type="dxa"/>
            <w:vAlign w:val="bottom"/>
          </w:tcPr>
          <w:p>
            <w:pPr>
              <w:spacing w:after="0"/>
              <w:rPr>
                <w:sz w:val="8"/>
                <w:szCs w:val="8"/>
                <w:color w:val="auto"/>
              </w:rPr>
            </w:pPr>
          </w:p>
        </w:tc>
        <w:tc>
          <w:tcPr>
            <w:tcW w:w="1120" w:type="dxa"/>
            <w:vAlign w:val="bottom"/>
            <w:vMerge w:val="restart"/>
          </w:tcPr>
          <w:p>
            <w:pPr>
              <w:jc w:val="right"/>
              <w:ind w:right="219"/>
              <w:spacing w:after="0"/>
              <w:rPr>
                <w:sz w:val="20"/>
                <w:szCs w:val="20"/>
                <w:color w:val="auto"/>
              </w:rPr>
            </w:pPr>
            <w:r>
              <w:rPr>
                <w:rFonts w:ascii="Arial" w:cs="Arial" w:eastAsia="Arial" w:hAnsi="Arial"/>
                <w:sz w:val="11"/>
                <w:szCs w:val="11"/>
                <w:b w:val="1"/>
                <w:bCs w:val="1"/>
                <w:color w:val="auto"/>
              </w:rPr>
              <w:t>Cost of sales</w:t>
            </w:r>
            <w:r>
              <w:rPr>
                <w:rFonts w:ascii="Arial" w:cs="Arial" w:eastAsia="Arial" w:hAnsi="Arial"/>
                <w:sz w:val="14"/>
                <w:szCs w:val="14"/>
                <w:b w:val="1"/>
                <w:bCs w:val="1"/>
                <w:color w:val="auto"/>
                <w:vertAlign w:val="superscript"/>
              </w:rPr>
              <w:t>(b)</w:t>
            </w:r>
          </w:p>
        </w:tc>
        <w:tc>
          <w:tcPr>
            <w:tcW w:w="1260" w:type="dxa"/>
            <w:vAlign w:val="bottom"/>
            <w:gridSpan w:val="2"/>
          </w:tcPr>
          <w:p>
            <w:pPr>
              <w:jc w:val="right"/>
              <w:spacing w:after="0" w:line="101" w:lineRule="exact"/>
              <w:rPr>
                <w:sz w:val="20"/>
                <w:szCs w:val="20"/>
                <w:color w:val="auto"/>
              </w:rPr>
            </w:pPr>
            <w:r>
              <w:rPr>
                <w:rFonts w:ascii="Arial" w:cs="Arial" w:eastAsia="Arial" w:hAnsi="Arial"/>
                <w:sz w:val="11"/>
                <w:szCs w:val="11"/>
                <w:b w:val="1"/>
                <w:bCs w:val="1"/>
                <w:color w:val="auto"/>
                <w:w w:val="97"/>
              </w:rPr>
              <w:t>Interest expense, net of</w:t>
            </w:r>
          </w:p>
        </w:tc>
        <w:tc>
          <w:tcPr>
            <w:tcW w:w="0" w:type="dxa"/>
            <w:vAlign w:val="bottom"/>
          </w:tcPr>
          <w:p>
            <w:pPr>
              <w:spacing w:after="0"/>
              <w:rPr>
                <w:sz w:val="1"/>
                <w:szCs w:val="1"/>
                <w:color w:val="auto"/>
              </w:rPr>
            </w:pPr>
          </w:p>
        </w:tc>
      </w:tr>
      <w:tr>
        <w:trPr>
          <w:trHeight w:val="149"/>
        </w:trPr>
        <w:tc>
          <w:tcPr>
            <w:tcW w:w="36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vMerge w:val="continue"/>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vMerge w:val="continue"/>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2"/>
          </w:tcPr>
          <w:p>
            <w:pPr>
              <w:jc w:val="center"/>
              <w:ind w:right="180"/>
              <w:spacing w:after="0" w:line="149" w:lineRule="exact"/>
              <w:rPr>
                <w:sz w:val="20"/>
                <w:szCs w:val="20"/>
                <w:color w:val="auto"/>
              </w:rPr>
            </w:pPr>
            <w:r>
              <w:rPr>
                <w:rFonts w:ascii="Arial" w:cs="Arial" w:eastAsia="Arial" w:hAnsi="Arial"/>
                <w:sz w:val="11"/>
                <w:szCs w:val="11"/>
                <w:b w:val="1"/>
                <w:bCs w:val="1"/>
                <w:color w:val="auto"/>
                <w:w w:val="90"/>
              </w:rPr>
              <w:t>capitalized interest</w:t>
            </w:r>
            <w:r>
              <w:rPr>
                <w:rFonts w:ascii="Arial" w:cs="Arial" w:eastAsia="Arial" w:hAnsi="Arial"/>
                <w:sz w:val="14"/>
                <w:szCs w:val="14"/>
                <w:b w:val="1"/>
                <w:bCs w:val="1"/>
                <w:color w:val="auto"/>
                <w:w w:val="90"/>
                <w:vertAlign w:val="superscript"/>
              </w:rPr>
              <w:t>(b)</w:t>
            </w:r>
          </w:p>
        </w:tc>
        <w:tc>
          <w:tcPr>
            <w:tcW w:w="3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38"/>
              <w:spacing w:after="0" w:line="149" w:lineRule="exact"/>
              <w:rPr>
                <w:sz w:val="20"/>
                <w:szCs w:val="20"/>
                <w:color w:val="auto"/>
              </w:rPr>
            </w:pPr>
            <w:r>
              <w:rPr>
                <w:rFonts w:ascii="Arial" w:cs="Arial" w:eastAsia="Arial" w:hAnsi="Arial"/>
                <w:sz w:val="11"/>
                <w:szCs w:val="11"/>
                <w:b w:val="1"/>
                <w:bCs w:val="1"/>
                <w:color w:val="auto"/>
                <w:w w:val="88"/>
              </w:rPr>
              <w:t>capitalized interest</w:t>
            </w:r>
            <w:r>
              <w:rPr>
                <w:rFonts w:ascii="Arial" w:cs="Arial" w:eastAsia="Arial" w:hAnsi="Arial"/>
                <w:sz w:val="14"/>
                <w:szCs w:val="14"/>
                <w:b w:val="1"/>
                <w:bCs w:val="1"/>
                <w:color w:val="auto"/>
                <w:w w:val="88"/>
                <w:vertAlign w:val="superscript"/>
              </w:rPr>
              <w:t>(b)</w:t>
            </w:r>
          </w:p>
        </w:tc>
        <w:tc>
          <w:tcPr>
            <w:tcW w:w="0" w:type="dxa"/>
            <w:vAlign w:val="bottom"/>
          </w:tcPr>
          <w:p>
            <w:pPr>
              <w:spacing w:after="0"/>
              <w:rPr>
                <w:sz w:val="1"/>
                <w:szCs w:val="1"/>
                <w:color w:val="auto"/>
              </w:rPr>
            </w:pPr>
          </w:p>
        </w:tc>
      </w:tr>
      <w:tr>
        <w:trPr>
          <w:trHeight w:val="123"/>
        </w:trPr>
        <w:tc>
          <w:tcPr>
            <w:tcW w:w="3620" w:type="dxa"/>
            <w:vAlign w:val="bottom"/>
            <w:tcBorders>
              <w:bottom w:val="single" w:sz="8" w:color="CCEEFF"/>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(In thousands)</w:t>
            </w:r>
          </w:p>
        </w:tc>
        <w:tc>
          <w:tcPr>
            <w:tcW w:w="9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3620" w:type="dxa"/>
            <w:vAlign w:val="bottom"/>
            <w:shd w:val="clear" w:color="auto" w:fill="CCEEFF"/>
          </w:tcPr>
          <w:p>
            <w:pPr>
              <w:ind w:left="20"/>
              <w:spacing w:after="0" w:line="117" w:lineRule="exact"/>
              <w:rPr>
                <w:sz w:val="20"/>
                <w:szCs w:val="20"/>
                <w:color w:val="auto"/>
              </w:rPr>
            </w:pPr>
            <w:r>
              <w:rPr>
                <w:rFonts w:ascii="Arial" w:cs="Arial" w:eastAsia="Arial" w:hAnsi="Arial"/>
                <w:sz w:val="13"/>
                <w:szCs w:val="13"/>
                <w:color w:val="auto"/>
                <w:w w:val="95"/>
              </w:rPr>
              <w:t>Total amounts of income and expense line items presented in the</w:t>
            </w:r>
          </w:p>
        </w:tc>
        <w:tc>
          <w:tcPr>
            <w:tcW w:w="2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3620" w:type="dxa"/>
            <w:vAlign w:val="bottom"/>
            <w:shd w:val="clear" w:color="auto" w:fill="CCEEFF"/>
          </w:tcPr>
          <w:p>
            <w:pPr>
              <w:ind w:left="140"/>
              <w:spacing w:after="0" w:line="128" w:lineRule="exact"/>
              <w:rPr>
                <w:sz w:val="20"/>
                <w:szCs w:val="20"/>
                <w:color w:val="auto"/>
              </w:rPr>
            </w:pPr>
            <w:r>
              <w:rPr>
                <w:rFonts w:ascii="Arial" w:cs="Arial" w:eastAsia="Arial" w:hAnsi="Arial"/>
                <w:sz w:val="13"/>
                <w:szCs w:val="13"/>
                <w:color w:val="auto"/>
                <w:w w:val="94"/>
              </w:rPr>
              <w:t>Consolidated Statements of Income in which the effects of cash</w:t>
            </w:r>
          </w:p>
        </w:tc>
        <w:tc>
          <w:tcPr>
            <w:tcW w:w="200" w:type="dxa"/>
            <w:vAlign w:val="bottom"/>
            <w:vMerge w:val="restart"/>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020" w:type="dxa"/>
            <w:vAlign w:val="bottom"/>
            <w:vMerge w:val="restart"/>
            <w:shd w:val="clear" w:color="auto" w:fill="CCEEFF"/>
          </w:tcPr>
          <w:p>
            <w:pPr>
              <w:jc w:val="right"/>
              <w:ind w:right="18"/>
              <w:spacing w:after="0"/>
              <w:rPr>
                <w:sz w:val="20"/>
                <w:szCs w:val="20"/>
                <w:color w:val="auto"/>
              </w:rPr>
            </w:pPr>
            <w:r>
              <w:rPr>
                <w:rFonts w:ascii="Arial" w:cs="Arial" w:eastAsia="Arial" w:hAnsi="Arial"/>
                <w:sz w:val="13"/>
                <w:szCs w:val="13"/>
                <w:color w:val="auto"/>
              </w:rPr>
              <w:t>14,777,458</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20" w:type="dxa"/>
            <w:vAlign w:val="bottom"/>
            <w:vMerge w:val="restart"/>
            <w:shd w:val="clear" w:color="auto" w:fill="CCEEFF"/>
          </w:tcPr>
          <w:p>
            <w:pPr>
              <w:jc w:val="right"/>
              <w:ind w:right="19"/>
              <w:spacing w:after="0"/>
              <w:rPr>
                <w:sz w:val="20"/>
                <w:szCs w:val="20"/>
                <w:color w:val="auto"/>
              </w:rPr>
            </w:pPr>
            <w:r>
              <w:rPr>
                <w:rFonts w:ascii="Arial" w:cs="Arial" w:eastAsia="Arial" w:hAnsi="Arial"/>
                <w:sz w:val="13"/>
                <w:szCs w:val="13"/>
                <w:color w:val="auto"/>
              </w:rPr>
              <w:t>13,411,631</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20" w:type="dxa"/>
            <w:vAlign w:val="bottom"/>
            <w:vMerge w:val="restart"/>
            <w:shd w:val="clear" w:color="auto" w:fill="CCEEFF"/>
          </w:tcPr>
          <w:p>
            <w:pPr>
              <w:jc w:val="right"/>
              <w:ind w:right="1"/>
              <w:spacing w:after="0"/>
              <w:rPr>
                <w:sz w:val="20"/>
                <w:szCs w:val="20"/>
                <w:color w:val="auto"/>
              </w:rPr>
            </w:pPr>
            <w:r>
              <w:rPr>
                <w:rFonts w:ascii="Arial" w:cs="Arial" w:eastAsia="Arial" w:hAnsi="Arial"/>
                <w:sz w:val="13"/>
                <w:szCs w:val="13"/>
                <w:color w:val="auto"/>
              </w:rPr>
              <w:t>145,792</w:t>
            </w:r>
          </w:p>
        </w:tc>
        <w:tc>
          <w:tcPr>
            <w:tcW w:w="100" w:type="dxa"/>
            <w:vAlign w:val="bottom"/>
            <w:shd w:val="clear" w:color="auto" w:fill="CCEEFF"/>
          </w:tcPr>
          <w:p>
            <w:pPr>
              <w:spacing w:after="0"/>
              <w:rPr>
                <w:sz w:val="11"/>
                <w:szCs w:val="11"/>
                <w:color w:val="auto"/>
              </w:rPr>
            </w:pPr>
          </w:p>
        </w:tc>
        <w:tc>
          <w:tcPr>
            <w:tcW w:w="300" w:type="dxa"/>
            <w:vAlign w:val="bottom"/>
            <w:vMerge w:val="restart"/>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940" w:type="dxa"/>
            <w:vAlign w:val="bottom"/>
            <w:vMerge w:val="restart"/>
            <w:shd w:val="clear" w:color="auto" w:fill="CCEEFF"/>
          </w:tcPr>
          <w:p>
            <w:pPr>
              <w:jc w:val="right"/>
              <w:ind w:right="38"/>
              <w:spacing w:after="0"/>
              <w:rPr>
                <w:sz w:val="20"/>
                <w:szCs w:val="20"/>
                <w:color w:val="auto"/>
              </w:rPr>
            </w:pPr>
            <w:r>
              <w:rPr>
                <w:rFonts w:ascii="Arial" w:cs="Arial" w:eastAsia="Arial" w:hAnsi="Arial"/>
                <w:sz w:val="13"/>
                <w:szCs w:val="13"/>
                <w:color w:val="auto"/>
              </w:rPr>
              <w:t>12,091,901</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20" w:type="dxa"/>
            <w:vAlign w:val="bottom"/>
            <w:vMerge w:val="restart"/>
            <w:shd w:val="clear" w:color="auto" w:fill="CCEEFF"/>
          </w:tcPr>
          <w:p>
            <w:pPr>
              <w:jc w:val="right"/>
              <w:ind w:right="19"/>
              <w:spacing w:after="0"/>
              <w:rPr>
                <w:sz w:val="20"/>
                <w:szCs w:val="20"/>
                <w:color w:val="auto"/>
              </w:rPr>
            </w:pPr>
            <w:r>
              <w:rPr>
                <w:rFonts w:ascii="Arial" w:cs="Arial" w:eastAsia="Arial" w:hAnsi="Arial"/>
                <w:sz w:val="13"/>
                <w:szCs w:val="13"/>
                <w:color w:val="auto"/>
              </w:rPr>
              <w:t>11,253,705</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126,118</w:t>
            </w:r>
          </w:p>
        </w:tc>
        <w:tc>
          <w:tcPr>
            <w:tcW w:w="0" w:type="dxa"/>
            <w:vAlign w:val="bottom"/>
          </w:tcPr>
          <w:p>
            <w:pPr>
              <w:spacing w:after="0"/>
              <w:rPr>
                <w:sz w:val="1"/>
                <w:szCs w:val="1"/>
                <w:color w:val="auto"/>
              </w:rPr>
            </w:pPr>
          </w:p>
        </w:tc>
      </w:tr>
      <w:tr>
        <w:trPr>
          <w:trHeight w:val="166"/>
        </w:trPr>
        <w:tc>
          <w:tcPr>
            <w:tcW w:w="36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flow hedges are recorded</w:t>
            </w:r>
          </w:p>
        </w:tc>
        <w:tc>
          <w:tcPr>
            <w:tcW w:w="200" w:type="dxa"/>
            <w:vAlign w:val="bottom"/>
            <w:vMerge w:val="continue"/>
            <w:shd w:val="clear" w:color="auto" w:fill="CCEEFF"/>
          </w:tcPr>
          <w:p>
            <w:pPr>
              <w:spacing w:after="0"/>
              <w:rPr>
                <w:sz w:val="14"/>
                <w:szCs w:val="14"/>
                <w:color w:val="auto"/>
              </w:rPr>
            </w:pPr>
          </w:p>
        </w:tc>
        <w:tc>
          <w:tcPr>
            <w:tcW w:w="1020" w:type="dxa"/>
            <w:vAlign w:val="bottom"/>
            <w:vMerge w:val="continue"/>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1120" w:type="dxa"/>
            <w:vAlign w:val="bottom"/>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11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vMerge w:val="continue"/>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1120" w:type="dxa"/>
            <w:vAlign w:val="bottom"/>
            <w:vMerge w:val="continue"/>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11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620" w:type="dxa"/>
            <w:vAlign w:val="bottom"/>
          </w:tcPr>
          <w:p>
            <w:pPr>
              <w:ind w:left="20"/>
              <w:spacing w:after="0"/>
              <w:rPr>
                <w:sz w:val="20"/>
                <w:szCs w:val="20"/>
                <w:color w:val="auto"/>
              </w:rPr>
            </w:pPr>
            <w:r>
              <w:rPr>
                <w:rFonts w:ascii="Arial" w:cs="Arial" w:eastAsia="Arial" w:hAnsi="Arial"/>
                <w:sz w:val="13"/>
                <w:szCs w:val="13"/>
                <w:color w:val="auto"/>
              </w:rPr>
              <w:t>Impact from cash flow hedging instruments:</w:t>
            </w: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6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Interest rates swaps</w:t>
            </w:r>
          </w:p>
        </w:tc>
        <w:tc>
          <w:tcPr>
            <w:tcW w:w="2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3"/>
                <w:szCs w:val="13"/>
                <w:color w:val="auto"/>
              </w:rPr>
              <w:t>631</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209</w:t>
            </w:r>
          </w:p>
        </w:tc>
        <w:tc>
          <w:tcPr>
            <w:tcW w:w="0" w:type="dxa"/>
            <w:vAlign w:val="bottom"/>
          </w:tcPr>
          <w:p>
            <w:pPr>
              <w:spacing w:after="0"/>
              <w:rPr>
                <w:sz w:val="1"/>
                <w:szCs w:val="1"/>
                <w:color w:val="auto"/>
              </w:rPr>
            </w:pPr>
          </w:p>
        </w:tc>
      </w:tr>
      <w:tr>
        <w:trPr>
          <w:trHeight w:val="165"/>
        </w:trPr>
        <w:tc>
          <w:tcPr>
            <w:tcW w:w="3620" w:type="dxa"/>
            <w:vAlign w:val="bottom"/>
          </w:tcPr>
          <w:p>
            <w:pPr>
              <w:ind w:left="100"/>
              <w:spacing w:after="0"/>
              <w:rPr>
                <w:sz w:val="20"/>
                <w:szCs w:val="20"/>
                <w:color w:val="auto"/>
              </w:rPr>
            </w:pPr>
            <w:r>
              <w:rPr>
                <w:rFonts w:ascii="Arial" w:cs="Arial" w:eastAsia="Arial" w:hAnsi="Arial"/>
                <w:sz w:val="13"/>
                <w:szCs w:val="13"/>
                <w:color w:val="auto"/>
              </w:rPr>
              <w:t>Foreign currency contracts</w:t>
            </w:r>
          </w:p>
        </w:tc>
        <w:tc>
          <w:tcPr>
            <w:tcW w:w="200" w:type="dxa"/>
            <w:vAlign w:val="bottom"/>
          </w:tcPr>
          <w:p>
            <w:pPr>
              <w:spacing w:after="0"/>
              <w:rPr>
                <w:sz w:val="14"/>
                <w:szCs w:val="14"/>
                <w:color w:val="auto"/>
              </w:rPr>
            </w:pPr>
          </w:p>
        </w:tc>
        <w:tc>
          <w:tcPr>
            <w:tcW w:w="1020" w:type="dxa"/>
            <w:vAlign w:val="bottom"/>
          </w:tcPr>
          <w:p>
            <w:pPr>
              <w:jc w:val="right"/>
              <w:ind w:right="18"/>
              <w:spacing w:after="0"/>
              <w:rPr>
                <w:sz w:val="20"/>
                <w:szCs w:val="20"/>
                <w:color w:val="auto"/>
              </w:rPr>
            </w:pPr>
            <w:r>
              <w:rPr>
                <w:rFonts w:ascii="Arial" w:cs="Arial" w:eastAsia="Arial" w:hAnsi="Arial"/>
                <w:sz w:val="13"/>
                <w:szCs w:val="13"/>
                <w:color w:val="auto"/>
              </w:rPr>
              <w:t>1,372</w:t>
            </w:r>
          </w:p>
        </w:tc>
        <w:tc>
          <w:tcPr>
            <w:tcW w:w="1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(55)</w:t>
            </w:r>
          </w:p>
        </w:tc>
        <w:tc>
          <w:tcPr>
            <w:tcW w:w="14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(2,143)</w:t>
            </w:r>
          </w:p>
        </w:tc>
        <w:tc>
          <w:tcPr>
            <w:tcW w:w="160" w:type="dxa"/>
            <w:vAlign w:val="bottom"/>
          </w:tcPr>
          <w:p>
            <w:pPr>
              <w:spacing w:after="0"/>
              <w:rPr>
                <w:sz w:val="14"/>
                <w:szCs w:val="14"/>
                <w:color w:val="auto"/>
              </w:rPr>
            </w:pPr>
          </w:p>
        </w:tc>
        <w:tc>
          <w:tcPr>
            <w:tcW w:w="1120" w:type="dxa"/>
            <w:vAlign w:val="bottom"/>
          </w:tcPr>
          <w:p>
            <w:pPr>
              <w:jc w:val="right"/>
              <w:ind w:right="19"/>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ind w:left="240" w:hanging="235"/>
        <w:spacing w:after="0"/>
        <w:tabs>
          <w:tab w:leader="none" w:pos="240" w:val="left"/>
        </w:tabs>
        <w:numPr>
          <w:ilvl w:val="0"/>
          <w:numId w:val="29"/>
        </w:numPr>
        <w:rPr>
          <w:rFonts w:ascii="Arial" w:cs="Arial" w:eastAsia="Arial" w:hAnsi="Arial"/>
          <w:sz w:val="11"/>
          <w:szCs w:val="11"/>
          <w:color w:val="auto"/>
        </w:rPr>
      </w:pPr>
      <w:r>
        <w:rPr>
          <w:rFonts w:ascii="Arial" w:cs="Arial" w:eastAsia="Arial" w:hAnsi="Arial"/>
          <w:sz w:val="11"/>
          <w:szCs w:val="11"/>
          <w:color w:val="auto"/>
        </w:rPr>
        <w:t>Amounts in parentheses represent income (expenses) related to net sales.</w:t>
      </w:r>
    </w:p>
    <w:p>
      <w:pPr>
        <w:spacing w:after="0" w:line="21" w:lineRule="exact"/>
        <w:rPr>
          <w:rFonts w:ascii="Arial" w:cs="Arial" w:eastAsia="Arial" w:hAnsi="Arial"/>
          <w:sz w:val="11"/>
          <w:szCs w:val="11"/>
          <w:color w:val="auto"/>
        </w:rPr>
      </w:pPr>
    </w:p>
    <w:p>
      <w:pPr>
        <w:ind w:left="240" w:hanging="235"/>
        <w:spacing w:after="0"/>
        <w:tabs>
          <w:tab w:leader="none" w:pos="240" w:val="left"/>
        </w:tabs>
        <w:numPr>
          <w:ilvl w:val="0"/>
          <w:numId w:val="29"/>
        </w:numPr>
        <w:rPr>
          <w:rFonts w:ascii="Arial" w:cs="Arial" w:eastAsia="Arial" w:hAnsi="Arial"/>
          <w:sz w:val="11"/>
          <w:szCs w:val="11"/>
          <w:color w:val="auto"/>
        </w:rPr>
      </w:pPr>
      <w:r>
        <w:rPr>
          <w:rFonts w:ascii="Arial" w:cs="Arial" w:eastAsia="Arial" w:hAnsi="Arial"/>
          <w:sz w:val="11"/>
          <w:szCs w:val="11"/>
          <w:color w:val="auto"/>
        </w:rPr>
        <w:t>Amounts in parentheses represent (income) expenses related to cost of sales and interest expense.</w:t>
      </w:r>
    </w:p>
    <w:p>
      <w:pPr>
        <w:spacing w:after="0" w:line="133"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4"/>
          <w:szCs w:val="14"/>
          <w:color w:val="auto"/>
        </w:rPr>
        <w:t>As of December 26, 2021, the pre-tax deferred net losses on derivatives recorded in AOCL that are expected to be reclassified to profit or loss during the next twelve months are $0.9 million. This expectation is based on the anticipated settlements on the hedged investments in foreign currencies that will occur over the next twelve months, at which time the Company will recognize the deferred losses to earnings.</w:t>
      </w:r>
    </w:p>
    <w:p>
      <w:pPr>
        <w:spacing w:after="0" w:line="99"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4"/>
          <w:szCs w:val="14"/>
          <w:color w:val="auto"/>
        </w:rPr>
        <w:t>At December 26, 2021, the pre-tax deferred net losses on interest rate swap derivatives recorded in AOCL that are expected to be reclassified to profit or loss during the next twelve months are $0.1 million. This expectation is based on the anticipated settlements on the hedged interest rate that will occur over the next twelve months, at which time the Company will recognize the deferred losses to earnings.</w:t>
      </w:r>
    </w:p>
    <w:p>
      <w:pPr>
        <w:spacing w:after="0" w:line="95" w:lineRule="exact"/>
        <w:rPr>
          <w:sz w:val="20"/>
          <w:szCs w:val="20"/>
          <w:color w:val="auto"/>
        </w:rPr>
      </w:pPr>
    </w:p>
    <w:p>
      <w:pPr>
        <w:spacing w:after="0"/>
        <w:tabs>
          <w:tab w:leader="none" w:pos="220" w:val="left"/>
        </w:tabs>
        <w:rPr>
          <w:sz w:val="20"/>
          <w:szCs w:val="20"/>
          <w:color w:val="auto"/>
        </w:rPr>
      </w:pPr>
      <w:r>
        <w:rPr>
          <w:rFonts w:ascii="Arial" w:cs="Arial" w:eastAsia="Arial" w:hAnsi="Arial"/>
          <w:sz w:val="14"/>
          <w:szCs w:val="14"/>
          <w:b w:val="1"/>
          <w:bCs w:val="1"/>
          <w:color w:val="auto"/>
        </w:rPr>
        <w:t>6.</w:t>
        <w:tab/>
        <w:t>TRADE ACCOUNTS AND OTHER RECEIVABLES</w:t>
      </w:r>
    </w:p>
    <w:p>
      <w:pPr>
        <w:spacing w:after="0" w:line="14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Trade accounts and other receivables (including accounts receivable from related parties), less allowance for credit losses, consisted of the following:</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20" w:type="dxa"/>
            <w:vAlign w:val="bottom"/>
          </w:tcPr>
          <w:p>
            <w:pPr>
              <w:spacing w:after="0"/>
              <w:rPr>
                <w:sz w:val="13"/>
                <w:szCs w:val="13"/>
                <w:color w:val="auto"/>
              </w:rPr>
            </w:pPr>
          </w:p>
        </w:tc>
        <w:tc>
          <w:tcPr>
            <w:tcW w:w="8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tcPr>
          <w:p>
            <w:pPr>
              <w:ind w:left="60"/>
              <w:spacing w:after="0"/>
              <w:rPr>
                <w:sz w:val="20"/>
                <w:szCs w:val="20"/>
                <w:color w:val="auto"/>
              </w:rPr>
            </w:pPr>
            <w:r>
              <w:rPr>
                <w:rFonts w:ascii="Arial" w:cs="Arial" w:eastAsia="Arial" w:hAnsi="Arial"/>
                <w:sz w:val="11"/>
                <w:szCs w:val="11"/>
                <w:b w:val="1"/>
                <w:bCs w:val="1"/>
                <w:color w:val="auto"/>
              </w:rPr>
              <w:t>December 26, 2021</w:t>
            </w:r>
          </w:p>
        </w:tc>
        <w:tc>
          <w:tcPr>
            <w:tcW w:w="14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December 27, 2020</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5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2580" w:type="dxa"/>
            <w:vAlign w:val="bottom"/>
            <w:tcBorders>
              <w:top w:val="single" w:sz="8" w:color="auto"/>
            </w:tcBorders>
            <w:gridSpan w:val="4"/>
          </w:tcPr>
          <w:p>
            <w:pPr>
              <w:jc w:val="right"/>
              <w:ind w:right="997"/>
              <w:spacing w:after="0"/>
              <w:rPr>
                <w:sz w:val="20"/>
                <w:szCs w:val="20"/>
                <w:color w:val="auto"/>
              </w:rPr>
            </w:pPr>
            <w:r>
              <w:rPr>
                <w:rFonts w:ascii="Arial" w:cs="Arial" w:eastAsia="Arial" w:hAnsi="Arial"/>
                <w:sz w:val="10"/>
                <w:szCs w:val="10"/>
                <w:b w:val="1"/>
                <w:bCs w:val="1"/>
                <w:color w:val="auto"/>
              </w:rPr>
              <w:t>(In thousands)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Trade accounts receivable</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947,697</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691,499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520" w:type="dxa"/>
            <w:vAlign w:val="bottom"/>
          </w:tcPr>
          <w:p>
            <w:pPr>
              <w:ind w:left="20"/>
              <w:spacing w:after="0"/>
              <w:rPr>
                <w:sz w:val="20"/>
                <w:szCs w:val="20"/>
                <w:color w:val="auto"/>
              </w:rPr>
            </w:pPr>
            <w:r>
              <w:rPr>
                <w:rFonts w:ascii="Arial" w:cs="Arial" w:eastAsia="Arial" w:hAnsi="Arial"/>
                <w:sz w:val="13"/>
                <w:szCs w:val="13"/>
                <w:color w:val="auto"/>
              </w:rPr>
              <w:t>Notes receivable</w:t>
            </w:r>
          </w:p>
        </w:tc>
        <w:tc>
          <w:tcPr>
            <w:tcW w:w="1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18,697</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25,712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receivables</w:t>
            </w:r>
          </w:p>
        </w:tc>
        <w:tc>
          <w:tcPr>
            <w:tcW w:w="14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56,716</w:t>
            </w:r>
          </w:p>
        </w:tc>
        <w:tc>
          <w:tcPr>
            <w:tcW w:w="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31,954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520" w:type="dxa"/>
            <w:vAlign w:val="bottom"/>
          </w:tcPr>
          <w:p>
            <w:pPr>
              <w:ind w:left="280"/>
              <w:spacing w:after="0" w:line="146" w:lineRule="exact"/>
              <w:rPr>
                <w:sz w:val="20"/>
                <w:szCs w:val="20"/>
                <w:color w:val="auto"/>
              </w:rPr>
            </w:pPr>
            <w:r>
              <w:rPr>
                <w:rFonts w:ascii="Arial" w:cs="Arial" w:eastAsia="Arial" w:hAnsi="Arial"/>
                <w:sz w:val="13"/>
                <w:szCs w:val="13"/>
                <w:color w:val="auto"/>
              </w:rPr>
              <w:t>Receivables, gross</w:t>
            </w:r>
          </w:p>
        </w:tc>
        <w:tc>
          <w:tcPr>
            <w:tcW w:w="14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1,023,110</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749,165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Allowance for credit losses</w:t>
            </w:r>
          </w:p>
        </w:tc>
        <w:tc>
          <w:tcPr>
            <w:tcW w:w="14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(9,673)</w:t>
            </w:r>
          </w:p>
        </w:tc>
        <w:tc>
          <w:tcPr>
            <w:tcW w:w="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(7,173)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520" w:type="dxa"/>
            <w:vAlign w:val="bottom"/>
          </w:tcPr>
          <w:p>
            <w:pPr>
              <w:ind w:left="280"/>
              <w:spacing w:after="0" w:line="146" w:lineRule="exact"/>
              <w:rPr>
                <w:sz w:val="20"/>
                <w:szCs w:val="20"/>
                <w:color w:val="auto"/>
              </w:rPr>
            </w:pPr>
            <w:r>
              <w:rPr>
                <w:rFonts w:ascii="Arial" w:cs="Arial" w:eastAsia="Arial" w:hAnsi="Arial"/>
                <w:sz w:val="13"/>
                <w:szCs w:val="13"/>
                <w:color w:val="auto"/>
              </w:rPr>
              <w:t>Receivables, net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1,013,437</w:t>
            </w:r>
          </w:p>
        </w:tc>
        <w:tc>
          <w:tcPr>
            <w:tcW w:w="80" w:type="dxa"/>
            <w:vAlign w:val="bottom"/>
          </w:tcPr>
          <w:p>
            <w:pPr>
              <w:spacing w:after="0"/>
              <w:rPr>
                <w:sz w:val="13"/>
                <w:szCs w:val="13"/>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741,992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85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520" w:type="dxa"/>
            <w:vAlign w:val="bottom"/>
          </w:tcPr>
          <w:p>
            <w:pPr>
              <w:ind w:left="20"/>
              <w:spacing w:after="0" w:line="170" w:lineRule="exact"/>
              <w:rPr>
                <w:sz w:val="20"/>
                <w:szCs w:val="20"/>
                <w:color w:val="auto"/>
              </w:rPr>
            </w:pPr>
            <w:r>
              <w:rPr>
                <w:rFonts w:ascii="Arial" w:cs="Arial" w:eastAsia="Arial" w:hAnsi="Arial"/>
                <w:sz w:val="13"/>
                <w:szCs w:val="13"/>
                <w:color w:val="auto"/>
              </w:rPr>
              <w:t>Accounts receivable from related parties</w:t>
            </w:r>
            <w:r>
              <w:rPr>
                <w:rFonts w:ascii="Arial" w:cs="Arial" w:eastAsia="Arial" w:hAnsi="Arial"/>
                <w:sz w:val="16"/>
                <w:szCs w:val="16"/>
                <w:color w:val="auto"/>
                <w:vertAlign w:val="superscript"/>
              </w:rPr>
              <w:t>(a)</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1,345</w:t>
            </w:r>
          </w:p>
        </w:tc>
        <w:tc>
          <w:tcPr>
            <w:tcW w:w="8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1,084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540" w:type="dxa"/>
            <w:vAlign w:val="bottom"/>
            <w:gridSpan w:val="2"/>
            <w:vMerge w:val="restart"/>
          </w:tcPr>
          <w:p>
            <w:pPr>
              <w:spacing w:after="0"/>
              <w:rPr>
                <w:sz w:val="20"/>
                <w:szCs w:val="20"/>
                <w:color w:val="auto"/>
              </w:rPr>
            </w:pPr>
            <w:r>
              <w:rPr>
                <w:rFonts w:ascii="Arial" w:cs="Arial" w:eastAsia="Arial" w:hAnsi="Arial"/>
                <w:sz w:val="11"/>
                <w:szCs w:val="11"/>
                <w:color w:val="auto"/>
              </w:rPr>
              <w:t>(a)  Additional information regarding accounts receivable from related parties is included in “Note 18. Related Party Transactions.”</w:t>
            </w: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85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4"/>
        </w:trPr>
        <w:tc>
          <w:tcPr>
            <w:tcW w:w="8540" w:type="dxa"/>
            <w:vAlign w:val="bottom"/>
            <w:gridSpan w:val="2"/>
          </w:tcPr>
          <w:p>
            <w:pPr>
              <w:spacing w:after="0"/>
              <w:rPr>
                <w:sz w:val="20"/>
                <w:szCs w:val="20"/>
                <w:color w:val="auto"/>
              </w:rPr>
            </w:pPr>
            <w:r>
              <w:rPr>
                <w:rFonts w:ascii="Arial" w:cs="Arial" w:eastAsia="Arial" w:hAnsi="Arial"/>
                <w:sz w:val="14"/>
                <w:szCs w:val="14"/>
                <w:b w:val="1"/>
                <w:bCs w:val="1"/>
                <w:color w:val="auto"/>
              </w:rPr>
              <w:t>7.  INVENTORIES</w:t>
            </w: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8520" w:type="dxa"/>
            <w:vAlign w:val="bottom"/>
          </w:tcPr>
          <w:p>
            <w:pPr>
              <w:ind w:left="120"/>
              <w:spacing w:after="0"/>
              <w:rPr>
                <w:sz w:val="20"/>
                <w:szCs w:val="20"/>
                <w:color w:val="auto"/>
              </w:rPr>
            </w:pPr>
            <w:r>
              <w:rPr>
                <w:rFonts w:ascii="Arial" w:cs="Arial" w:eastAsia="Arial" w:hAnsi="Arial"/>
                <w:sz w:val="14"/>
                <w:szCs w:val="14"/>
                <w:color w:val="auto"/>
              </w:rPr>
              <w:t>Inventories consisted of the following:</w:t>
            </w: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ind w:left="60"/>
              <w:spacing w:after="0"/>
              <w:rPr>
                <w:sz w:val="20"/>
                <w:szCs w:val="20"/>
                <w:color w:val="auto"/>
              </w:rPr>
            </w:pPr>
            <w:r>
              <w:rPr>
                <w:rFonts w:ascii="Arial" w:cs="Arial" w:eastAsia="Arial" w:hAnsi="Arial"/>
                <w:sz w:val="11"/>
                <w:szCs w:val="11"/>
                <w:b w:val="1"/>
                <w:bCs w:val="1"/>
                <w:color w:val="auto"/>
              </w:rPr>
              <w:t>December 26, 2021</w:t>
            </w:r>
          </w:p>
        </w:tc>
        <w:tc>
          <w:tcPr>
            <w:tcW w:w="140" w:type="dxa"/>
            <w:vAlign w:val="bottom"/>
          </w:tcPr>
          <w:p>
            <w:pPr>
              <w:spacing w:after="0"/>
              <w:rPr>
                <w:sz w:val="18"/>
                <w:szCs w:val="18"/>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December 27, 2020</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5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2580" w:type="dxa"/>
            <w:vAlign w:val="bottom"/>
            <w:tcBorders>
              <w:top w:val="single" w:sz="8" w:color="auto"/>
            </w:tcBorders>
            <w:gridSpan w:val="4"/>
          </w:tcPr>
          <w:p>
            <w:pPr>
              <w:jc w:val="right"/>
              <w:ind w:right="997"/>
              <w:spacing w:after="0"/>
              <w:rPr>
                <w:sz w:val="20"/>
                <w:szCs w:val="20"/>
                <w:color w:val="auto"/>
              </w:rPr>
            </w:pPr>
            <w:r>
              <w:rPr>
                <w:rFonts w:ascii="Arial" w:cs="Arial" w:eastAsia="Arial" w:hAnsi="Arial"/>
                <w:sz w:val="10"/>
                <w:szCs w:val="10"/>
                <w:b w:val="1"/>
                <w:bCs w:val="1"/>
                <w:color w:val="auto"/>
              </w:rPr>
              <w:t>(In thousands)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5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Raw materials and work-in-process</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1,044,739</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868,369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520" w:type="dxa"/>
            <w:vAlign w:val="bottom"/>
          </w:tcPr>
          <w:p>
            <w:pPr>
              <w:ind w:left="120"/>
              <w:spacing w:after="0"/>
              <w:rPr>
                <w:sz w:val="20"/>
                <w:szCs w:val="20"/>
                <w:color w:val="auto"/>
              </w:rPr>
            </w:pPr>
            <w:r>
              <w:rPr>
                <w:rFonts w:ascii="Arial" w:cs="Arial" w:eastAsia="Arial" w:hAnsi="Arial"/>
                <w:sz w:val="13"/>
                <w:szCs w:val="13"/>
                <w:color w:val="auto"/>
              </w:rPr>
              <w:t>Finished products</w:t>
            </w:r>
          </w:p>
        </w:tc>
        <w:tc>
          <w:tcPr>
            <w:tcW w:w="1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379,705</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356,052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5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Operating supplies</w:t>
            </w: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76,590</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66,495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52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Maintenance materials and parts</w:t>
            </w:r>
          </w:p>
        </w:tc>
        <w:tc>
          <w:tcPr>
            <w:tcW w:w="1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74,624</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67,877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5"/>
                <w:szCs w:val="15"/>
                <w:color w:val="auto"/>
              </w:rPr>
            </w:pPr>
          </w:p>
        </w:tc>
        <w:tc>
          <w:tcPr>
            <w:tcW w:w="8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3"/>
                <w:szCs w:val="13"/>
                <w:color w:val="auto"/>
              </w:rPr>
              <w:t>Total inventories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1,575,658</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1,358,793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520" w:type="dxa"/>
            <w:vAlign w:val="bottom"/>
            <w:tcBorders>
              <w:top w:val="single" w:sz="8" w:color="CCEEFF"/>
              <w:bottom w:val="single" w:sz="8" w:color="CCEEFF"/>
            </w:tcBorders>
            <w:vMerge w:val="restart"/>
          </w:tcPr>
          <w:p>
            <w:pPr>
              <w:ind w:left="5560"/>
              <w:spacing w:after="0"/>
              <w:rPr>
                <w:sz w:val="20"/>
                <w:szCs w:val="20"/>
                <w:color w:val="auto"/>
              </w:rPr>
            </w:pPr>
            <w:r>
              <w:rPr>
                <w:rFonts w:ascii="Arial" w:cs="Arial" w:eastAsia="Arial" w:hAnsi="Arial"/>
                <w:sz w:val="14"/>
                <w:szCs w:val="14"/>
                <w:color w:val="auto"/>
              </w:rPr>
              <w:t>65</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9"/>
        </w:trPr>
        <w:tc>
          <w:tcPr>
            <w:tcW w:w="20" w:type="dxa"/>
            <w:vAlign w:val="bottom"/>
            <w:vMerge w:val="continue"/>
          </w:tcPr>
          <w:p>
            <w:pPr>
              <w:spacing w:after="0"/>
              <w:rPr>
                <w:sz w:val="24"/>
                <w:szCs w:val="24"/>
                <w:color w:val="auto"/>
              </w:rPr>
            </w:pPr>
          </w:p>
        </w:tc>
        <w:tc>
          <w:tcPr>
            <w:tcW w:w="85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85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7" w:name="page68"/>
    <w:bookmarkEnd w:id="6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NOTES TO CONSOLIDATED FINANCIAL STATEMENTS</w:t>
      </w:r>
    </w:p>
    <w:p>
      <w:pPr>
        <w:spacing w:after="0" w:line="387" w:lineRule="exact"/>
        <w:rPr>
          <w:sz w:val="20"/>
          <w:szCs w:val="20"/>
          <w:color w:val="auto"/>
        </w:rPr>
      </w:pPr>
    </w:p>
    <w:p>
      <w:pPr>
        <w:spacing w:after="0"/>
        <w:tabs>
          <w:tab w:leader="none" w:pos="240" w:val="left"/>
        </w:tabs>
        <w:rPr>
          <w:sz w:val="20"/>
          <w:szCs w:val="20"/>
          <w:color w:val="auto"/>
        </w:rPr>
      </w:pPr>
      <w:r>
        <w:rPr>
          <w:rFonts w:ascii="Arial" w:cs="Arial" w:eastAsia="Arial" w:hAnsi="Arial"/>
          <w:sz w:val="14"/>
          <w:szCs w:val="14"/>
          <w:b w:val="1"/>
          <w:bCs w:val="1"/>
          <w:color w:val="auto"/>
        </w:rPr>
        <w:t>8.</w:t>
        <w:tab/>
        <w:t>INVESTMENTS IN SECURITIES</w:t>
      </w:r>
    </w:p>
    <w:p>
      <w:pPr>
        <w:spacing w:after="0" w:line="140" w:lineRule="exact"/>
        <w:rPr>
          <w:sz w:val="20"/>
          <w:szCs w:val="20"/>
          <w:color w:val="auto"/>
        </w:rPr>
      </w:pPr>
    </w:p>
    <w:p>
      <w:pPr>
        <w:ind w:left="520"/>
        <w:spacing w:after="0"/>
        <w:rPr>
          <w:sz w:val="20"/>
          <w:szCs w:val="20"/>
          <w:color w:val="auto"/>
        </w:rPr>
      </w:pPr>
      <w:r>
        <w:rPr>
          <w:rFonts w:ascii="Arial" w:cs="Arial" w:eastAsia="Arial" w:hAnsi="Arial"/>
          <w:sz w:val="13"/>
          <w:szCs w:val="13"/>
          <w:color w:val="auto"/>
        </w:rPr>
        <w:t>The Company recognizes investments in available-for-sale securities as cash equivalents, current investments or long-term investments depending upon each security’s length to maturity.</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our investments in available-for-sale securities:</w:t>
      </w:r>
    </w:p>
    <w:p>
      <w:pPr>
        <w:spacing w:after="0" w:line="12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following table summarizes our investments in available-for-sale securities accounted for as cash equivalents:</w:t>
      </w:r>
    </w:p>
    <w:p>
      <w:pPr>
        <w:spacing w:after="0" w:line="76" w:lineRule="exact"/>
        <w:rPr>
          <w:sz w:val="20"/>
          <w:szCs w:val="20"/>
          <w:color w:val="auto"/>
        </w:rPr>
      </w:pPr>
    </w:p>
    <w:tbl>
      <w:tblPr>
        <w:tblLayout w:type="fixed"/>
        <w:tblInd w:w="20" w:type="dxa"/>
        <w:tblCellMar>
          <w:top w:w="0" w:type="dxa"/>
          <w:left w:w="0" w:type="dxa"/>
          <w:bottom w:w="0" w:type="dxa"/>
          <w:right w:w="0" w:type="dxa"/>
        </w:tblCellMar>
      </w:tblPr>
      <w:tr>
        <w:trPr>
          <w:trHeight w:val="151"/>
        </w:trPr>
        <w:tc>
          <w:tcPr>
            <w:tcW w:w="570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tcPr>
          <w:p>
            <w:pPr>
              <w:ind w:left="60"/>
              <w:spacing w:after="0"/>
              <w:rPr>
                <w:sz w:val="20"/>
                <w:szCs w:val="20"/>
                <w:color w:val="auto"/>
              </w:rPr>
            </w:pPr>
            <w:r>
              <w:rPr>
                <w:rFonts w:ascii="Arial" w:cs="Arial" w:eastAsia="Arial" w:hAnsi="Arial"/>
                <w:sz w:val="11"/>
                <w:szCs w:val="11"/>
                <w:b w:val="1"/>
                <w:bCs w:val="1"/>
                <w:color w:val="auto"/>
                <w:w w:val="94"/>
              </w:rPr>
              <w:t>December 26, 2021</w:t>
            </w:r>
          </w:p>
        </w:tc>
        <w:tc>
          <w:tcPr>
            <w:tcW w:w="8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rPr>
              <w:t>December 27, 2020</w:t>
            </w:r>
          </w:p>
        </w:tc>
        <w:tc>
          <w:tcPr>
            <w:tcW w:w="8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1"/>
        </w:trPr>
        <w:tc>
          <w:tcPr>
            <w:tcW w:w="5700" w:type="dxa"/>
            <w:vAlign w:val="bottom"/>
          </w:tcPr>
          <w:p>
            <w:pPr>
              <w:spacing w:after="0"/>
              <w:rPr>
                <w:sz w:val="8"/>
                <w:szCs w:val="8"/>
                <w:color w:val="auto"/>
              </w:rPr>
            </w:pPr>
          </w:p>
        </w:tc>
        <w:tc>
          <w:tcPr>
            <w:tcW w:w="840" w:type="dxa"/>
            <w:vAlign w:val="bottom"/>
            <w:vMerge w:val="restart"/>
          </w:tcPr>
          <w:p>
            <w:pPr>
              <w:jc w:val="right"/>
              <w:ind w:right="20"/>
              <w:spacing w:after="0"/>
              <w:rPr>
                <w:sz w:val="20"/>
                <w:szCs w:val="20"/>
                <w:color w:val="auto"/>
              </w:rPr>
            </w:pPr>
            <w:r>
              <w:rPr>
                <w:rFonts w:ascii="Arial" w:cs="Arial" w:eastAsia="Arial" w:hAnsi="Arial"/>
                <w:sz w:val="11"/>
                <w:szCs w:val="11"/>
                <w:b w:val="1"/>
                <w:bCs w:val="1"/>
                <w:color w:val="auto"/>
              </w:rPr>
              <w:t>Cost</w:t>
            </w:r>
          </w:p>
        </w:tc>
        <w:tc>
          <w:tcPr>
            <w:tcW w:w="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860" w:type="dxa"/>
            <w:vAlign w:val="bottom"/>
          </w:tcPr>
          <w:p>
            <w:pPr>
              <w:jc w:val="center"/>
              <w:ind w:right="403"/>
              <w:spacing w:after="0" w:line="101" w:lineRule="exact"/>
              <w:rPr>
                <w:sz w:val="20"/>
                <w:szCs w:val="20"/>
                <w:color w:val="auto"/>
              </w:rPr>
            </w:pPr>
            <w:r>
              <w:rPr>
                <w:rFonts w:ascii="Arial" w:cs="Arial" w:eastAsia="Arial" w:hAnsi="Arial"/>
                <w:sz w:val="11"/>
                <w:szCs w:val="11"/>
                <w:b w:val="1"/>
                <w:bCs w:val="1"/>
                <w:color w:val="auto"/>
                <w:w w:val="98"/>
              </w:rPr>
              <w:t>Fair</w:t>
            </w: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940" w:type="dxa"/>
            <w:vAlign w:val="bottom"/>
            <w:vMerge w:val="restart"/>
          </w:tcPr>
          <w:p>
            <w:pPr>
              <w:jc w:val="right"/>
              <w:ind w:right="521"/>
              <w:spacing w:after="0"/>
              <w:rPr>
                <w:sz w:val="20"/>
                <w:szCs w:val="20"/>
                <w:color w:val="auto"/>
              </w:rPr>
            </w:pPr>
            <w:r>
              <w:rPr>
                <w:rFonts w:ascii="Arial" w:cs="Arial" w:eastAsia="Arial" w:hAnsi="Arial"/>
                <w:sz w:val="11"/>
                <w:szCs w:val="11"/>
                <w:b w:val="1"/>
                <w:bCs w:val="1"/>
                <w:color w:val="auto"/>
              </w:rPr>
              <w:t>Cost</w:t>
            </w:r>
          </w:p>
        </w:tc>
        <w:tc>
          <w:tcPr>
            <w:tcW w:w="540" w:type="dxa"/>
            <w:vAlign w:val="bottom"/>
          </w:tcPr>
          <w:p>
            <w:pPr>
              <w:spacing w:after="0"/>
              <w:rPr>
                <w:sz w:val="8"/>
                <w:szCs w:val="8"/>
                <w:color w:val="auto"/>
              </w:rPr>
            </w:pPr>
          </w:p>
        </w:tc>
        <w:tc>
          <w:tcPr>
            <w:tcW w:w="840" w:type="dxa"/>
            <w:vAlign w:val="bottom"/>
          </w:tcPr>
          <w:p>
            <w:pPr>
              <w:jc w:val="center"/>
              <w:ind w:right="421"/>
              <w:spacing w:after="0" w:line="101" w:lineRule="exact"/>
              <w:rPr>
                <w:sz w:val="20"/>
                <w:szCs w:val="20"/>
                <w:color w:val="auto"/>
              </w:rPr>
            </w:pPr>
            <w:r>
              <w:rPr>
                <w:rFonts w:ascii="Arial" w:cs="Arial" w:eastAsia="Arial" w:hAnsi="Arial"/>
                <w:sz w:val="11"/>
                <w:szCs w:val="11"/>
                <w:b w:val="1"/>
                <w:bCs w:val="1"/>
                <w:color w:val="auto"/>
                <w:w w:val="98"/>
              </w:rPr>
              <w:t>Fair</w:t>
            </w:r>
          </w:p>
        </w:tc>
        <w:tc>
          <w:tcPr>
            <w:tcW w:w="0" w:type="dxa"/>
            <w:vAlign w:val="bottom"/>
          </w:tcPr>
          <w:p>
            <w:pPr>
              <w:spacing w:after="0"/>
              <w:rPr>
                <w:sz w:val="1"/>
                <w:szCs w:val="1"/>
                <w:color w:val="auto"/>
              </w:rPr>
            </w:pPr>
          </w:p>
        </w:tc>
      </w:tr>
      <w:tr>
        <w:trPr>
          <w:trHeight w:val="148"/>
        </w:trPr>
        <w:tc>
          <w:tcPr>
            <w:tcW w:w="5700" w:type="dxa"/>
            <w:vAlign w:val="bottom"/>
          </w:tcPr>
          <w:p>
            <w:pPr>
              <w:spacing w:after="0"/>
              <w:rPr>
                <w:sz w:val="12"/>
                <w:szCs w:val="12"/>
                <w:color w:val="auto"/>
              </w:rPr>
            </w:pPr>
          </w:p>
        </w:tc>
        <w:tc>
          <w:tcPr>
            <w:tcW w:w="840" w:type="dxa"/>
            <w:vAlign w:val="bottom"/>
            <w:tcBorders>
              <w:bottom w:val="single" w:sz="8" w:color="auto"/>
            </w:tcBorders>
            <w:vMerge w:val="continue"/>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2"/>
          </w:tcPr>
          <w:p>
            <w:pPr>
              <w:jc w:val="center"/>
              <w:ind w:right="560"/>
              <w:spacing w:after="0"/>
              <w:rPr>
                <w:sz w:val="20"/>
                <w:szCs w:val="20"/>
                <w:color w:val="auto"/>
              </w:rPr>
            </w:pPr>
            <w:r>
              <w:rPr>
                <w:rFonts w:ascii="Arial" w:cs="Arial" w:eastAsia="Arial" w:hAnsi="Arial"/>
                <w:sz w:val="11"/>
                <w:szCs w:val="11"/>
                <w:b w:val="1"/>
                <w:bCs w:val="1"/>
                <w:color w:val="auto"/>
                <w:w w:val="95"/>
              </w:rPr>
              <w:t>Value</w:t>
            </w:r>
          </w:p>
        </w:tc>
        <w:tc>
          <w:tcPr>
            <w:tcW w:w="4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vMerge w:val="continue"/>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center"/>
              <w:ind w:right="421"/>
              <w:spacing w:after="0"/>
              <w:rPr>
                <w:sz w:val="20"/>
                <w:szCs w:val="20"/>
                <w:color w:val="auto"/>
              </w:rPr>
            </w:pPr>
            <w:r>
              <w:rPr>
                <w:rFonts w:ascii="Arial" w:cs="Arial" w:eastAsia="Arial" w:hAnsi="Arial"/>
                <w:sz w:val="11"/>
                <w:szCs w:val="11"/>
                <w:b w:val="1"/>
                <w:bCs w:val="1"/>
                <w:color w:val="auto"/>
                <w:w w:val="95"/>
              </w:rPr>
              <w:t>Value</w:t>
            </w:r>
          </w:p>
        </w:tc>
        <w:tc>
          <w:tcPr>
            <w:tcW w:w="0" w:type="dxa"/>
            <w:vAlign w:val="bottom"/>
          </w:tcPr>
          <w:p>
            <w:pPr>
              <w:spacing w:after="0"/>
              <w:rPr>
                <w:sz w:val="1"/>
                <w:szCs w:val="1"/>
                <w:color w:val="auto"/>
              </w:rPr>
            </w:pPr>
          </w:p>
        </w:tc>
      </w:tr>
      <w:tr>
        <w:trPr>
          <w:trHeight w:val="124"/>
        </w:trPr>
        <w:tc>
          <w:tcPr>
            <w:tcW w:w="57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360" w:type="dxa"/>
            <w:vAlign w:val="bottom"/>
            <w:gridSpan w:val="3"/>
          </w:tcPr>
          <w:p>
            <w:pPr>
              <w:jc w:val="right"/>
              <w:ind w:right="76"/>
              <w:spacing w:after="0"/>
              <w:rPr>
                <w:sz w:val="20"/>
                <w:szCs w:val="20"/>
                <w:color w:val="auto"/>
              </w:rPr>
            </w:pPr>
            <w:r>
              <w:rPr>
                <w:rFonts w:ascii="Arial" w:cs="Arial" w:eastAsia="Arial" w:hAnsi="Arial"/>
                <w:sz w:val="10"/>
                <w:szCs w:val="10"/>
                <w:b w:val="1"/>
                <w:bCs w:val="1"/>
                <w:color w:val="auto"/>
              </w:rPr>
              <w:t>(In thousands)</w:t>
            </w:r>
          </w:p>
        </w:tc>
        <w:tc>
          <w:tcPr>
            <w:tcW w:w="9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57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Fixed income securities</w:t>
            </w:r>
          </w:p>
        </w:tc>
        <w:tc>
          <w:tcPr>
            <w:tcW w:w="840" w:type="dxa"/>
            <w:vAlign w:val="bottom"/>
            <w:shd w:val="clear" w:color="auto" w:fill="CCEEFF"/>
          </w:tcPr>
          <w:p>
            <w:pPr>
              <w:jc w:val="right"/>
              <w:ind w:right="700"/>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ind w:left="60"/>
              <w:spacing w:after="0"/>
              <w:rPr>
                <w:sz w:val="20"/>
                <w:szCs w:val="20"/>
                <w:color w:val="auto"/>
              </w:rPr>
            </w:pPr>
            <w:r>
              <w:rPr>
                <w:rFonts w:ascii="Arial" w:cs="Arial" w:eastAsia="Arial" w:hAnsi="Arial"/>
                <w:sz w:val="13"/>
                <w:szCs w:val="13"/>
                <w:color w:val="auto"/>
              </w:rPr>
              <w:t>48,851</w:t>
            </w:r>
          </w:p>
        </w:tc>
        <w:tc>
          <w:tcPr>
            <w:tcW w:w="520" w:type="dxa"/>
            <w:vAlign w:val="bottom"/>
            <w:shd w:val="clear" w:color="auto" w:fill="CCEEFF"/>
          </w:tcPr>
          <w:p>
            <w:pPr>
              <w:jc w:val="right"/>
              <w:ind w:right="316"/>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3"/>
                <w:szCs w:val="13"/>
                <w:color w:val="auto"/>
              </w:rPr>
              <w:t>48,851</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ind w:right="21"/>
              <w:spacing w:after="0"/>
              <w:rPr>
                <w:sz w:val="20"/>
                <w:szCs w:val="20"/>
                <w:color w:val="auto"/>
              </w:rPr>
            </w:pPr>
            <w:r>
              <w:rPr>
                <w:rFonts w:ascii="Arial" w:cs="Arial" w:eastAsia="Arial" w:hAnsi="Arial"/>
                <w:sz w:val="13"/>
                <w:szCs w:val="13"/>
                <w:color w:val="auto"/>
              </w:rPr>
              <w:t>178,677</w:t>
            </w:r>
          </w:p>
        </w:tc>
        <w:tc>
          <w:tcPr>
            <w:tcW w:w="540" w:type="dxa"/>
            <w:vAlign w:val="bottom"/>
            <w:shd w:val="clear" w:color="auto" w:fill="CCEEFF"/>
          </w:tcPr>
          <w:p>
            <w:pPr>
              <w:jc w:val="right"/>
              <w:ind w:right="336"/>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1"/>
              <w:spacing w:after="0"/>
              <w:rPr>
                <w:sz w:val="20"/>
                <w:szCs w:val="20"/>
                <w:color w:val="auto"/>
              </w:rPr>
            </w:pPr>
            <w:r>
              <w:rPr>
                <w:rFonts w:ascii="Arial" w:cs="Arial" w:eastAsia="Arial" w:hAnsi="Arial"/>
                <w:sz w:val="13"/>
                <w:szCs w:val="13"/>
                <w:color w:val="auto"/>
              </w:rPr>
              <w:t>178,677</w:t>
            </w:r>
          </w:p>
        </w:tc>
        <w:tc>
          <w:tcPr>
            <w:tcW w:w="0" w:type="dxa"/>
            <w:vAlign w:val="bottom"/>
          </w:tcPr>
          <w:p>
            <w:pPr>
              <w:spacing w:after="0"/>
              <w:rPr>
                <w:sz w:val="1"/>
                <w:szCs w:val="1"/>
                <w:color w:val="auto"/>
              </w:rPr>
            </w:pPr>
          </w:p>
        </w:tc>
      </w:tr>
    </w:tbl>
    <w:p>
      <w:pPr>
        <w:spacing w:after="0" w:line="117" w:lineRule="exact"/>
        <w:rPr>
          <w:sz w:val="20"/>
          <w:szCs w:val="20"/>
          <w:color w:val="auto"/>
        </w:rPr>
      </w:pPr>
    </w:p>
    <w:p>
      <w:pPr>
        <w:jc w:val="both"/>
        <w:ind w:firstLine="509"/>
        <w:spacing w:after="0" w:line="288" w:lineRule="auto"/>
        <w:rPr>
          <w:sz w:val="20"/>
          <w:szCs w:val="20"/>
          <w:color w:val="auto"/>
        </w:rPr>
      </w:pPr>
      <w:r>
        <w:rPr>
          <w:rFonts w:ascii="Arial" w:cs="Arial" w:eastAsia="Arial" w:hAnsi="Arial"/>
          <w:sz w:val="13"/>
          <w:szCs w:val="13"/>
          <w:color w:val="auto"/>
        </w:rPr>
        <w:t>Gross realized gains during 2021 and 2020 related to the Company’s available-for-sale securities totaled $5.4 million and $5.8 million, respectively, while gross realized losses were immaterial. Proceeds received from the sale or maturity of available-for-sale securities investments are disclosed in the Consolidated Statements of Cash Flows. Net unrealized holding gains and losses on the Company’s available-for-sale securities recognized during 2021 and 2020 that have been included in accumulated other comprehensive loss and the net amount of gains and losses reclassified out of accumulated other comprehensive loss to earnings during 2021 and 2020 are disclosed in “Note 14. Stockholders’ Equity.”</w:t>
      </w:r>
    </w:p>
    <w:p>
      <w:pPr>
        <w:spacing w:after="0" w:line="85" w:lineRule="exact"/>
        <w:rPr>
          <w:sz w:val="20"/>
          <w:szCs w:val="20"/>
          <w:color w:val="auto"/>
        </w:rPr>
      </w:pPr>
    </w:p>
    <w:p>
      <w:pPr>
        <w:spacing w:after="0"/>
        <w:tabs>
          <w:tab w:leader="none" w:pos="240" w:val="left"/>
        </w:tabs>
        <w:rPr>
          <w:sz w:val="20"/>
          <w:szCs w:val="20"/>
          <w:color w:val="auto"/>
        </w:rPr>
      </w:pPr>
      <w:r>
        <w:rPr>
          <w:rFonts w:ascii="Arial" w:cs="Arial" w:eastAsia="Arial" w:hAnsi="Arial"/>
          <w:sz w:val="14"/>
          <w:szCs w:val="14"/>
          <w:b w:val="1"/>
          <w:bCs w:val="1"/>
          <w:color w:val="auto"/>
        </w:rPr>
        <w:t>9.</w:t>
        <w:tab/>
        <w:t>GOODWILL AND INTANGIBLE ASSETS</w:t>
      </w:r>
    </w:p>
    <w:p>
      <w:pPr>
        <w:spacing w:after="0" w:line="14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activity in goodwill by reportable segment for the years ended December 26, 2021 and December 27, 2020 were as follows: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47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2"/>
          </w:tcPr>
          <w:p>
            <w:pPr>
              <w:ind w:left="140"/>
              <w:spacing w:after="0"/>
              <w:rPr>
                <w:sz w:val="20"/>
                <w:szCs w:val="20"/>
                <w:color w:val="auto"/>
              </w:rPr>
            </w:pPr>
            <w:r>
              <w:rPr>
                <w:rFonts w:ascii="Arial" w:cs="Arial" w:eastAsia="Arial" w:hAnsi="Arial"/>
                <w:sz w:val="11"/>
                <w:szCs w:val="11"/>
                <w:b w:val="1"/>
                <w:bCs w:val="1"/>
                <w:color w:val="auto"/>
              </w:rPr>
              <w:t>December 27, 2020</w:t>
            </w:r>
          </w:p>
        </w:tc>
        <w:tc>
          <w:tcPr>
            <w:tcW w:w="3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2"/>
          </w:tcPr>
          <w:p>
            <w:pPr>
              <w:ind w:left="220"/>
              <w:spacing w:after="0"/>
              <w:rPr>
                <w:sz w:val="20"/>
                <w:szCs w:val="20"/>
                <w:color w:val="auto"/>
              </w:rPr>
            </w:pPr>
            <w:r>
              <w:rPr>
                <w:rFonts w:ascii="Arial" w:cs="Arial" w:eastAsia="Arial" w:hAnsi="Arial"/>
                <w:sz w:val="11"/>
                <w:szCs w:val="11"/>
                <w:b w:val="1"/>
                <w:bCs w:val="1"/>
                <w:color w:val="auto"/>
              </w:rPr>
              <w:t>Additions</w:t>
            </w:r>
          </w:p>
        </w:tc>
        <w:tc>
          <w:tcPr>
            <w:tcW w:w="1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2"/>
          </w:tcPr>
          <w:p>
            <w:pPr>
              <w:ind w:left="100"/>
              <w:spacing w:after="0"/>
              <w:rPr>
                <w:sz w:val="20"/>
                <w:szCs w:val="20"/>
                <w:color w:val="auto"/>
              </w:rPr>
            </w:pPr>
            <w:r>
              <w:rPr>
                <w:rFonts w:ascii="Arial" w:cs="Arial" w:eastAsia="Arial" w:hAnsi="Arial"/>
                <w:sz w:val="11"/>
                <w:szCs w:val="11"/>
                <w:b w:val="1"/>
                <w:bCs w:val="1"/>
                <w:color w:val="auto"/>
              </w:rPr>
              <w:t>Currency Translation</w:t>
            </w:r>
          </w:p>
        </w:tc>
        <w:tc>
          <w:tcPr>
            <w:tcW w:w="2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258"/>
              <w:spacing w:after="0"/>
              <w:rPr>
                <w:sz w:val="20"/>
                <w:szCs w:val="20"/>
                <w:color w:val="auto"/>
              </w:rPr>
            </w:pPr>
            <w:r>
              <w:rPr>
                <w:rFonts w:ascii="Arial" w:cs="Arial" w:eastAsia="Arial" w:hAnsi="Arial"/>
                <w:sz w:val="11"/>
                <w:szCs w:val="11"/>
                <w:b w:val="1"/>
                <w:bCs w:val="1"/>
                <w:color w:val="auto"/>
              </w:rPr>
              <w:t>December 26, 2021</w:t>
            </w:r>
          </w:p>
        </w:tc>
      </w:tr>
      <w:tr>
        <w:trPr>
          <w:trHeight w:val="127"/>
        </w:trPr>
        <w:tc>
          <w:tcPr>
            <w:tcW w:w="4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0" w:type="dxa"/>
            <w:vAlign w:val="bottom"/>
            <w:gridSpan w:val="5"/>
          </w:tcPr>
          <w:p>
            <w:pPr>
              <w:ind w:left="980"/>
              <w:spacing w:after="0"/>
              <w:rPr>
                <w:sz w:val="20"/>
                <w:szCs w:val="20"/>
                <w:color w:val="auto"/>
              </w:rPr>
            </w:pPr>
            <w:r>
              <w:rPr>
                <w:rFonts w:ascii="Arial" w:cs="Arial" w:eastAsia="Arial" w:hAnsi="Arial"/>
                <w:sz w:val="10"/>
                <w:szCs w:val="10"/>
                <w:b w:val="1"/>
                <w:bCs w:val="1"/>
                <w:color w:val="auto"/>
              </w:rPr>
              <w:t>(In thousands)</w:t>
            </w:r>
          </w:p>
        </w:tc>
        <w:tc>
          <w:tcPr>
            <w:tcW w:w="200" w:type="dxa"/>
            <w:vAlign w:val="bottom"/>
          </w:tcPr>
          <w:p>
            <w:pPr>
              <w:spacing w:after="0"/>
              <w:rPr>
                <w:sz w:val="11"/>
                <w:szCs w:val="11"/>
                <w:color w:val="auto"/>
              </w:rPr>
            </w:pPr>
          </w:p>
        </w:tc>
        <w:tc>
          <w:tcPr>
            <w:tcW w:w="1360" w:type="dxa"/>
            <w:vAlign w:val="bottom"/>
          </w:tcPr>
          <w:p>
            <w:pPr>
              <w:spacing w:after="0"/>
              <w:rPr>
                <w:sz w:val="11"/>
                <w:szCs w:val="11"/>
                <w:color w:val="auto"/>
              </w:rPr>
            </w:pPr>
          </w:p>
        </w:tc>
      </w:tr>
      <w:tr>
        <w:trPr>
          <w:trHeight w:val="176"/>
        </w:trPr>
        <w:tc>
          <w:tcPr>
            <w:tcW w:w="4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U.S.</w:t>
            </w: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41,936</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41,936</w:t>
            </w:r>
          </w:p>
        </w:tc>
      </w:tr>
      <w:tr>
        <w:trPr>
          <w:trHeight w:val="168"/>
        </w:trPr>
        <w:tc>
          <w:tcPr>
            <w:tcW w:w="4740" w:type="dxa"/>
            <w:vAlign w:val="bottom"/>
          </w:tcPr>
          <w:p>
            <w:pPr>
              <w:ind w:left="20"/>
              <w:spacing w:after="0"/>
              <w:rPr>
                <w:sz w:val="20"/>
                <w:szCs w:val="20"/>
                <w:color w:val="auto"/>
              </w:rPr>
            </w:pPr>
            <w:r>
              <w:rPr>
                <w:rFonts w:ascii="Arial" w:cs="Arial" w:eastAsia="Arial" w:hAnsi="Arial"/>
                <w:sz w:val="13"/>
                <w:szCs w:val="13"/>
                <w:color w:val="auto"/>
              </w:rPr>
              <w:t>U.K. and Europe</w:t>
            </w:r>
          </w:p>
        </w:tc>
        <w:tc>
          <w:tcPr>
            <w:tcW w:w="2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835,505</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350,364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(18,357)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1,167,512</w:t>
            </w:r>
          </w:p>
        </w:tc>
      </w:tr>
      <w:tr>
        <w:trPr>
          <w:trHeight w:val="170"/>
        </w:trPr>
        <w:tc>
          <w:tcPr>
            <w:tcW w:w="4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Mexico</w:t>
            </w:r>
          </w:p>
        </w:tc>
        <w:tc>
          <w:tcPr>
            <w:tcW w:w="20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127,804</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127,804</w:t>
            </w:r>
          </w:p>
        </w:tc>
      </w:tr>
      <w:tr>
        <w:trPr>
          <w:trHeight w:val="163"/>
        </w:trPr>
        <w:tc>
          <w:tcPr>
            <w:tcW w:w="4740" w:type="dxa"/>
            <w:vAlign w:val="bottom"/>
          </w:tcPr>
          <w:p>
            <w:pPr>
              <w:ind w:left="180"/>
              <w:spacing w:after="0"/>
              <w:rPr>
                <w:sz w:val="20"/>
                <w:szCs w:val="20"/>
                <w:color w:val="auto"/>
              </w:rPr>
            </w:pPr>
            <w:r>
              <w:rPr>
                <w:rFonts w:ascii="Arial" w:cs="Arial" w:eastAsia="Arial" w:hAnsi="Arial"/>
                <w:sz w:val="13"/>
                <w:szCs w:val="13"/>
                <w:color w:val="auto"/>
              </w:rPr>
              <w:t>Total</w:t>
            </w:r>
          </w:p>
        </w:tc>
        <w:tc>
          <w:tcPr>
            <w:tcW w:w="20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3"/>
                <w:szCs w:val="13"/>
                <w:color w:val="auto"/>
                <w:w w:val="82"/>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1,005,245</w:t>
            </w:r>
          </w:p>
        </w:tc>
        <w:tc>
          <w:tcPr>
            <w:tcW w:w="100" w:type="dxa"/>
            <w:vAlign w:val="bottom"/>
          </w:tcPr>
          <w:p>
            <w:pPr>
              <w:spacing w:after="0"/>
              <w:rPr>
                <w:sz w:val="14"/>
                <w:szCs w:val="14"/>
                <w:color w:val="auto"/>
              </w:rPr>
            </w:pPr>
          </w:p>
        </w:tc>
        <w:tc>
          <w:tcPr>
            <w:tcW w:w="320" w:type="dxa"/>
            <w:vAlign w:val="bottom"/>
            <w:tcBorders>
              <w:top w:val="single" w:sz="8" w:color="auto"/>
              <w:bottom w:val="single" w:sz="8" w:color="auto"/>
            </w:tcBorders>
          </w:tcPr>
          <w:p>
            <w:pPr>
              <w:jc w:val="right"/>
              <w:ind w:right="176"/>
              <w:spacing w:after="0"/>
              <w:rPr>
                <w:sz w:val="20"/>
                <w:szCs w:val="20"/>
                <w:color w:val="auto"/>
              </w:rPr>
            </w:pPr>
            <w:r>
              <w:rPr>
                <w:rFonts w:ascii="Arial" w:cs="Arial" w:eastAsia="Arial" w:hAnsi="Arial"/>
                <w:sz w:val="13"/>
                <w:szCs w:val="13"/>
                <w:color w:val="auto"/>
                <w:w w:val="82"/>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350,364</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3"/>
                <w:szCs w:val="13"/>
                <w:color w:val="auto"/>
                <w:w w:val="82"/>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(18,357)</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3"/>
                <w:szCs w:val="13"/>
                <w:color w:val="auto"/>
                <w:w w:val="82"/>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1,337,252</w:t>
            </w:r>
          </w:p>
        </w:tc>
      </w:tr>
      <w:tr>
        <w:trPr>
          <w:trHeight w:val="20"/>
        </w:trPr>
        <w:tc>
          <w:tcPr>
            <w:tcW w:w="4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75"/>
        </w:trPr>
        <w:tc>
          <w:tcPr>
            <w:tcW w:w="474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gridSpan w:val="2"/>
          </w:tcPr>
          <w:p>
            <w:pPr>
              <w:ind w:left="140"/>
              <w:spacing w:after="0"/>
              <w:rPr>
                <w:sz w:val="20"/>
                <w:szCs w:val="20"/>
                <w:color w:val="auto"/>
              </w:rPr>
            </w:pPr>
            <w:r>
              <w:rPr>
                <w:rFonts w:ascii="Arial" w:cs="Arial" w:eastAsia="Arial" w:hAnsi="Arial"/>
                <w:sz w:val="11"/>
                <w:szCs w:val="11"/>
                <w:b w:val="1"/>
                <w:bCs w:val="1"/>
                <w:color w:val="auto"/>
              </w:rPr>
              <w:t>December 29, 2019</w:t>
            </w:r>
          </w:p>
        </w:tc>
        <w:tc>
          <w:tcPr>
            <w:tcW w:w="32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gridSpan w:val="2"/>
          </w:tcPr>
          <w:p>
            <w:pPr>
              <w:ind w:left="220"/>
              <w:spacing w:after="0"/>
              <w:rPr>
                <w:sz w:val="20"/>
                <w:szCs w:val="20"/>
                <w:color w:val="auto"/>
              </w:rPr>
            </w:pPr>
            <w:r>
              <w:rPr>
                <w:rFonts w:ascii="Arial" w:cs="Arial" w:eastAsia="Arial" w:hAnsi="Arial"/>
                <w:sz w:val="11"/>
                <w:szCs w:val="11"/>
                <w:b w:val="1"/>
                <w:bCs w:val="1"/>
                <w:color w:val="auto"/>
              </w:rPr>
              <w:t>Additions</w:t>
            </w:r>
          </w:p>
        </w:tc>
        <w:tc>
          <w:tcPr>
            <w:tcW w:w="16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gridSpan w:val="2"/>
          </w:tcPr>
          <w:p>
            <w:pPr>
              <w:ind w:left="100"/>
              <w:spacing w:after="0"/>
              <w:rPr>
                <w:sz w:val="20"/>
                <w:szCs w:val="20"/>
                <w:color w:val="auto"/>
              </w:rPr>
            </w:pPr>
            <w:r>
              <w:rPr>
                <w:rFonts w:ascii="Arial" w:cs="Arial" w:eastAsia="Arial" w:hAnsi="Arial"/>
                <w:sz w:val="11"/>
                <w:szCs w:val="11"/>
                <w:b w:val="1"/>
                <w:bCs w:val="1"/>
                <w:color w:val="auto"/>
              </w:rPr>
              <w:t>Currency Translation</w:t>
            </w:r>
          </w:p>
        </w:tc>
        <w:tc>
          <w:tcPr>
            <w:tcW w:w="20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ind w:right="258"/>
              <w:spacing w:after="0"/>
              <w:rPr>
                <w:sz w:val="20"/>
                <w:szCs w:val="20"/>
                <w:color w:val="auto"/>
              </w:rPr>
            </w:pPr>
            <w:r>
              <w:rPr>
                <w:rFonts w:ascii="Arial" w:cs="Arial" w:eastAsia="Arial" w:hAnsi="Arial"/>
                <w:sz w:val="11"/>
                <w:szCs w:val="11"/>
                <w:b w:val="1"/>
                <w:bCs w:val="1"/>
                <w:color w:val="auto"/>
              </w:rPr>
              <w:t>December 27, 2020</w:t>
            </w:r>
          </w:p>
        </w:tc>
      </w:tr>
      <w:tr>
        <w:trPr>
          <w:trHeight w:val="127"/>
        </w:trPr>
        <w:tc>
          <w:tcPr>
            <w:tcW w:w="4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0" w:type="dxa"/>
            <w:vAlign w:val="bottom"/>
            <w:gridSpan w:val="5"/>
          </w:tcPr>
          <w:p>
            <w:pPr>
              <w:ind w:left="980"/>
              <w:spacing w:after="0"/>
              <w:rPr>
                <w:sz w:val="20"/>
                <w:szCs w:val="20"/>
                <w:color w:val="auto"/>
              </w:rPr>
            </w:pPr>
            <w:r>
              <w:rPr>
                <w:rFonts w:ascii="Arial" w:cs="Arial" w:eastAsia="Arial" w:hAnsi="Arial"/>
                <w:sz w:val="10"/>
                <w:szCs w:val="10"/>
                <w:b w:val="1"/>
                <w:bCs w:val="1"/>
                <w:color w:val="auto"/>
              </w:rPr>
              <w:t>(In thousands)</w:t>
            </w:r>
          </w:p>
        </w:tc>
        <w:tc>
          <w:tcPr>
            <w:tcW w:w="200" w:type="dxa"/>
            <w:vAlign w:val="bottom"/>
          </w:tcPr>
          <w:p>
            <w:pPr>
              <w:spacing w:after="0"/>
              <w:rPr>
                <w:sz w:val="11"/>
                <w:szCs w:val="11"/>
                <w:color w:val="auto"/>
              </w:rPr>
            </w:pPr>
          </w:p>
        </w:tc>
        <w:tc>
          <w:tcPr>
            <w:tcW w:w="1360" w:type="dxa"/>
            <w:vAlign w:val="bottom"/>
          </w:tcPr>
          <w:p>
            <w:pPr>
              <w:spacing w:after="0"/>
              <w:rPr>
                <w:sz w:val="11"/>
                <w:szCs w:val="11"/>
                <w:color w:val="auto"/>
              </w:rPr>
            </w:pPr>
          </w:p>
        </w:tc>
      </w:tr>
      <w:tr>
        <w:trPr>
          <w:trHeight w:val="176"/>
        </w:trPr>
        <w:tc>
          <w:tcPr>
            <w:tcW w:w="4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U.S.</w:t>
            </w: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41,936</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41,936</w:t>
            </w:r>
          </w:p>
        </w:tc>
      </w:tr>
      <w:tr>
        <w:trPr>
          <w:trHeight w:val="168"/>
        </w:trPr>
        <w:tc>
          <w:tcPr>
            <w:tcW w:w="4740" w:type="dxa"/>
            <w:vAlign w:val="bottom"/>
          </w:tcPr>
          <w:p>
            <w:pPr>
              <w:ind w:left="20"/>
              <w:spacing w:after="0"/>
              <w:rPr>
                <w:sz w:val="20"/>
                <w:szCs w:val="20"/>
                <w:color w:val="auto"/>
              </w:rPr>
            </w:pPr>
            <w:r>
              <w:rPr>
                <w:rFonts w:ascii="Arial" w:cs="Arial" w:eastAsia="Arial" w:hAnsi="Arial"/>
                <w:sz w:val="13"/>
                <w:szCs w:val="13"/>
                <w:color w:val="auto"/>
              </w:rPr>
              <w:t>U.K. and Europe</w:t>
            </w:r>
          </w:p>
        </w:tc>
        <w:tc>
          <w:tcPr>
            <w:tcW w:w="2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806,207</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29,298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835,505</w:t>
            </w:r>
          </w:p>
        </w:tc>
      </w:tr>
      <w:tr>
        <w:trPr>
          <w:trHeight w:val="170"/>
        </w:trPr>
        <w:tc>
          <w:tcPr>
            <w:tcW w:w="4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Mexico</w:t>
            </w:r>
          </w:p>
        </w:tc>
        <w:tc>
          <w:tcPr>
            <w:tcW w:w="20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125,607</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2,197</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127,804</w:t>
            </w:r>
          </w:p>
        </w:tc>
      </w:tr>
      <w:tr>
        <w:trPr>
          <w:trHeight w:val="163"/>
        </w:trPr>
        <w:tc>
          <w:tcPr>
            <w:tcW w:w="4740" w:type="dxa"/>
            <w:vAlign w:val="bottom"/>
          </w:tcPr>
          <w:p>
            <w:pPr>
              <w:ind w:left="180"/>
              <w:spacing w:after="0"/>
              <w:rPr>
                <w:sz w:val="20"/>
                <w:szCs w:val="20"/>
                <w:color w:val="auto"/>
              </w:rPr>
            </w:pPr>
            <w:r>
              <w:rPr>
                <w:rFonts w:ascii="Arial" w:cs="Arial" w:eastAsia="Arial" w:hAnsi="Arial"/>
                <w:sz w:val="13"/>
                <w:szCs w:val="13"/>
                <w:color w:val="auto"/>
              </w:rPr>
              <w:t>Total</w:t>
            </w:r>
          </w:p>
        </w:tc>
        <w:tc>
          <w:tcPr>
            <w:tcW w:w="20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3"/>
                <w:szCs w:val="13"/>
                <w:color w:val="auto"/>
                <w:w w:val="82"/>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973,750</w:t>
            </w:r>
          </w:p>
        </w:tc>
        <w:tc>
          <w:tcPr>
            <w:tcW w:w="100" w:type="dxa"/>
            <w:vAlign w:val="bottom"/>
          </w:tcPr>
          <w:p>
            <w:pPr>
              <w:spacing w:after="0"/>
              <w:rPr>
                <w:sz w:val="14"/>
                <w:szCs w:val="14"/>
                <w:color w:val="auto"/>
              </w:rPr>
            </w:pPr>
          </w:p>
        </w:tc>
        <w:tc>
          <w:tcPr>
            <w:tcW w:w="320" w:type="dxa"/>
            <w:vAlign w:val="bottom"/>
            <w:tcBorders>
              <w:top w:val="single" w:sz="8" w:color="auto"/>
              <w:bottom w:val="single" w:sz="8" w:color="auto"/>
            </w:tcBorders>
          </w:tcPr>
          <w:p>
            <w:pPr>
              <w:jc w:val="right"/>
              <w:ind w:right="176"/>
              <w:spacing w:after="0"/>
              <w:rPr>
                <w:sz w:val="20"/>
                <w:szCs w:val="20"/>
                <w:color w:val="auto"/>
              </w:rPr>
            </w:pPr>
            <w:r>
              <w:rPr>
                <w:rFonts w:ascii="Arial" w:cs="Arial" w:eastAsia="Arial" w:hAnsi="Arial"/>
                <w:sz w:val="13"/>
                <w:szCs w:val="13"/>
                <w:color w:val="auto"/>
                <w:w w:val="82"/>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2,197</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3"/>
                <w:szCs w:val="13"/>
                <w:color w:val="auto"/>
                <w:w w:val="82"/>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29,298</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3"/>
                <w:szCs w:val="13"/>
                <w:color w:val="auto"/>
                <w:w w:val="82"/>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1,005,245</w:t>
            </w:r>
          </w:p>
        </w:tc>
      </w:tr>
      <w:tr>
        <w:trPr>
          <w:trHeight w:val="20"/>
        </w:trPr>
        <w:tc>
          <w:tcPr>
            <w:tcW w:w="4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95" w:lineRule="exact"/>
        <w:rPr>
          <w:sz w:val="20"/>
          <w:szCs w:val="20"/>
          <w:color w:val="auto"/>
        </w:rPr>
      </w:pPr>
    </w:p>
    <w:p>
      <w:pPr>
        <w:ind w:left="520"/>
        <w:spacing w:after="0"/>
        <w:rPr>
          <w:sz w:val="20"/>
          <w:szCs w:val="20"/>
          <w:color w:val="auto"/>
        </w:rPr>
      </w:pPr>
      <w:r>
        <w:rPr>
          <w:rFonts w:ascii="Arial" w:cs="Arial" w:eastAsia="Arial" w:hAnsi="Arial"/>
          <w:sz w:val="14"/>
          <w:szCs w:val="14"/>
          <w:color w:val="auto"/>
        </w:rPr>
        <w:t>Identified intangible assets consisted of the following:</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31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2"/>
          </w:tcPr>
          <w:p>
            <w:pPr>
              <w:ind w:left="120"/>
              <w:spacing w:after="0"/>
              <w:rPr>
                <w:sz w:val="20"/>
                <w:szCs w:val="20"/>
                <w:color w:val="auto"/>
              </w:rPr>
            </w:pPr>
            <w:r>
              <w:rPr>
                <w:rFonts w:ascii="Arial" w:cs="Arial" w:eastAsia="Arial" w:hAnsi="Arial"/>
                <w:sz w:val="11"/>
                <w:szCs w:val="11"/>
                <w:b w:val="1"/>
                <w:bCs w:val="1"/>
                <w:color w:val="auto"/>
              </w:rPr>
              <w:t>December 27, 2020</w:t>
            </w:r>
          </w:p>
        </w:tc>
        <w:tc>
          <w:tcPr>
            <w:tcW w:w="3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2"/>
          </w:tcPr>
          <w:p>
            <w:pPr>
              <w:ind w:left="240"/>
              <w:spacing w:after="0"/>
              <w:rPr>
                <w:sz w:val="20"/>
                <w:szCs w:val="20"/>
                <w:color w:val="auto"/>
              </w:rPr>
            </w:pPr>
            <w:r>
              <w:rPr>
                <w:rFonts w:ascii="Arial" w:cs="Arial" w:eastAsia="Arial" w:hAnsi="Arial"/>
                <w:sz w:val="11"/>
                <w:szCs w:val="11"/>
                <w:b w:val="1"/>
                <w:bCs w:val="1"/>
                <w:color w:val="auto"/>
              </w:rPr>
              <w:t>Additions</w:t>
            </w:r>
          </w:p>
        </w:tc>
        <w:tc>
          <w:tcPr>
            <w:tcW w:w="26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2"/>
          </w:tcPr>
          <w:p>
            <w:pPr>
              <w:ind w:left="200"/>
              <w:spacing w:after="0"/>
              <w:rPr>
                <w:sz w:val="20"/>
                <w:szCs w:val="20"/>
                <w:color w:val="auto"/>
              </w:rPr>
            </w:pPr>
            <w:r>
              <w:rPr>
                <w:rFonts w:ascii="Arial" w:cs="Arial" w:eastAsia="Arial" w:hAnsi="Arial"/>
                <w:sz w:val="11"/>
                <w:szCs w:val="11"/>
                <w:b w:val="1"/>
                <w:bCs w:val="1"/>
                <w:color w:val="auto"/>
              </w:rPr>
              <w:t>Amortization</w:t>
            </w:r>
          </w:p>
        </w:tc>
        <w:tc>
          <w:tcPr>
            <w:tcW w:w="1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2"/>
          </w:tcPr>
          <w:p>
            <w:pPr>
              <w:ind w:left="100"/>
              <w:spacing w:after="0"/>
              <w:rPr>
                <w:sz w:val="20"/>
                <w:szCs w:val="20"/>
                <w:color w:val="auto"/>
              </w:rPr>
            </w:pPr>
            <w:r>
              <w:rPr>
                <w:rFonts w:ascii="Arial" w:cs="Arial" w:eastAsia="Arial" w:hAnsi="Arial"/>
                <w:sz w:val="11"/>
                <w:szCs w:val="11"/>
                <w:b w:val="1"/>
                <w:bCs w:val="1"/>
                <w:color w:val="auto"/>
              </w:rPr>
              <w:t>Currency Translation</w:t>
            </w:r>
          </w:p>
        </w:tc>
        <w:tc>
          <w:tcPr>
            <w:tcW w:w="2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257"/>
              <w:spacing w:after="0"/>
              <w:rPr>
                <w:sz w:val="20"/>
                <w:szCs w:val="20"/>
                <w:color w:val="auto"/>
              </w:rPr>
            </w:pPr>
            <w:r>
              <w:rPr>
                <w:rFonts w:ascii="Arial" w:cs="Arial" w:eastAsia="Arial" w:hAnsi="Arial"/>
                <w:sz w:val="11"/>
                <w:szCs w:val="11"/>
                <w:b w:val="1"/>
                <w:bCs w:val="1"/>
                <w:color w:val="auto"/>
              </w:rPr>
              <w:t>December 26, 2021</w:t>
            </w:r>
          </w:p>
        </w:tc>
        <w:tc>
          <w:tcPr>
            <w:tcW w:w="0" w:type="dxa"/>
            <w:vAlign w:val="bottom"/>
          </w:tcPr>
          <w:p>
            <w:pPr>
              <w:spacing w:after="0"/>
              <w:rPr>
                <w:sz w:val="1"/>
                <w:szCs w:val="1"/>
                <w:color w:val="auto"/>
              </w:rPr>
            </w:pPr>
          </w:p>
        </w:tc>
      </w:tr>
      <w:tr>
        <w:trPr>
          <w:trHeight w:val="127"/>
        </w:trPr>
        <w:tc>
          <w:tcPr>
            <w:tcW w:w="3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0" w:type="dxa"/>
            <w:vAlign w:val="bottom"/>
            <w:gridSpan w:val="2"/>
          </w:tcPr>
          <w:p>
            <w:pPr>
              <w:ind w:left="220"/>
              <w:spacing w:after="0"/>
              <w:rPr>
                <w:sz w:val="20"/>
                <w:szCs w:val="20"/>
                <w:color w:val="auto"/>
              </w:rPr>
            </w:pPr>
            <w:r>
              <w:rPr>
                <w:rFonts w:ascii="Arial" w:cs="Arial" w:eastAsia="Arial" w:hAnsi="Arial"/>
                <w:sz w:val="10"/>
                <w:szCs w:val="10"/>
                <w:b w:val="1"/>
                <w:bCs w:val="1"/>
                <w:color w:val="auto"/>
              </w:rPr>
              <w:t>(In thousands)</w:t>
            </w:r>
          </w:p>
        </w:tc>
        <w:tc>
          <w:tcPr>
            <w:tcW w:w="1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3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Carrying amount:</w:t>
            </w: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3100" w:type="dxa"/>
            <w:vAlign w:val="bottom"/>
          </w:tcPr>
          <w:p>
            <w:pPr>
              <w:ind w:left="140"/>
              <w:spacing w:after="0" w:line="131" w:lineRule="exact"/>
              <w:rPr>
                <w:sz w:val="20"/>
                <w:szCs w:val="20"/>
                <w:color w:val="auto"/>
              </w:rPr>
            </w:pPr>
            <w:r>
              <w:rPr>
                <w:rFonts w:ascii="Arial" w:cs="Arial" w:eastAsia="Arial" w:hAnsi="Arial"/>
                <w:sz w:val="13"/>
                <w:szCs w:val="13"/>
                <w:color w:val="auto"/>
              </w:rPr>
              <w:t>Trade names not subject to</w:t>
            </w:r>
          </w:p>
        </w:tc>
        <w:tc>
          <w:tcPr>
            <w:tcW w:w="200" w:type="dxa"/>
            <w:vAlign w:val="bottom"/>
            <w:vMerge w:val="restart"/>
          </w:tcPr>
          <w:p>
            <w:pPr>
              <w:jc w:val="right"/>
              <w:ind w:right="56"/>
              <w:spacing w:after="0"/>
              <w:rPr>
                <w:sz w:val="20"/>
                <w:szCs w:val="20"/>
                <w:color w:val="auto"/>
              </w:rPr>
            </w:pPr>
            <w:r>
              <w:rPr>
                <w:rFonts w:ascii="Arial" w:cs="Arial" w:eastAsia="Arial" w:hAnsi="Arial"/>
                <w:sz w:val="13"/>
                <w:szCs w:val="13"/>
                <w:color w:val="auto"/>
                <w:w w:val="82"/>
              </w:rPr>
              <w:t>$</w:t>
            </w:r>
          </w:p>
        </w:tc>
        <w:tc>
          <w:tcPr>
            <w:tcW w:w="1360" w:type="dxa"/>
            <w:vAlign w:val="bottom"/>
            <w:vMerge w:val="restart"/>
          </w:tcPr>
          <w:p>
            <w:pPr>
              <w:jc w:val="right"/>
              <w:spacing w:after="0"/>
              <w:rPr>
                <w:sz w:val="20"/>
                <w:szCs w:val="20"/>
                <w:color w:val="auto"/>
              </w:rPr>
            </w:pPr>
            <w:r>
              <w:rPr>
                <w:rFonts w:ascii="Arial" w:cs="Arial" w:eastAsia="Arial" w:hAnsi="Arial"/>
                <w:sz w:val="13"/>
                <w:szCs w:val="13"/>
                <w:color w:val="auto"/>
              </w:rPr>
              <w:t>405,240</w:t>
            </w:r>
          </w:p>
        </w:tc>
        <w:tc>
          <w:tcPr>
            <w:tcW w:w="80" w:type="dxa"/>
            <w:vAlign w:val="bottom"/>
          </w:tcPr>
          <w:p>
            <w:pPr>
              <w:spacing w:after="0"/>
              <w:rPr>
                <w:sz w:val="11"/>
                <w:szCs w:val="11"/>
                <w:color w:val="auto"/>
              </w:rPr>
            </w:pPr>
          </w:p>
        </w:tc>
        <w:tc>
          <w:tcPr>
            <w:tcW w:w="320" w:type="dxa"/>
            <w:vAlign w:val="bottom"/>
            <w:vMerge w:val="restart"/>
          </w:tcPr>
          <w:p>
            <w:pPr>
              <w:jc w:val="right"/>
              <w:ind w:right="176"/>
              <w:spacing w:after="0"/>
              <w:rPr>
                <w:sz w:val="20"/>
                <w:szCs w:val="20"/>
                <w:color w:val="auto"/>
              </w:rPr>
            </w:pPr>
            <w:r>
              <w:rPr>
                <w:rFonts w:ascii="Arial" w:cs="Arial" w:eastAsia="Arial" w:hAnsi="Arial"/>
                <w:sz w:val="13"/>
                <w:szCs w:val="13"/>
                <w:color w:val="auto"/>
                <w:w w:val="82"/>
              </w:rPr>
              <w:t>$</w:t>
            </w:r>
          </w:p>
        </w:tc>
        <w:tc>
          <w:tcPr>
            <w:tcW w:w="1240" w:type="dxa"/>
            <w:vAlign w:val="bottom"/>
            <w:vMerge w:val="restart"/>
          </w:tcPr>
          <w:p>
            <w:pPr>
              <w:jc w:val="right"/>
              <w:spacing w:after="0"/>
              <w:rPr>
                <w:sz w:val="20"/>
                <w:szCs w:val="20"/>
                <w:color w:val="auto"/>
              </w:rPr>
            </w:pPr>
            <w:r>
              <w:rPr>
                <w:rFonts w:ascii="Arial" w:cs="Arial" w:eastAsia="Arial" w:hAnsi="Arial"/>
                <w:sz w:val="13"/>
                <w:szCs w:val="13"/>
                <w:color w:val="auto"/>
              </w:rPr>
              <w:t>214,047</w:t>
            </w:r>
          </w:p>
        </w:tc>
        <w:tc>
          <w:tcPr>
            <w:tcW w:w="100" w:type="dxa"/>
            <w:vAlign w:val="bottom"/>
          </w:tcPr>
          <w:p>
            <w:pPr>
              <w:spacing w:after="0"/>
              <w:rPr>
                <w:sz w:val="11"/>
                <w:szCs w:val="11"/>
                <w:color w:val="auto"/>
              </w:rPr>
            </w:pPr>
          </w:p>
        </w:tc>
        <w:tc>
          <w:tcPr>
            <w:tcW w:w="260" w:type="dxa"/>
            <w:vAlign w:val="bottom"/>
            <w:vMerge w:val="restart"/>
          </w:tcPr>
          <w:p>
            <w:pPr>
              <w:jc w:val="right"/>
              <w:ind w:right="116"/>
              <w:spacing w:after="0"/>
              <w:rPr>
                <w:sz w:val="20"/>
                <w:szCs w:val="20"/>
                <w:color w:val="auto"/>
              </w:rPr>
            </w:pPr>
            <w:r>
              <w:rPr>
                <w:rFonts w:ascii="Arial" w:cs="Arial" w:eastAsia="Arial" w:hAnsi="Arial"/>
                <w:sz w:val="13"/>
                <w:szCs w:val="13"/>
                <w:color w:val="auto"/>
                <w:w w:val="82"/>
              </w:rPr>
              <w:t>$</w:t>
            </w:r>
          </w:p>
        </w:tc>
        <w:tc>
          <w:tcPr>
            <w:tcW w:w="1400" w:type="dxa"/>
            <w:vAlign w:val="bottom"/>
            <w:gridSpan w:val="2"/>
            <w:vMerge w:val="restart"/>
          </w:tcPr>
          <w:p>
            <w:pPr>
              <w:ind w:left="1120"/>
              <w:spacing w:after="0"/>
              <w:rPr>
                <w:sz w:val="20"/>
                <w:szCs w:val="20"/>
                <w:color w:val="auto"/>
              </w:rPr>
            </w:pPr>
            <w:r>
              <w:rPr>
                <w:rFonts w:ascii="Arial" w:cs="Arial" w:eastAsia="Arial" w:hAnsi="Arial"/>
                <w:sz w:val="13"/>
                <w:szCs w:val="13"/>
                <w:color w:val="auto"/>
              </w:rPr>
              <w:t>—</w:t>
            </w:r>
          </w:p>
        </w:tc>
        <w:tc>
          <w:tcPr>
            <w:tcW w:w="160" w:type="dxa"/>
            <w:vAlign w:val="bottom"/>
            <w:vMerge w:val="restart"/>
          </w:tcPr>
          <w:p>
            <w:pPr>
              <w:jc w:val="right"/>
              <w:ind w:right="16"/>
              <w:spacing w:after="0"/>
              <w:rPr>
                <w:sz w:val="20"/>
                <w:szCs w:val="20"/>
                <w:color w:val="auto"/>
              </w:rPr>
            </w:pPr>
            <w:r>
              <w:rPr>
                <w:rFonts w:ascii="Arial" w:cs="Arial" w:eastAsia="Arial" w:hAnsi="Arial"/>
                <w:sz w:val="13"/>
                <w:szCs w:val="13"/>
                <w:color w:val="auto"/>
                <w:w w:val="82"/>
              </w:rPr>
              <w:t>$</w:t>
            </w:r>
          </w:p>
        </w:tc>
        <w:tc>
          <w:tcPr>
            <w:tcW w:w="1400" w:type="dxa"/>
            <w:vAlign w:val="bottom"/>
            <w:vMerge w:val="restart"/>
          </w:tcPr>
          <w:p>
            <w:pPr>
              <w:jc w:val="right"/>
              <w:spacing w:after="0"/>
              <w:rPr>
                <w:sz w:val="20"/>
                <w:szCs w:val="20"/>
                <w:color w:val="auto"/>
              </w:rPr>
            </w:pPr>
            <w:r>
              <w:rPr>
                <w:rFonts w:ascii="Arial" w:cs="Arial" w:eastAsia="Arial" w:hAnsi="Arial"/>
                <w:sz w:val="13"/>
                <w:szCs w:val="13"/>
                <w:color w:val="auto"/>
              </w:rPr>
              <w:t>(9,574)</w:t>
            </w:r>
          </w:p>
        </w:tc>
        <w:tc>
          <w:tcPr>
            <w:tcW w:w="100" w:type="dxa"/>
            <w:vAlign w:val="bottom"/>
          </w:tcPr>
          <w:p>
            <w:pPr>
              <w:spacing w:after="0"/>
              <w:rPr>
                <w:sz w:val="11"/>
                <w:szCs w:val="11"/>
                <w:color w:val="auto"/>
              </w:rPr>
            </w:pPr>
          </w:p>
        </w:tc>
        <w:tc>
          <w:tcPr>
            <w:tcW w:w="200" w:type="dxa"/>
            <w:vAlign w:val="bottom"/>
            <w:vMerge w:val="restart"/>
          </w:tcPr>
          <w:p>
            <w:pPr>
              <w:jc w:val="right"/>
              <w:ind w:right="56"/>
              <w:spacing w:after="0"/>
              <w:rPr>
                <w:sz w:val="20"/>
                <w:szCs w:val="20"/>
                <w:color w:val="auto"/>
              </w:rPr>
            </w:pPr>
            <w:r>
              <w:rPr>
                <w:rFonts w:ascii="Arial" w:cs="Arial" w:eastAsia="Arial" w:hAnsi="Arial"/>
                <w:sz w:val="13"/>
                <w:szCs w:val="13"/>
                <w:color w:val="auto"/>
                <w:w w:val="82"/>
              </w:rPr>
              <w:t>$</w:t>
            </w:r>
          </w:p>
        </w:tc>
        <w:tc>
          <w:tcPr>
            <w:tcW w:w="1360" w:type="dxa"/>
            <w:vAlign w:val="bottom"/>
            <w:vMerge w:val="restart"/>
          </w:tcPr>
          <w:p>
            <w:pPr>
              <w:jc w:val="right"/>
              <w:spacing w:after="0"/>
              <w:rPr>
                <w:sz w:val="20"/>
                <w:szCs w:val="20"/>
                <w:color w:val="auto"/>
              </w:rPr>
            </w:pPr>
            <w:r>
              <w:rPr>
                <w:rFonts w:ascii="Arial" w:cs="Arial" w:eastAsia="Arial" w:hAnsi="Arial"/>
                <w:sz w:val="13"/>
                <w:szCs w:val="13"/>
                <w:color w:val="auto"/>
              </w:rPr>
              <w:t>609,713</w:t>
            </w:r>
          </w:p>
        </w:tc>
        <w:tc>
          <w:tcPr>
            <w:tcW w:w="0" w:type="dxa"/>
            <w:vAlign w:val="bottom"/>
          </w:tcPr>
          <w:p>
            <w:pPr>
              <w:spacing w:after="0"/>
              <w:rPr>
                <w:sz w:val="1"/>
                <w:szCs w:val="1"/>
                <w:color w:val="auto"/>
              </w:rPr>
            </w:pPr>
          </w:p>
        </w:tc>
      </w:tr>
      <w:tr>
        <w:trPr>
          <w:trHeight w:val="164"/>
        </w:trPr>
        <w:tc>
          <w:tcPr>
            <w:tcW w:w="3100" w:type="dxa"/>
            <w:vAlign w:val="bottom"/>
          </w:tcPr>
          <w:p>
            <w:pPr>
              <w:ind w:left="180"/>
              <w:spacing w:after="0"/>
              <w:rPr>
                <w:sz w:val="20"/>
                <w:szCs w:val="20"/>
                <w:color w:val="auto"/>
              </w:rPr>
            </w:pPr>
            <w:r>
              <w:rPr>
                <w:rFonts w:ascii="Arial" w:cs="Arial" w:eastAsia="Arial" w:hAnsi="Arial"/>
                <w:sz w:val="13"/>
                <w:szCs w:val="13"/>
                <w:color w:val="auto"/>
              </w:rPr>
              <w:t>amortization</w:t>
            </w:r>
          </w:p>
        </w:tc>
        <w:tc>
          <w:tcPr>
            <w:tcW w:w="20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vMerge w:val="continue"/>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100" w:type="dxa"/>
            <w:vAlign w:val="bottom"/>
            <w:shd w:val="clear" w:color="auto" w:fill="CCEEFF"/>
          </w:tcPr>
          <w:p>
            <w:pPr>
              <w:ind w:left="140"/>
              <w:spacing w:after="0" w:line="134" w:lineRule="exact"/>
              <w:rPr>
                <w:sz w:val="20"/>
                <w:szCs w:val="20"/>
                <w:color w:val="auto"/>
              </w:rPr>
            </w:pPr>
            <w:r>
              <w:rPr>
                <w:rFonts w:ascii="Arial" w:cs="Arial" w:eastAsia="Arial" w:hAnsi="Arial"/>
                <w:sz w:val="13"/>
                <w:szCs w:val="13"/>
                <w:color w:val="auto"/>
              </w:rPr>
              <w:t>Trade names subject to</w:t>
            </w:r>
          </w:p>
        </w:tc>
        <w:tc>
          <w:tcPr>
            <w:tcW w:w="200" w:type="dxa"/>
            <w:vAlign w:val="bottom"/>
            <w:shd w:val="clear" w:color="auto" w:fill="CCEEFF"/>
          </w:tcPr>
          <w:p>
            <w:pPr>
              <w:spacing w:after="0"/>
              <w:rPr>
                <w:sz w:val="11"/>
                <w:szCs w:val="11"/>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78,343</w:t>
            </w: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36,825</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0" w:type="dxa"/>
            <w:vAlign w:val="bottom"/>
            <w:gridSpan w:val="2"/>
            <w:vMerge w:val="restart"/>
            <w:shd w:val="clear" w:color="auto" w:fill="CCEEFF"/>
          </w:tcPr>
          <w:p>
            <w:pPr>
              <w:ind w:left="11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(900)</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114,268</w:t>
            </w:r>
          </w:p>
        </w:tc>
        <w:tc>
          <w:tcPr>
            <w:tcW w:w="0" w:type="dxa"/>
            <w:vAlign w:val="bottom"/>
          </w:tcPr>
          <w:p>
            <w:pPr>
              <w:spacing w:after="0"/>
              <w:rPr>
                <w:sz w:val="1"/>
                <w:szCs w:val="1"/>
                <w:color w:val="auto"/>
              </w:rPr>
            </w:pPr>
          </w:p>
        </w:tc>
      </w:tr>
      <w:tr>
        <w:trPr>
          <w:trHeight w:val="166"/>
        </w:trPr>
        <w:tc>
          <w:tcPr>
            <w:tcW w:w="31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amortization</w:t>
            </w:r>
          </w:p>
        </w:tc>
        <w:tc>
          <w:tcPr>
            <w:tcW w:w="200" w:type="dxa"/>
            <w:vAlign w:val="bottom"/>
            <w:shd w:val="clear" w:color="auto" w:fill="CCEEFF"/>
          </w:tcPr>
          <w:p>
            <w:pPr>
              <w:spacing w:after="0"/>
              <w:rPr>
                <w:sz w:val="14"/>
                <w:szCs w:val="14"/>
                <w:color w:val="auto"/>
              </w:rPr>
            </w:pPr>
          </w:p>
        </w:tc>
        <w:tc>
          <w:tcPr>
            <w:tcW w:w="13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100" w:type="dxa"/>
            <w:vAlign w:val="bottom"/>
          </w:tcPr>
          <w:p>
            <w:pPr>
              <w:ind w:left="180"/>
              <w:spacing w:after="0"/>
              <w:rPr>
                <w:sz w:val="20"/>
                <w:szCs w:val="20"/>
                <w:color w:val="auto"/>
              </w:rPr>
            </w:pPr>
            <w:r>
              <w:rPr>
                <w:rFonts w:ascii="Arial" w:cs="Arial" w:eastAsia="Arial" w:hAnsi="Arial"/>
                <w:sz w:val="13"/>
                <w:szCs w:val="13"/>
                <w:color w:val="auto"/>
              </w:rPr>
              <w:t>Customer relationships</w:t>
            </w:r>
          </w:p>
        </w:tc>
        <w:tc>
          <w:tcPr>
            <w:tcW w:w="2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297,062</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164,285</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gridSpan w:val="2"/>
          </w:tcPr>
          <w:p>
            <w:pPr>
              <w:ind w:left="11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(5,888)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455,459</w:t>
            </w:r>
          </w:p>
        </w:tc>
        <w:tc>
          <w:tcPr>
            <w:tcW w:w="0" w:type="dxa"/>
            <w:vAlign w:val="bottom"/>
          </w:tcPr>
          <w:p>
            <w:pPr>
              <w:spacing w:after="0"/>
              <w:rPr>
                <w:sz w:val="1"/>
                <w:szCs w:val="1"/>
                <w:color w:val="auto"/>
              </w:rPr>
            </w:pPr>
          </w:p>
        </w:tc>
      </w:tr>
      <w:tr>
        <w:trPr>
          <w:trHeight w:val="172"/>
        </w:trPr>
        <w:tc>
          <w:tcPr>
            <w:tcW w:w="31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Non-compete agreements</w:t>
            </w:r>
          </w:p>
        </w:tc>
        <w:tc>
          <w:tcPr>
            <w:tcW w:w="20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320</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ind w:left="11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320</w:t>
            </w:r>
          </w:p>
        </w:tc>
        <w:tc>
          <w:tcPr>
            <w:tcW w:w="0" w:type="dxa"/>
            <w:vAlign w:val="bottom"/>
          </w:tcPr>
          <w:p>
            <w:pPr>
              <w:spacing w:after="0"/>
              <w:rPr>
                <w:sz w:val="1"/>
                <w:szCs w:val="1"/>
                <w:color w:val="auto"/>
              </w:rPr>
            </w:pPr>
          </w:p>
        </w:tc>
      </w:tr>
      <w:tr>
        <w:trPr>
          <w:trHeight w:val="168"/>
        </w:trPr>
        <w:tc>
          <w:tcPr>
            <w:tcW w:w="3100" w:type="dxa"/>
            <w:vAlign w:val="bottom"/>
          </w:tcPr>
          <w:p>
            <w:pPr>
              <w:ind w:left="20"/>
              <w:spacing w:after="0"/>
              <w:rPr>
                <w:sz w:val="20"/>
                <w:szCs w:val="20"/>
                <w:color w:val="auto"/>
              </w:rPr>
            </w:pPr>
            <w:r>
              <w:rPr>
                <w:rFonts w:ascii="Arial" w:cs="Arial" w:eastAsia="Arial" w:hAnsi="Arial"/>
                <w:sz w:val="13"/>
                <w:szCs w:val="13"/>
                <w:color w:val="auto"/>
              </w:rPr>
              <w:t>Accumulated amortization:</w:t>
            </w: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1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Trade names</w:t>
            </w:r>
          </w:p>
        </w:tc>
        <w:tc>
          <w:tcPr>
            <w:tcW w:w="20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(47,486)</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(2,409)</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(49,901)</w:t>
            </w:r>
          </w:p>
        </w:tc>
        <w:tc>
          <w:tcPr>
            <w:tcW w:w="0" w:type="dxa"/>
            <w:vAlign w:val="bottom"/>
          </w:tcPr>
          <w:p>
            <w:pPr>
              <w:spacing w:after="0"/>
              <w:rPr>
                <w:sz w:val="1"/>
                <w:szCs w:val="1"/>
                <w:color w:val="auto"/>
              </w:rPr>
            </w:pPr>
          </w:p>
        </w:tc>
      </w:tr>
      <w:tr>
        <w:trPr>
          <w:trHeight w:val="168"/>
        </w:trPr>
        <w:tc>
          <w:tcPr>
            <w:tcW w:w="3100" w:type="dxa"/>
            <w:vAlign w:val="bottom"/>
          </w:tcPr>
          <w:p>
            <w:pPr>
              <w:ind w:left="180"/>
              <w:spacing w:after="0"/>
              <w:rPr>
                <w:sz w:val="20"/>
                <w:szCs w:val="20"/>
                <w:color w:val="auto"/>
              </w:rPr>
            </w:pPr>
            <w:r>
              <w:rPr>
                <w:rFonts w:ascii="Arial" w:cs="Arial" w:eastAsia="Arial" w:hAnsi="Arial"/>
                <w:sz w:val="13"/>
                <w:szCs w:val="13"/>
                <w:color w:val="auto"/>
              </w:rPr>
              <w:t>Customer relationships</w:t>
            </w:r>
          </w:p>
        </w:tc>
        <w:tc>
          <w:tcPr>
            <w:tcW w:w="2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(143,246)</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(23,963)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913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(166,296)</w:t>
            </w:r>
          </w:p>
        </w:tc>
        <w:tc>
          <w:tcPr>
            <w:tcW w:w="0" w:type="dxa"/>
            <w:vAlign w:val="bottom"/>
          </w:tcPr>
          <w:p>
            <w:pPr>
              <w:spacing w:after="0"/>
              <w:rPr>
                <w:sz w:val="1"/>
                <w:szCs w:val="1"/>
                <w:color w:val="auto"/>
              </w:rPr>
            </w:pPr>
          </w:p>
        </w:tc>
      </w:tr>
      <w:tr>
        <w:trPr>
          <w:trHeight w:val="170"/>
        </w:trPr>
        <w:tc>
          <w:tcPr>
            <w:tcW w:w="31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Non-compete agreements</w:t>
            </w:r>
          </w:p>
        </w:tc>
        <w:tc>
          <w:tcPr>
            <w:tcW w:w="20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(320)</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ind w:left="11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(320)</w:t>
            </w:r>
          </w:p>
        </w:tc>
        <w:tc>
          <w:tcPr>
            <w:tcW w:w="0" w:type="dxa"/>
            <w:vAlign w:val="bottom"/>
          </w:tcPr>
          <w:p>
            <w:pPr>
              <w:spacing w:after="0"/>
              <w:rPr>
                <w:sz w:val="1"/>
                <w:szCs w:val="1"/>
                <w:color w:val="auto"/>
              </w:rPr>
            </w:pPr>
          </w:p>
        </w:tc>
      </w:tr>
      <w:tr>
        <w:trPr>
          <w:trHeight w:val="163"/>
        </w:trPr>
        <w:tc>
          <w:tcPr>
            <w:tcW w:w="3100" w:type="dxa"/>
            <w:vAlign w:val="bottom"/>
          </w:tcPr>
          <w:p>
            <w:pPr>
              <w:ind w:left="20"/>
              <w:spacing w:after="0"/>
              <w:rPr>
                <w:sz w:val="20"/>
                <w:szCs w:val="20"/>
                <w:color w:val="auto"/>
              </w:rPr>
            </w:pPr>
            <w:r>
              <w:rPr>
                <w:rFonts w:ascii="Arial" w:cs="Arial" w:eastAsia="Arial" w:hAnsi="Arial"/>
                <w:sz w:val="13"/>
                <w:szCs w:val="13"/>
                <w:color w:val="auto"/>
              </w:rPr>
              <w:t>Total</w:t>
            </w:r>
          </w:p>
        </w:tc>
        <w:tc>
          <w:tcPr>
            <w:tcW w:w="20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3"/>
                <w:szCs w:val="13"/>
                <w:color w:val="auto"/>
                <w:w w:val="82"/>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589,913</w:t>
            </w:r>
          </w:p>
        </w:tc>
        <w:tc>
          <w:tcPr>
            <w:tcW w:w="80" w:type="dxa"/>
            <w:vAlign w:val="bottom"/>
          </w:tcPr>
          <w:p>
            <w:pPr>
              <w:spacing w:after="0"/>
              <w:rPr>
                <w:sz w:val="14"/>
                <w:szCs w:val="14"/>
                <w:color w:val="auto"/>
              </w:rPr>
            </w:pPr>
          </w:p>
        </w:tc>
        <w:tc>
          <w:tcPr>
            <w:tcW w:w="320" w:type="dxa"/>
            <w:vAlign w:val="bottom"/>
            <w:tcBorders>
              <w:top w:val="single" w:sz="8" w:color="auto"/>
              <w:bottom w:val="single" w:sz="8" w:color="auto"/>
            </w:tcBorders>
          </w:tcPr>
          <w:p>
            <w:pPr>
              <w:jc w:val="right"/>
              <w:ind w:right="176"/>
              <w:spacing w:after="0"/>
              <w:rPr>
                <w:sz w:val="20"/>
                <w:szCs w:val="20"/>
                <w:color w:val="auto"/>
              </w:rPr>
            </w:pPr>
            <w:r>
              <w:rPr>
                <w:rFonts w:ascii="Arial" w:cs="Arial" w:eastAsia="Arial" w:hAnsi="Arial"/>
                <w:sz w:val="13"/>
                <w:szCs w:val="13"/>
                <w:color w:val="auto"/>
                <w:w w:val="82"/>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415,157</w:t>
            </w:r>
          </w:p>
        </w:tc>
        <w:tc>
          <w:tcPr>
            <w:tcW w:w="10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16"/>
              <w:spacing w:after="0"/>
              <w:rPr>
                <w:sz w:val="20"/>
                <w:szCs w:val="20"/>
                <w:color w:val="auto"/>
              </w:rPr>
            </w:pPr>
            <w:r>
              <w:rPr>
                <w:rFonts w:ascii="Arial" w:cs="Arial" w:eastAsia="Arial" w:hAnsi="Arial"/>
                <w:sz w:val="13"/>
                <w:szCs w:val="13"/>
                <w:color w:val="auto"/>
                <w:w w:val="82"/>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(26,372)</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3"/>
                <w:szCs w:val="13"/>
                <w:color w:val="auto"/>
                <w:w w:val="82"/>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(15,455)</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3"/>
                <w:szCs w:val="13"/>
                <w:color w:val="auto"/>
                <w:w w:val="82"/>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963,243</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8" w:name="page69"/>
    <w:bookmarkEnd w:id="6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NOTES TO CONSOLIDATED FINANCIAL STATEMENTS</w:t>
      </w:r>
    </w:p>
    <w:p>
      <w:pPr>
        <w:spacing w:after="0" w:line="331" w:lineRule="exact"/>
        <w:rPr>
          <w:sz w:val="20"/>
          <w:szCs w:val="20"/>
          <w:color w:val="auto"/>
        </w:rPr>
      </w:pPr>
    </w:p>
    <w:tbl>
      <w:tblPr>
        <w:tblLayout w:type="fixed"/>
        <w:tblInd w:w="20" w:type="dxa"/>
        <w:tblCellMar>
          <w:top w:w="0" w:type="dxa"/>
          <w:left w:w="0" w:type="dxa"/>
          <w:bottom w:w="0" w:type="dxa"/>
          <w:right w:w="0" w:type="dxa"/>
        </w:tblCellMar>
      </w:tblPr>
      <w:tr>
        <w:trPr>
          <w:trHeight w:val="151"/>
        </w:trPr>
        <w:tc>
          <w:tcPr>
            <w:tcW w:w="30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2"/>
          </w:tcPr>
          <w:p>
            <w:pPr>
              <w:ind w:left="120"/>
              <w:spacing w:after="0"/>
              <w:rPr>
                <w:sz w:val="20"/>
                <w:szCs w:val="20"/>
                <w:color w:val="auto"/>
              </w:rPr>
            </w:pPr>
            <w:r>
              <w:rPr>
                <w:rFonts w:ascii="Arial" w:cs="Arial" w:eastAsia="Arial" w:hAnsi="Arial"/>
                <w:sz w:val="11"/>
                <w:szCs w:val="11"/>
                <w:b w:val="1"/>
                <w:bCs w:val="1"/>
                <w:color w:val="auto"/>
              </w:rPr>
              <w:t>December 29, 2019</w:t>
            </w:r>
          </w:p>
        </w:tc>
        <w:tc>
          <w:tcPr>
            <w:tcW w:w="3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2"/>
          </w:tcPr>
          <w:p>
            <w:pPr>
              <w:ind w:left="220"/>
              <w:spacing w:after="0"/>
              <w:rPr>
                <w:sz w:val="20"/>
                <w:szCs w:val="20"/>
                <w:color w:val="auto"/>
              </w:rPr>
            </w:pPr>
            <w:r>
              <w:rPr>
                <w:rFonts w:ascii="Arial" w:cs="Arial" w:eastAsia="Arial" w:hAnsi="Arial"/>
                <w:sz w:val="11"/>
                <w:szCs w:val="11"/>
                <w:b w:val="1"/>
                <w:bCs w:val="1"/>
                <w:color w:val="auto"/>
              </w:rPr>
              <w:t>Additions</w:t>
            </w:r>
          </w:p>
        </w:tc>
        <w:tc>
          <w:tcPr>
            <w:tcW w:w="34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2"/>
          </w:tcPr>
          <w:p>
            <w:pPr>
              <w:ind w:left="120"/>
              <w:spacing w:after="0"/>
              <w:rPr>
                <w:sz w:val="20"/>
                <w:szCs w:val="20"/>
                <w:color w:val="auto"/>
              </w:rPr>
            </w:pPr>
            <w:r>
              <w:rPr>
                <w:rFonts w:ascii="Arial" w:cs="Arial" w:eastAsia="Arial" w:hAnsi="Arial"/>
                <w:sz w:val="11"/>
                <w:szCs w:val="11"/>
                <w:b w:val="1"/>
                <w:bCs w:val="1"/>
                <w:color w:val="auto"/>
              </w:rPr>
              <w:t>Amortization</w:t>
            </w:r>
          </w:p>
        </w:tc>
        <w:tc>
          <w:tcPr>
            <w:tcW w:w="16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2"/>
          </w:tcPr>
          <w:p>
            <w:pPr>
              <w:ind w:left="80"/>
              <w:spacing w:after="0"/>
              <w:rPr>
                <w:sz w:val="20"/>
                <w:szCs w:val="20"/>
                <w:color w:val="auto"/>
              </w:rPr>
            </w:pPr>
            <w:r>
              <w:rPr>
                <w:rFonts w:ascii="Arial" w:cs="Arial" w:eastAsia="Arial" w:hAnsi="Arial"/>
                <w:sz w:val="11"/>
                <w:szCs w:val="11"/>
                <w:b w:val="1"/>
                <w:bCs w:val="1"/>
                <w:color w:val="auto"/>
              </w:rPr>
              <w:t>Currency Translation</w:t>
            </w:r>
          </w:p>
        </w:tc>
        <w:tc>
          <w:tcPr>
            <w:tcW w:w="2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256"/>
              <w:spacing w:after="0"/>
              <w:rPr>
                <w:sz w:val="20"/>
                <w:szCs w:val="20"/>
                <w:color w:val="auto"/>
              </w:rPr>
            </w:pPr>
            <w:r>
              <w:rPr>
                <w:rFonts w:ascii="Arial" w:cs="Arial" w:eastAsia="Arial" w:hAnsi="Arial"/>
                <w:sz w:val="11"/>
                <w:szCs w:val="11"/>
                <w:b w:val="1"/>
                <w:bCs w:val="1"/>
                <w:color w:val="auto"/>
                <w:w w:val="98"/>
              </w:rPr>
              <w:t>December 27, 2020</w:t>
            </w:r>
          </w:p>
        </w:tc>
        <w:tc>
          <w:tcPr>
            <w:tcW w:w="0" w:type="dxa"/>
            <w:vAlign w:val="bottom"/>
          </w:tcPr>
          <w:p>
            <w:pPr>
              <w:spacing w:after="0"/>
              <w:rPr>
                <w:sz w:val="1"/>
                <w:szCs w:val="1"/>
                <w:color w:val="auto"/>
              </w:rPr>
            </w:pPr>
          </w:p>
        </w:tc>
      </w:tr>
      <w:tr>
        <w:trPr>
          <w:trHeight w:val="127"/>
        </w:trPr>
        <w:tc>
          <w:tcPr>
            <w:tcW w:w="3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40" w:type="dxa"/>
            <w:vAlign w:val="bottom"/>
            <w:gridSpan w:val="2"/>
          </w:tcPr>
          <w:p>
            <w:pPr>
              <w:ind w:left="120"/>
              <w:spacing w:after="0"/>
              <w:rPr>
                <w:sz w:val="20"/>
                <w:szCs w:val="20"/>
                <w:color w:val="auto"/>
              </w:rPr>
            </w:pPr>
            <w:r>
              <w:rPr>
                <w:rFonts w:ascii="Arial" w:cs="Arial" w:eastAsia="Arial" w:hAnsi="Arial"/>
                <w:sz w:val="10"/>
                <w:szCs w:val="10"/>
                <w:b w:val="1"/>
                <w:bCs w:val="1"/>
                <w:color w:val="auto"/>
              </w:rPr>
              <w:t>(In thousands)</w:t>
            </w:r>
          </w:p>
        </w:tc>
        <w:tc>
          <w:tcPr>
            <w:tcW w:w="1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3040" w:type="dxa"/>
            <w:vAlign w:val="bottom"/>
            <w:shd w:val="clear" w:color="auto" w:fill="CCEEFF"/>
          </w:tcPr>
          <w:p>
            <w:pPr>
              <w:spacing w:after="0"/>
              <w:rPr>
                <w:sz w:val="20"/>
                <w:szCs w:val="20"/>
                <w:color w:val="auto"/>
              </w:rPr>
            </w:pPr>
            <w:r>
              <w:rPr>
                <w:rFonts w:ascii="Arial" w:cs="Arial" w:eastAsia="Arial" w:hAnsi="Arial"/>
                <w:sz w:val="13"/>
                <w:szCs w:val="13"/>
                <w:color w:val="auto"/>
              </w:rPr>
              <w:t>Carrying amount:</w:t>
            </w:r>
          </w:p>
        </w:tc>
        <w:tc>
          <w:tcPr>
            <w:tcW w:w="2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3040" w:type="dxa"/>
            <w:vAlign w:val="bottom"/>
          </w:tcPr>
          <w:p>
            <w:pPr>
              <w:ind w:left="140"/>
              <w:spacing w:after="0" w:line="131" w:lineRule="exact"/>
              <w:rPr>
                <w:sz w:val="20"/>
                <w:szCs w:val="20"/>
                <w:color w:val="auto"/>
              </w:rPr>
            </w:pPr>
            <w:r>
              <w:rPr>
                <w:rFonts w:ascii="Arial" w:cs="Arial" w:eastAsia="Arial" w:hAnsi="Arial"/>
                <w:sz w:val="13"/>
                <w:szCs w:val="13"/>
                <w:color w:val="auto"/>
              </w:rPr>
              <w:t>Trade names not subject to</w:t>
            </w:r>
          </w:p>
        </w:tc>
        <w:tc>
          <w:tcPr>
            <w:tcW w:w="200" w:type="dxa"/>
            <w:vAlign w:val="bottom"/>
            <w:vMerge w:val="restart"/>
          </w:tcPr>
          <w:p>
            <w:pPr>
              <w:jc w:val="right"/>
              <w:ind w:right="56"/>
              <w:spacing w:after="0"/>
              <w:rPr>
                <w:sz w:val="20"/>
                <w:szCs w:val="20"/>
                <w:color w:val="auto"/>
              </w:rPr>
            </w:pPr>
            <w:r>
              <w:rPr>
                <w:rFonts w:ascii="Arial" w:cs="Arial" w:eastAsia="Arial" w:hAnsi="Arial"/>
                <w:sz w:val="13"/>
                <w:szCs w:val="13"/>
                <w:color w:val="auto"/>
                <w:w w:val="82"/>
              </w:rPr>
              <w:t>$</w:t>
            </w:r>
          </w:p>
        </w:tc>
        <w:tc>
          <w:tcPr>
            <w:tcW w:w="1340" w:type="dxa"/>
            <w:vAlign w:val="bottom"/>
            <w:vMerge w:val="restart"/>
          </w:tcPr>
          <w:p>
            <w:pPr>
              <w:jc w:val="right"/>
              <w:spacing w:after="0"/>
              <w:rPr>
                <w:sz w:val="20"/>
                <w:szCs w:val="20"/>
                <w:color w:val="auto"/>
              </w:rPr>
            </w:pPr>
            <w:r>
              <w:rPr>
                <w:rFonts w:ascii="Arial" w:cs="Arial" w:eastAsia="Arial" w:hAnsi="Arial"/>
                <w:sz w:val="13"/>
                <w:szCs w:val="13"/>
                <w:color w:val="auto"/>
              </w:rPr>
              <w:t>391,431</w:t>
            </w:r>
          </w:p>
        </w:tc>
        <w:tc>
          <w:tcPr>
            <w:tcW w:w="120" w:type="dxa"/>
            <w:vAlign w:val="bottom"/>
          </w:tcPr>
          <w:p>
            <w:pPr>
              <w:spacing w:after="0"/>
              <w:rPr>
                <w:sz w:val="11"/>
                <w:szCs w:val="11"/>
                <w:color w:val="auto"/>
              </w:rPr>
            </w:pPr>
          </w:p>
        </w:tc>
        <w:tc>
          <w:tcPr>
            <w:tcW w:w="320" w:type="dxa"/>
            <w:vAlign w:val="bottom"/>
            <w:vMerge w:val="restart"/>
          </w:tcPr>
          <w:p>
            <w:pPr>
              <w:jc w:val="right"/>
              <w:ind w:right="176"/>
              <w:spacing w:after="0"/>
              <w:rPr>
                <w:sz w:val="20"/>
                <w:szCs w:val="20"/>
                <w:color w:val="auto"/>
              </w:rPr>
            </w:pPr>
            <w:r>
              <w:rPr>
                <w:rFonts w:ascii="Arial" w:cs="Arial" w:eastAsia="Arial" w:hAnsi="Arial"/>
                <w:sz w:val="13"/>
                <w:szCs w:val="13"/>
                <w:color w:val="auto"/>
                <w:w w:val="82"/>
              </w:rPr>
              <w:t>$</w:t>
            </w:r>
          </w:p>
        </w:tc>
        <w:tc>
          <w:tcPr>
            <w:tcW w:w="1360" w:type="dxa"/>
            <w:vAlign w:val="bottom"/>
            <w:gridSpan w:val="2"/>
            <w:vMerge w:val="restart"/>
          </w:tcPr>
          <w:p>
            <w:pPr>
              <w:ind w:left="1060"/>
              <w:spacing w:after="0"/>
              <w:rPr>
                <w:sz w:val="20"/>
                <w:szCs w:val="20"/>
                <w:color w:val="auto"/>
              </w:rPr>
            </w:pPr>
            <w:r>
              <w:rPr>
                <w:rFonts w:ascii="Arial" w:cs="Arial" w:eastAsia="Arial" w:hAnsi="Arial"/>
                <w:sz w:val="13"/>
                <w:szCs w:val="13"/>
                <w:color w:val="auto"/>
              </w:rPr>
              <w:t>—</w:t>
            </w:r>
          </w:p>
        </w:tc>
        <w:tc>
          <w:tcPr>
            <w:tcW w:w="340" w:type="dxa"/>
            <w:vAlign w:val="bottom"/>
            <w:vMerge w:val="restart"/>
          </w:tcPr>
          <w:p>
            <w:pPr>
              <w:jc w:val="right"/>
              <w:ind w:right="196"/>
              <w:spacing w:after="0"/>
              <w:rPr>
                <w:sz w:val="20"/>
                <w:szCs w:val="20"/>
                <w:color w:val="auto"/>
              </w:rPr>
            </w:pPr>
            <w:r>
              <w:rPr>
                <w:rFonts w:ascii="Arial" w:cs="Arial" w:eastAsia="Arial" w:hAnsi="Arial"/>
                <w:sz w:val="13"/>
                <w:szCs w:val="13"/>
                <w:color w:val="auto"/>
                <w:w w:val="82"/>
              </w:rPr>
              <w:t>$</w:t>
            </w:r>
          </w:p>
        </w:tc>
        <w:tc>
          <w:tcPr>
            <w:tcW w:w="1340" w:type="dxa"/>
            <w:vAlign w:val="bottom"/>
            <w:gridSpan w:val="2"/>
            <w:vMerge w:val="restart"/>
          </w:tcPr>
          <w:p>
            <w:pPr>
              <w:ind w:left="1040"/>
              <w:spacing w:after="0"/>
              <w:rPr>
                <w:sz w:val="20"/>
                <w:szCs w:val="20"/>
                <w:color w:val="auto"/>
              </w:rPr>
            </w:pPr>
            <w:r>
              <w:rPr>
                <w:rFonts w:ascii="Arial" w:cs="Arial" w:eastAsia="Arial" w:hAnsi="Arial"/>
                <w:sz w:val="13"/>
                <w:szCs w:val="13"/>
                <w:color w:val="auto"/>
              </w:rPr>
              <w:t>—</w:t>
            </w:r>
          </w:p>
        </w:tc>
        <w:tc>
          <w:tcPr>
            <w:tcW w:w="160" w:type="dxa"/>
            <w:vAlign w:val="bottom"/>
            <w:vMerge w:val="restart"/>
          </w:tcPr>
          <w:p>
            <w:pPr>
              <w:jc w:val="right"/>
              <w:ind w:right="16"/>
              <w:spacing w:after="0"/>
              <w:rPr>
                <w:sz w:val="20"/>
                <w:szCs w:val="20"/>
                <w:color w:val="auto"/>
              </w:rPr>
            </w:pPr>
            <w:r>
              <w:rPr>
                <w:rFonts w:ascii="Arial" w:cs="Arial" w:eastAsia="Arial" w:hAnsi="Arial"/>
                <w:sz w:val="13"/>
                <w:szCs w:val="13"/>
                <w:color w:val="auto"/>
                <w:w w:val="82"/>
              </w:rPr>
              <w:t>$</w:t>
            </w:r>
          </w:p>
        </w:tc>
        <w:tc>
          <w:tcPr>
            <w:tcW w:w="1380" w:type="dxa"/>
            <w:vAlign w:val="bottom"/>
            <w:vMerge w:val="restart"/>
          </w:tcPr>
          <w:p>
            <w:pPr>
              <w:jc w:val="right"/>
              <w:spacing w:after="0"/>
              <w:rPr>
                <w:sz w:val="20"/>
                <w:szCs w:val="20"/>
                <w:color w:val="auto"/>
              </w:rPr>
            </w:pPr>
            <w:r>
              <w:rPr>
                <w:rFonts w:ascii="Arial" w:cs="Arial" w:eastAsia="Arial" w:hAnsi="Arial"/>
                <w:sz w:val="13"/>
                <w:szCs w:val="13"/>
                <w:color w:val="auto"/>
              </w:rPr>
              <w:t>13,809</w:t>
            </w:r>
          </w:p>
        </w:tc>
        <w:tc>
          <w:tcPr>
            <w:tcW w:w="100" w:type="dxa"/>
            <w:vAlign w:val="bottom"/>
          </w:tcPr>
          <w:p>
            <w:pPr>
              <w:spacing w:after="0"/>
              <w:rPr>
                <w:sz w:val="11"/>
                <w:szCs w:val="11"/>
                <w:color w:val="auto"/>
              </w:rPr>
            </w:pPr>
          </w:p>
        </w:tc>
        <w:tc>
          <w:tcPr>
            <w:tcW w:w="24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1320" w:type="dxa"/>
            <w:vAlign w:val="bottom"/>
            <w:vMerge w:val="restart"/>
          </w:tcPr>
          <w:p>
            <w:pPr>
              <w:jc w:val="right"/>
              <w:spacing w:after="0"/>
              <w:rPr>
                <w:sz w:val="20"/>
                <w:szCs w:val="20"/>
                <w:color w:val="auto"/>
              </w:rPr>
            </w:pPr>
            <w:r>
              <w:rPr>
                <w:rFonts w:ascii="Arial" w:cs="Arial" w:eastAsia="Arial" w:hAnsi="Arial"/>
                <w:sz w:val="14"/>
                <w:szCs w:val="14"/>
                <w:color w:val="auto"/>
              </w:rPr>
              <w:t>405,240</w:t>
            </w:r>
          </w:p>
        </w:tc>
        <w:tc>
          <w:tcPr>
            <w:tcW w:w="0" w:type="dxa"/>
            <w:vAlign w:val="bottom"/>
          </w:tcPr>
          <w:p>
            <w:pPr>
              <w:spacing w:after="0"/>
              <w:rPr>
                <w:sz w:val="1"/>
                <w:szCs w:val="1"/>
                <w:color w:val="auto"/>
              </w:rPr>
            </w:pPr>
          </w:p>
        </w:tc>
      </w:tr>
      <w:tr>
        <w:trPr>
          <w:trHeight w:val="166"/>
        </w:trPr>
        <w:tc>
          <w:tcPr>
            <w:tcW w:w="3040" w:type="dxa"/>
            <w:vAlign w:val="bottom"/>
          </w:tcPr>
          <w:p>
            <w:pPr>
              <w:ind w:left="160"/>
              <w:spacing w:after="0"/>
              <w:rPr>
                <w:sz w:val="20"/>
                <w:szCs w:val="20"/>
                <w:color w:val="auto"/>
              </w:rPr>
            </w:pPr>
            <w:r>
              <w:rPr>
                <w:rFonts w:ascii="Arial" w:cs="Arial" w:eastAsia="Arial" w:hAnsi="Arial"/>
                <w:sz w:val="13"/>
                <w:szCs w:val="13"/>
                <w:color w:val="auto"/>
              </w:rPr>
              <w:t>amortization</w:t>
            </w:r>
          </w:p>
        </w:tc>
        <w:tc>
          <w:tcPr>
            <w:tcW w:w="20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3040" w:type="dxa"/>
            <w:vAlign w:val="bottom"/>
            <w:shd w:val="clear" w:color="auto" w:fill="CCEEFF"/>
          </w:tcPr>
          <w:p>
            <w:pPr>
              <w:ind w:left="140"/>
              <w:spacing w:after="0" w:line="131" w:lineRule="exact"/>
              <w:rPr>
                <w:sz w:val="20"/>
                <w:szCs w:val="20"/>
                <w:color w:val="auto"/>
              </w:rPr>
            </w:pPr>
            <w:r>
              <w:rPr>
                <w:rFonts w:ascii="Arial" w:cs="Arial" w:eastAsia="Arial" w:hAnsi="Arial"/>
                <w:sz w:val="13"/>
                <w:szCs w:val="13"/>
                <w:color w:val="auto"/>
              </w:rPr>
              <w:t>Trade names subject to</w:t>
            </w:r>
          </w:p>
        </w:tc>
        <w:tc>
          <w:tcPr>
            <w:tcW w:w="200" w:type="dxa"/>
            <w:vAlign w:val="bottom"/>
            <w:shd w:val="clear" w:color="auto" w:fill="CCEEFF"/>
          </w:tcPr>
          <w:p>
            <w:pPr>
              <w:spacing w:after="0"/>
              <w:rPr>
                <w:sz w:val="11"/>
                <w:szCs w:val="11"/>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78,343</w:t>
            </w: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360" w:type="dxa"/>
            <w:vAlign w:val="bottom"/>
            <w:gridSpan w:val="2"/>
            <w:vMerge w:val="restart"/>
            <w:shd w:val="clear" w:color="auto" w:fill="CCEEFF"/>
          </w:tcPr>
          <w:p>
            <w:pPr>
              <w:ind w:left="106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1"/>
                <w:szCs w:val="11"/>
                <w:color w:val="auto"/>
              </w:rPr>
            </w:pPr>
          </w:p>
        </w:tc>
        <w:tc>
          <w:tcPr>
            <w:tcW w:w="1340" w:type="dxa"/>
            <w:vAlign w:val="bottom"/>
            <w:gridSpan w:val="2"/>
            <w:vMerge w:val="restart"/>
            <w:shd w:val="clear" w:color="auto" w:fill="CCEEFF"/>
          </w:tcPr>
          <w:p>
            <w:pPr>
              <w:ind w:left="10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14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1"/>
                <w:szCs w:val="11"/>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78,343</w:t>
            </w:r>
          </w:p>
        </w:tc>
        <w:tc>
          <w:tcPr>
            <w:tcW w:w="0" w:type="dxa"/>
            <w:vAlign w:val="bottom"/>
          </w:tcPr>
          <w:p>
            <w:pPr>
              <w:spacing w:after="0"/>
              <w:rPr>
                <w:sz w:val="1"/>
                <w:szCs w:val="1"/>
                <w:color w:val="auto"/>
              </w:rPr>
            </w:pPr>
          </w:p>
        </w:tc>
      </w:tr>
      <w:tr>
        <w:trPr>
          <w:trHeight w:val="166"/>
        </w:trPr>
        <w:tc>
          <w:tcPr>
            <w:tcW w:w="3040" w:type="dxa"/>
            <w:vAlign w:val="bottom"/>
            <w:shd w:val="clear" w:color="auto" w:fill="CCEEFF"/>
          </w:tcPr>
          <w:p>
            <w:pPr>
              <w:ind w:left="160"/>
              <w:spacing w:after="0"/>
              <w:rPr>
                <w:sz w:val="20"/>
                <w:szCs w:val="20"/>
                <w:color w:val="auto"/>
              </w:rPr>
            </w:pPr>
            <w:r>
              <w:rPr>
                <w:rFonts w:ascii="Arial" w:cs="Arial" w:eastAsia="Arial" w:hAnsi="Arial"/>
                <w:sz w:val="13"/>
                <w:szCs w:val="13"/>
                <w:color w:val="auto"/>
              </w:rPr>
              <w:t>amortization</w:t>
            </w:r>
          </w:p>
        </w:tc>
        <w:tc>
          <w:tcPr>
            <w:tcW w:w="200" w:type="dxa"/>
            <w:vAlign w:val="bottom"/>
            <w:shd w:val="clear" w:color="auto" w:fill="CCEEFF"/>
          </w:tcPr>
          <w:p>
            <w:pPr>
              <w:spacing w:after="0"/>
              <w:rPr>
                <w:sz w:val="14"/>
                <w:szCs w:val="14"/>
                <w:color w:val="auto"/>
              </w:rPr>
            </w:pPr>
          </w:p>
        </w:tc>
        <w:tc>
          <w:tcPr>
            <w:tcW w:w="134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360" w:type="dxa"/>
            <w:vAlign w:val="bottom"/>
            <w:gridSpan w:val="2"/>
            <w:vMerge w:val="continue"/>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34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80" w:type="dxa"/>
            <w:vAlign w:val="bottom"/>
            <w:gridSpan w:val="2"/>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040" w:type="dxa"/>
            <w:vAlign w:val="bottom"/>
          </w:tcPr>
          <w:p>
            <w:pPr>
              <w:ind w:left="160"/>
              <w:spacing w:after="0"/>
              <w:rPr>
                <w:sz w:val="20"/>
                <w:szCs w:val="20"/>
                <w:color w:val="auto"/>
              </w:rPr>
            </w:pPr>
            <w:r>
              <w:rPr>
                <w:rFonts w:ascii="Arial" w:cs="Arial" w:eastAsia="Arial" w:hAnsi="Arial"/>
                <w:sz w:val="13"/>
                <w:szCs w:val="13"/>
                <w:color w:val="auto"/>
              </w:rPr>
              <w:t>Customer relationships</w:t>
            </w:r>
          </w:p>
        </w:tc>
        <w:tc>
          <w:tcPr>
            <w:tcW w:w="20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292,278</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gridSpan w:val="2"/>
          </w:tcPr>
          <w:p>
            <w:pPr>
              <w:ind w:left="106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4"/>
                <w:szCs w:val="14"/>
                <w:color w:val="auto"/>
              </w:rPr>
            </w:pPr>
          </w:p>
        </w:tc>
        <w:tc>
          <w:tcPr>
            <w:tcW w:w="1340" w:type="dxa"/>
            <w:vAlign w:val="bottom"/>
            <w:gridSpan w:val="2"/>
          </w:tcPr>
          <w:p>
            <w:pPr>
              <w:ind w:left="10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4,784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297,062</w:t>
            </w:r>
          </w:p>
        </w:tc>
        <w:tc>
          <w:tcPr>
            <w:tcW w:w="0" w:type="dxa"/>
            <w:vAlign w:val="bottom"/>
          </w:tcPr>
          <w:p>
            <w:pPr>
              <w:spacing w:after="0"/>
              <w:rPr>
                <w:sz w:val="1"/>
                <w:szCs w:val="1"/>
                <w:color w:val="auto"/>
              </w:rPr>
            </w:pPr>
          </w:p>
        </w:tc>
      </w:tr>
      <w:tr>
        <w:trPr>
          <w:trHeight w:val="172"/>
        </w:trPr>
        <w:tc>
          <w:tcPr>
            <w:tcW w:w="3040" w:type="dxa"/>
            <w:vAlign w:val="bottom"/>
            <w:shd w:val="clear" w:color="auto" w:fill="CCEEFF"/>
          </w:tcPr>
          <w:p>
            <w:pPr>
              <w:ind w:left="160"/>
              <w:spacing w:after="0"/>
              <w:rPr>
                <w:sz w:val="20"/>
                <w:szCs w:val="20"/>
                <w:color w:val="auto"/>
              </w:rPr>
            </w:pPr>
            <w:r>
              <w:rPr>
                <w:rFonts w:ascii="Arial" w:cs="Arial" w:eastAsia="Arial" w:hAnsi="Arial"/>
                <w:sz w:val="13"/>
                <w:szCs w:val="13"/>
                <w:color w:val="auto"/>
              </w:rPr>
              <w:t>Non-compete agreements</w:t>
            </w:r>
          </w:p>
        </w:tc>
        <w:tc>
          <w:tcPr>
            <w:tcW w:w="20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320</w:t>
            </w: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ind w:left="106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ind w:left="10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320</w:t>
            </w:r>
          </w:p>
        </w:tc>
        <w:tc>
          <w:tcPr>
            <w:tcW w:w="0" w:type="dxa"/>
            <w:vAlign w:val="bottom"/>
          </w:tcPr>
          <w:p>
            <w:pPr>
              <w:spacing w:after="0"/>
              <w:rPr>
                <w:sz w:val="1"/>
                <w:szCs w:val="1"/>
                <w:color w:val="auto"/>
              </w:rPr>
            </w:pPr>
          </w:p>
        </w:tc>
      </w:tr>
      <w:tr>
        <w:trPr>
          <w:trHeight w:val="168"/>
        </w:trPr>
        <w:tc>
          <w:tcPr>
            <w:tcW w:w="3040" w:type="dxa"/>
            <w:vAlign w:val="bottom"/>
          </w:tcPr>
          <w:p>
            <w:pPr>
              <w:spacing w:after="0"/>
              <w:rPr>
                <w:sz w:val="20"/>
                <w:szCs w:val="20"/>
                <w:color w:val="auto"/>
              </w:rPr>
            </w:pPr>
            <w:r>
              <w:rPr>
                <w:rFonts w:ascii="Arial" w:cs="Arial" w:eastAsia="Arial" w:hAnsi="Arial"/>
                <w:sz w:val="13"/>
                <w:szCs w:val="13"/>
                <w:color w:val="auto"/>
              </w:rPr>
              <w:t>Accumulated amortization:</w:t>
            </w:r>
          </w:p>
        </w:tc>
        <w:tc>
          <w:tcPr>
            <w:tcW w:w="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040" w:type="dxa"/>
            <w:vAlign w:val="bottom"/>
            <w:shd w:val="clear" w:color="auto" w:fill="CCEEFF"/>
          </w:tcPr>
          <w:p>
            <w:pPr>
              <w:ind w:left="160"/>
              <w:spacing w:after="0"/>
              <w:rPr>
                <w:sz w:val="20"/>
                <w:szCs w:val="20"/>
                <w:color w:val="auto"/>
              </w:rPr>
            </w:pPr>
            <w:r>
              <w:rPr>
                <w:rFonts w:ascii="Arial" w:cs="Arial" w:eastAsia="Arial" w:hAnsi="Arial"/>
                <w:sz w:val="13"/>
                <w:szCs w:val="13"/>
                <w:color w:val="auto"/>
              </w:rPr>
              <w:t>Trade names</w:t>
            </w:r>
          </w:p>
        </w:tc>
        <w:tc>
          <w:tcPr>
            <w:tcW w:w="20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(45,518)</w:t>
            </w: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ind w:left="106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(1,968)</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(47,486)</w:t>
            </w:r>
          </w:p>
        </w:tc>
        <w:tc>
          <w:tcPr>
            <w:tcW w:w="0" w:type="dxa"/>
            <w:vAlign w:val="bottom"/>
          </w:tcPr>
          <w:p>
            <w:pPr>
              <w:spacing w:after="0"/>
              <w:rPr>
                <w:sz w:val="1"/>
                <w:szCs w:val="1"/>
                <w:color w:val="auto"/>
              </w:rPr>
            </w:pPr>
          </w:p>
        </w:tc>
      </w:tr>
      <w:tr>
        <w:trPr>
          <w:trHeight w:val="168"/>
        </w:trPr>
        <w:tc>
          <w:tcPr>
            <w:tcW w:w="3040" w:type="dxa"/>
            <w:vAlign w:val="bottom"/>
          </w:tcPr>
          <w:p>
            <w:pPr>
              <w:ind w:left="160"/>
              <w:spacing w:after="0"/>
              <w:rPr>
                <w:sz w:val="20"/>
                <w:szCs w:val="20"/>
                <w:color w:val="auto"/>
              </w:rPr>
            </w:pPr>
            <w:r>
              <w:rPr>
                <w:rFonts w:ascii="Arial" w:cs="Arial" w:eastAsia="Arial" w:hAnsi="Arial"/>
                <w:sz w:val="13"/>
                <w:szCs w:val="13"/>
                <w:color w:val="auto"/>
              </w:rPr>
              <w:t>Customer relationships</w:t>
            </w:r>
          </w:p>
        </w:tc>
        <w:tc>
          <w:tcPr>
            <w:tcW w:w="20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(120,481)</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gridSpan w:val="2"/>
          </w:tcPr>
          <w:p>
            <w:pPr>
              <w:ind w:left="106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(20,747)</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(2,018)</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(143,246)</w:t>
            </w:r>
          </w:p>
        </w:tc>
        <w:tc>
          <w:tcPr>
            <w:tcW w:w="0" w:type="dxa"/>
            <w:vAlign w:val="bottom"/>
          </w:tcPr>
          <w:p>
            <w:pPr>
              <w:spacing w:after="0"/>
              <w:rPr>
                <w:sz w:val="1"/>
                <w:szCs w:val="1"/>
                <w:color w:val="auto"/>
              </w:rPr>
            </w:pPr>
          </w:p>
        </w:tc>
      </w:tr>
      <w:tr>
        <w:trPr>
          <w:trHeight w:val="170"/>
        </w:trPr>
        <w:tc>
          <w:tcPr>
            <w:tcW w:w="3040" w:type="dxa"/>
            <w:vAlign w:val="bottom"/>
            <w:shd w:val="clear" w:color="auto" w:fill="CCEEFF"/>
          </w:tcPr>
          <w:p>
            <w:pPr>
              <w:ind w:left="160"/>
              <w:spacing w:after="0"/>
              <w:rPr>
                <w:sz w:val="20"/>
                <w:szCs w:val="20"/>
                <w:color w:val="auto"/>
              </w:rPr>
            </w:pPr>
            <w:r>
              <w:rPr>
                <w:rFonts w:ascii="Arial" w:cs="Arial" w:eastAsia="Arial" w:hAnsi="Arial"/>
                <w:sz w:val="13"/>
                <w:szCs w:val="13"/>
                <w:color w:val="auto"/>
              </w:rPr>
              <w:t>Non-compete agreements</w:t>
            </w:r>
          </w:p>
        </w:tc>
        <w:tc>
          <w:tcPr>
            <w:tcW w:w="20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(320)</w:t>
            </w:r>
          </w:p>
        </w:tc>
        <w:tc>
          <w:tcPr>
            <w:tcW w:w="12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ind w:left="10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ind w:left="10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(320)</w:t>
            </w:r>
          </w:p>
        </w:tc>
        <w:tc>
          <w:tcPr>
            <w:tcW w:w="0" w:type="dxa"/>
            <w:vAlign w:val="bottom"/>
          </w:tcPr>
          <w:p>
            <w:pPr>
              <w:spacing w:after="0"/>
              <w:rPr>
                <w:sz w:val="1"/>
                <w:szCs w:val="1"/>
                <w:color w:val="auto"/>
              </w:rPr>
            </w:pPr>
          </w:p>
        </w:tc>
      </w:tr>
      <w:tr>
        <w:trPr>
          <w:trHeight w:val="163"/>
        </w:trPr>
        <w:tc>
          <w:tcPr>
            <w:tcW w:w="3040" w:type="dxa"/>
            <w:vAlign w:val="bottom"/>
          </w:tcPr>
          <w:p>
            <w:pPr>
              <w:spacing w:after="0"/>
              <w:rPr>
                <w:sz w:val="20"/>
                <w:szCs w:val="20"/>
                <w:color w:val="auto"/>
              </w:rPr>
            </w:pPr>
            <w:r>
              <w:rPr>
                <w:rFonts w:ascii="Arial" w:cs="Arial" w:eastAsia="Arial" w:hAnsi="Arial"/>
                <w:sz w:val="13"/>
                <w:szCs w:val="13"/>
                <w:color w:val="auto"/>
              </w:rPr>
              <w:t>Total</w:t>
            </w:r>
          </w:p>
        </w:tc>
        <w:tc>
          <w:tcPr>
            <w:tcW w:w="20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w w:val="82"/>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596,053</w:t>
            </w:r>
          </w:p>
        </w:tc>
        <w:tc>
          <w:tcPr>
            <w:tcW w:w="120" w:type="dxa"/>
            <w:vAlign w:val="bottom"/>
          </w:tcPr>
          <w:p>
            <w:pPr>
              <w:spacing w:after="0"/>
              <w:rPr>
                <w:sz w:val="14"/>
                <w:szCs w:val="14"/>
                <w:color w:val="auto"/>
              </w:rPr>
            </w:pPr>
          </w:p>
        </w:tc>
        <w:tc>
          <w:tcPr>
            <w:tcW w:w="32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w w:val="82"/>
              </w:rPr>
              <w:t>$</w:t>
            </w:r>
          </w:p>
        </w:tc>
        <w:tc>
          <w:tcPr>
            <w:tcW w:w="1240" w:type="dxa"/>
            <w:vAlign w:val="bottom"/>
            <w:tcBorders>
              <w:bottom w:val="single" w:sz="8" w:color="auto"/>
            </w:tcBorders>
          </w:tcPr>
          <w:p>
            <w:pPr>
              <w:ind w:left="10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34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color w:val="auto"/>
                <w:w w:val="82"/>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(22,715)</w:t>
            </w:r>
          </w:p>
        </w:tc>
        <w:tc>
          <w:tcPr>
            <w:tcW w:w="120" w:type="dxa"/>
            <w:vAlign w:val="bottom"/>
          </w:tcPr>
          <w:p>
            <w:pPr>
              <w:spacing w:after="0"/>
              <w:rPr>
                <w:sz w:val="14"/>
                <w:szCs w:val="14"/>
                <w:color w:val="auto"/>
              </w:rPr>
            </w:pPr>
          </w:p>
        </w:tc>
        <w:tc>
          <w:tcPr>
            <w:tcW w:w="1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w w:val="82"/>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16,575</w:t>
            </w:r>
          </w:p>
        </w:tc>
        <w:tc>
          <w:tcPr>
            <w:tcW w:w="100" w:type="dxa"/>
            <w:vAlign w:val="bottom"/>
          </w:tcPr>
          <w:p>
            <w:pPr>
              <w:spacing w:after="0"/>
              <w:rPr>
                <w:sz w:val="14"/>
                <w:szCs w:val="14"/>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589,913</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9"/>
        </w:trPr>
        <w:tc>
          <w:tcPr>
            <w:tcW w:w="6720" w:type="dxa"/>
            <w:vAlign w:val="bottom"/>
            <w:gridSpan w:val="8"/>
          </w:tcPr>
          <w:p>
            <w:pPr>
              <w:ind w:left="500"/>
              <w:spacing w:after="0"/>
              <w:rPr>
                <w:sz w:val="20"/>
                <w:szCs w:val="20"/>
                <w:color w:val="auto"/>
              </w:rPr>
            </w:pPr>
            <w:r>
              <w:rPr>
                <w:rFonts w:ascii="Arial" w:cs="Arial" w:eastAsia="Arial" w:hAnsi="Arial"/>
                <w:sz w:val="14"/>
                <w:szCs w:val="14"/>
                <w:color w:val="auto"/>
                <w:w w:val="94"/>
              </w:rPr>
              <w:t>For additional information regarding the additions in above tables, refer to “Note 2. Business Acquisitions.”</w:t>
            </w: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380" w:type="dxa"/>
            <w:vAlign w:val="bottom"/>
            <w:gridSpan w:val="7"/>
          </w:tcPr>
          <w:p>
            <w:pPr>
              <w:ind w:left="500"/>
              <w:spacing w:after="0"/>
              <w:rPr>
                <w:sz w:val="20"/>
                <w:szCs w:val="20"/>
                <w:color w:val="auto"/>
              </w:rPr>
            </w:pPr>
            <w:r>
              <w:rPr>
                <w:rFonts w:ascii="Arial" w:cs="Arial" w:eastAsia="Arial" w:hAnsi="Arial"/>
                <w:sz w:val="14"/>
                <w:szCs w:val="14"/>
                <w:color w:val="auto"/>
              </w:rPr>
              <w:t>Intangible assets are amortized over the estimated useful lives of the assets as follows:</w:t>
            </w: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
        </w:trPr>
        <w:tc>
          <w:tcPr>
            <w:tcW w:w="30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40" w:type="dxa"/>
            <w:vAlign w:val="bottom"/>
            <w:gridSpan w:val="4"/>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3040" w:type="dxa"/>
            <w:vAlign w:val="bottom"/>
            <w:shd w:val="clear" w:color="auto" w:fill="CCEEFF"/>
          </w:tcPr>
          <w:p>
            <w:pPr>
              <w:spacing w:after="0"/>
              <w:rPr>
                <w:sz w:val="20"/>
                <w:szCs w:val="20"/>
                <w:color w:val="auto"/>
              </w:rPr>
            </w:pPr>
            <w:r>
              <w:rPr>
                <w:rFonts w:ascii="Arial" w:cs="Arial" w:eastAsia="Arial" w:hAnsi="Arial"/>
                <w:sz w:val="13"/>
                <w:szCs w:val="13"/>
                <w:color w:val="auto"/>
              </w:rPr>
              <w:t>Customer relationships</w:t>
            </w:r>
          </w:p>
        </w:tc>
        <w:tc>
          <w:tcPr>
            <w:tcW w:w="2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040" w:type="dxa"/>
            <w:vAlign w:val="bottom"/>
            <w:gridSpan w:val="4"/>
            <w:shd w:val="clear" w:color="auto" w:fill="CCEEFF"/>
          </w:tcPr>
          <w:p>
            <w:pPr>
              <w:ind w:left="1280"/>
              <w:spacing w:after="0"/>
              <w:rPr>
                <w:sz w:val="20"/>
                <w:szCs w:val="20"/>
                <w:color w:val="auto"/>
              </w:rPr>
            </w:pPr>
            <w:r>
              <w:rPr>
                <w:rFonts w:ascii="Arial" w:cs="Arial" w:eastAsia="Arial" w:hAnsi="Arial"/>
                <w:sz w:val="13"/>
                <w:szCs w:val="13"/>
                <w:color w:val="auto"/>
              </w:rPr>
              <w:t>3-18 years</w:t>
            </w:r>
          </w:p>
        </w:tc>
        <w:tc>
          <w:tcPr>
            <w:tcW w:w="0" w:type="dxa"/>
            <w:vAlign w:val="bottom"/>
          </w:tcPr>
          <w:p>
            <w:pPr>
              <w:spacing w:after="0"/>
              <w:rPr>
                <w:sz w:val="1"/>
                <w:szCs w:val="1"/>
                <w:color w:val="auto"/>
              </w:rPr>
            </w:pPr>
          </w:p>
        </w:tc>
      </w:tr>
      <w:tr>
        <w:trPr>
          <w:trHeight w:val="168"/>
        </w:trPr>
        <w:tc>
          <w:tcPr>
            <w:tcW w:w="3040" w:type="dxa"/>
            <w:vAlign w:val="bottom"/>
          </w:tcPr>
          <w:p>
            <w:pPr>
              <w:spacing w:after="0"/>
              <w:rPr>
                <w:sz w:val="20"/>
                <w:szCs w:val="20"/>
                <w:color w:val="auto"/>
              </w:rPr>
            </w:pPr>
            <w:r>
              <w:rPr>
                <w:rFonts w:ascii="Arial" w:cs="Arial" w:eastAsia="Arial" w:hAnsi="Arial"/>
                <w:sz w:val="13"/>
                <w:szCs w:val="13"/>
                <w:color w:val="auto"/>
              </w:rPr>
              <w:t>Trade names subject to amortization</w:t>
            </w:r>
          </w:p>
        </w:tc>
        <w:tc>
          <w:tcPr>
            <w:tcW w:w="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40" w:type="dxa"/>
            <w:vAlign w:val="bottom"/>
            <w:gridSpan w:val="4"/>
          </w:tcPr>
          <w:p>
            <w:pPr>
              <w:ind w:left="1280"/>
              <w:spacing w:after="0"/>
              <w:rPr>
                <w:sz w:val="20"/>
                <w:szCs w:val="20"/>
                <w:color w:val="auto"/>
              </w:rPr>
            </w:pPr>
            <w:r>
              <w:rPr>
                <w:rFonts w:ascii="Arial" w:cs="Arial" w:eastAsia="Arial" w:hAnsi="Arial"/>
                <w:sz w:val="13"/>
                <w:szCs w:val="13"/>
                <w:color w:val="auto"/>
              </w:rPr>
              <w:t>15-20 years</w:t>
            </w:r>
          </w:p>
        </w:tc>
        <w:tc>
          <w:tcPr>
            <w:tcW w:w="0" w:type="dxa"/>
            <w:vAlign w:val="bottom"/>
          </w:tcPr>
          <w:p>
            <w:pPr>
              <w:spacing w:after="0"/>
              <w:rPr>
                <w:sz w:val="1"/>
                <w:szCs w:val="1"/>
                <w:color w:val="auto"/>
              </w:rPr>
            </w:pPr>
          </w:p>
        </w:tc>
      </w:tr>
      <w:tr>
        <w:trPr>
          <w:trHeight w:val="172"/>
        </w:trPr>
        <w:tc>
          <w:tcPr>
            <w:tcW w:w="3040" w:type="dxa"/>
            <w:vAlign w:val="bottom"/>
            <w:shd w:val="clear" w:color="auto" w:fill="CCEEFF"/>
          </w:tcPr>
          <w:p>
            <w:pPr>
              <w:spacing w:after="0"/>
              <w:rPr>
                <w:sz w:val="20"/>
                <w:szCs w:val="20"/>
                <w:color w:val="auto"/>
              </w:rPr>
            </w:pPr>
            <w:r>
              <w:rPr>
                <w:rFonts w:ascii="Arial" w:cs="Arial" w:eastAsia="Arial" w:hAnsi="Arial"/>
                <w:sz w:val="13"/>
                <w:szCs w:val="13"/>
                <w:color w:val="auto"/>
              </w:rPr>
              <w:t>Non-compete agreements</w:t>
            </w:r>
          </w:p>
        </w:tc>
        <w:tc>
          <w:tcPr>
            <w:tcW w:w="2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720" w:type="dxa"/>
            <w:vAlign w:val="bottom"/>
            <w:gridSpan w:val="3"/>
            <w:shd w:val="clear" w:color="auto" w:fill="CCEEFF"/>
          </w:tcPr>
          <w:p>
            <w:pPr>
              <w:ind w:left="1280"/>
              <w:spacing w:after="0"/>
              <w:rPr>
                <w:sz w:val="20"/>
                <w:szCs w:val="20"/>
                <w:color w:val="auto"/>
              </w:rPr>
            </w:pPr>
            <w:r>
              <w:rPr>
                <w:rFonts w:ascii="Arial" w:cs="Arial" w:eastAsia="Arial" w:hAnsi="Arial"/>
                <w:sz w:val="13"/>
                <w:szCs w:val="13"/>
                <w:color w:val="auto"/>
                <w:w w:val="98"/>
              </w:rPr>
              <w:t>3 years</w:t>
            </w:r>
          </w:p>
        </w:tc>
        <w:tc>
          <w:tcPr>
            <w:tcW w:w="13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Company recognized amortization expense related to identified intangible assets of $26.4 million in 2021, $22.7 million in 2020 and $22.9 million in 2019.</w:t>
      </w:r>
    </w:p>
    <w:p>
      <w:pPr>
        <w:spacing w:after="0" w:line="136" w:lineRule="exact"/>
        <w:rPr>
          <w:sz w:val="20"/>
          <w:szCs w:val="20"/>
          <w:color w:val="auto"/>
        </w:rPr>
      </w:pPr>
    </w:p>
    <w:p>
      <w:pPr>
        <w:jc w:val="both"/>
        <w:ind w:firstLine="509"/>
        <w:spacing w:after="0" w:line="281" w:lineRule="auto"/>
        <w:rPr>
          <w:sz w:val="20"/>
          <w:szCs w:val="20"/>
          <w:color w:val="auto"/>
        </w:rPr>
      </w:pPr>
      <w:r>
        <w:rPr>
          <w:rFonts w:ascii="Arial" w:cs="Arial" w:eastAsia="Arial" w:hAnsi="Arial"/>
          <w:sz w:val="14"/>
          <w:szCs w:val="14"/>
          <w:color w:val="auto"/>
        </w:rPr>
        <w:t>The Company expects to recognize amortization expense associated with identified intangible assets of $35.4 million in 2022, $34.3 million in 2023, $33.3 million in 2024 and $33.3 million in 2025, and $31.3 million in 2026.</w:t>
      </w:r>
    </w:p>
    <w:p>
      <w:pPr>
        <w:spacing w:after="0" w:line="90"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4"/>
          <w:szCs w:val="14"/>
          <w:color w:val="auto"/>
        </w:rPr>
        <w:t>As of December 26, 2021, the Company assessed qualitative factors to determine if it was necessary to perform quantitative impairment tests related to the carrying amounts of its goodwill or its identified intangible assets not subject to amortization. Based on these assessments, the Company determined that it was not necessary to perform quantitative impairment tests related to the carrying amount of its goodwill nor its identified intangible assets not subject to amortization at that date.</w:t>
      </w:r>
    </w:p>
    <w:p>
      <w:pPr>
        <w:spacing w:after="0" w:line="99"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4"/>
          <w:szCs w:val="14"/>
          <w:color w:val="auto"/>
        </w:rPr>
        <w:t>As of December 26, 2021, the Company assessed if events or changes in circumstances indicated that the aggregate carrying amount of its identified intangible assets subject to amortization might not be recoverable. There were no indicators present that required the Company to test the recoverability of the aggregate carrying amount of its identified intangible assets subject to amortization at that date.</w:t>
      </w:r>
    </w:p>
    <w:p>
      <w:pPr>
        <w:spacing w:after="0" w:line="95"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b w:val="1"/>
          <w:bCs w:val="1"/>
          <w:color w:val="auto"/>
        </w:rPr>
        <w:t>10.</w:t>
        <w:tab/>
        <w:t>PROPERTY, PLANT AND EQUIPMENT</w:t>
      </w:r>
    </w:p>
    <w:p>
      <w:pPr>
        <w:spacing w:after="0" w:line="172" w:lineRule="exact"/>
        <w:rPr>
          <w:sz w:val="20"/>
          <w:szCs w:val="20"/>
          <w:color w:val="auto"/>
        </w:rPr>
      </w:pPr>
    </w:p>
    <w:p>
      <w:pPr>
        <w:ind w:left="180"/>
        <w:spacing w:after="0"/>
        <w:rPr>
          <w:sz w:val="20"/>
          <w:szCs w:val="20"/>
          <w:color w:val="auto"/>
        </w:rPr>
      </w:pPr>
      <w:r>
        <w:rPr>
          <w:rFonts w:ascii="Arial" w:cs="Arial" w:eastAsia="Arial" w:hAnsi="Arial"/>
          <w:sz w:val="14"/>
          <w:szCs w:val="14"/>
          <w:color w:val="auto"/>
        </w:rPr>
        <w:t>Property, plant and equipment (“PP&amp;E”), net consisted of the following:</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77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2"/>
          </w:tcPr>
          <w:p>
            <w:pPr>
              <w:ind w:left="160"/>
              <w:spacing w:after="0"/>
              <w:rPr>
                <w:sz w:val="20"/>
                <w:szCs w:val="20"/>
                <w:color w:val="auto"/>
              </w:rPr>
            </w:pPr>
            <w:r>
              <w:rPr>
                <w:rFonts w:ascii="Arial" w:cs="Arial" w:eastAsia="Arial" w:hAnsi="Arial"/>
                <w:sz w:val="11"/>
                <w:szCs w:val="11"/>
                <w:b w:val="1"/>
                <w:bCs w:val="1"/>
                <w:color w:val="auto"/>
              </w:rPr>
              <w:t>December 26, 2021</w:t>
            </w:r>
          </w:p>
        </w:tc>
        <w:tc>
          <w:tcPr>
            <w:tcW w:w="34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ind w:right="357"/>
              <w:spacing w:after="0"/>
              <w:rPr>
                <w:sz w:val="20"/>
                <w:szCs w:val="20"/>
                <w:color w:val="auto"/>
              </w:rPr>
            </w:pPr>
            <w:r>
              <w:rPr>
                <w:rFonts w:ascii="Arial" w:cs="Arial" w:eastAsia="Arial" w:hAnsi="Arial"/>
                <w:sz w:val="11"/>
                <w:szCs w:val="11"/>
                <w:b w:val="1"/>
                <w:bCs w:val="1"/>
                <w:color w:val="auto"/>
                <w:w w:val="96"/>
              </w:rPr>
              <w:t>December 27, 2020</w:t>
            </w:r>
          </w:p>
        </w:tc>
      </w:tr>
      <w:tr>
        <w:trPr>
          <w:trHeight w:val="127"/>
        </w:trPr>
        <w:tc>
          <w:tcPr>
            <w:tcW w:w="7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920" w:type="dxa"/>
            <w:vAlign w:val="bottom"/>
            <w:gridSpan w:val="3"/>
          </w:tcPr>
          <w:p>
            <w:pPr>
              <w:jc w:val="right"/>
              <w:spacing w:after="0"/>
              <w:rPr>
                <w:sz w:val="20"/>
                <w:szCs w:val="20"/>
                <w:color w:val="auto"/>
              </w:rPr>
            </w:pPr>
            <w:r>
              <w:rPr>
                <w:rFonts w:ascii="Arial" w:cs="Arial" w:eastAsia="Arial" w:hAnsi="Arial"/>
                <w:sz w:val="10"/>
                <w:szCs w:val="10"/>
                <w:b w:val="1"/>
                <w:bCs w:val="1"/>
                <w:color w:val="auto"/>
              </w:rPr>
              <w:t>(In thousands)</w:t>
            </w:r>
          </w:p>
        </w:tc>
        <w:tc>
          <w:tcPr>
            <w:tcW w:w="1400" w:type="dxa"/>
            <w:vAlign w:val="bottom"/>
          </w:tcPr>
          <w:p>
            <w:pPr>
              <w:spacing w:after="0"/>
              <w:rPr>
                <w:sz w:val="11"/>
                <w:szCs w:val="11"/>
                <w:color w:val="auto"/>
              </w:rPr>
            </w:pPr>
          </w:p>
        </w:tc>
      </w:tr>
      <w:tr>
        <w:trPr>
          <w:trHeight w:val="176"/>
        </w:trPr>
        <w:tc>
          <w:tcPr>
            <w:tcW w:w="7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Land</w:t>
            </w:r>
          </w:p>
        </w:tc>
        <w:tc>
          <w:tcPr>
            <w:tcW w:w="2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260,079</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255,171</w:t>
            </w:r>
          </w:p>
        </w:tc>
      </w:tr>
      <w:tr>
        <w:trPr>
          <w:trHeight w:val="168"/>
        </w:trPr>
        <w:tc>
          <w:tcPr>
            <w:tcW w:w="7720" w:type="dxa"/>
            <w:vAlign w:val="bottom"/>
          </w:tcPr>
          <w:p>
            <w:pPr>
              <w:ind w:left="20"/>
              <w:spacing w:after="0"/>
              <w:rPr>
                <w:sz w:val="20"/>
                <w:szCs w:val="20"/>
                <w:color w:val="auto"/>
              </w:rPr>
            </w:pPr>
            <w:r>
              <w:rPr>
                <w:rFonts w:ascii="Arial" w:cs="Arial" w:eastAsia="Arial" w:hAnsi="Arial"/>
                <w:sz w:val="13"/>
                <w:szCs w:val="13"/>
                <w:color w:val="auto"/>
              </w:rPr>
              <w:t>Buildings</w:t>
            </w:r>
          </w:p>
        </w:tc>
        <w:tc>
          <w:tcPr>
            <w:tcW w:w="24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2,043,034</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1,983,823</w:t>
            </w:r>
          </w:p>
        </w:tc>
      </w:tr>
      <w:tr>
        <w:trPr>
          <w:trHeight w:val="172"/>
        </w:trPr>
        <w:tc>
          <w:tcPr>
            <w:tcW w:w="7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Machinery and equipment</w:t>
            </w:r>
          </w:p>
        </w:tc>
        <w:tc>
          <w:tcPr>
            <w:tcW w:w="24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3,594,482</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3,230,199</w:t>
            </w:r>
          </w:p>
        </w:tc>
      </w:tr>
      <w:tr>
        <w:trPr>
          <w:trHeight w:val="168"/>
        </w:trPr>
        <w:tc>
          <w:tcPr>
            <w:tcW w:w="7720" w:type="dxa"/>
            <w:vAlign w:val="bottom"/>
          </w:tcPr>
          <w:p>
            <w:pPr>
              <w:ind w:left="20"/>
              <w:spacing w:after="0"/>
              <w:rPr>
                <w:sz w:val="20"/>
                <w:szCs w:val="20"/>
                <w:color w:val="auto"/>
              </w:rPr>
            </w:pPr>
            <w:r>
              <w:rPr>
                <w:rFonts w:ascii="Arial" w:cs="Arial" w:eastAsia="Arial" w:hAnsi="Arial"/>
                <w:sz w:val="13"/>
                <w:szCs w:val="13"/>
                <w:color w:val="auto"/>
              </w:rPr>
              <w:t>Autos and trucks</w:t>
            </w:r>
          </w:p>
        </w:tc>
        <w:tc>
          <w:tcPr>
            <w:tcW w:w="24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76,710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73,647</w:t>
            </w:r>
          </w:p>
        </w:tc>
      </w:tr>
      <w:tr>
        <w:trPr>
          <w:trHeight w:val="172"/>
        </w:trPr>
        <w:tc>
          <w:tcPr>
            <w:tcW w:w="7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Finance lease assets</w:t>
            </w:r>
          </w:p>
        </w:tc>
        <w:tc>
          <w:tcPr>
            <w:tcW w:w="24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5,710</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2,182</w:t>
            </w:r>
          </w:p>
        </w:tc>
      </w:tr>
      <w:tr>
        <w:trPr>
          <w:trHeight w:val="168"/>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Construction-in-progress</w:t>
            </w:r>
          </w:p>
        </w:tc>
        <w:tc>
          <w:tcPr>
            <w:tcW w:w="2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229,837</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199,161</w:t>
            </w:r>
          </w:p>
        </w:tc>
      </w:tr>
      <w:tr>
        <w:trPr>
          <w:trHeight w:val="163"/>
        </w:trPr>
        <w:tc>
          <w:tcPr>
            <w:tcW w:w="77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PP&amp;E, gross</w:t>
            </w:r>
          </w:p>
        </w:tc>
        <w:tc>
          <w:tcPr>
            <w:tcW w:w="24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6,209,852</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5,744,183</w:t>
            </w:r>
          </w:p>
        </w:tc>
      </w:tr>
      <w:tr>
        <w:trPr>
          <w:trHeight w:val="168"/>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Accumulated depreciation</w:t>
            </w:r>
          </w:p>
        </w:tc>
        <w:tc>
          <w:tcPr>
            <w:tcW w:w="2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(3,292,046)</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(3,086,692)</w:t>
            </w:r>
          </w:p>
        </w:tc>
      </w:tr>
      <w:tr>
        <w:trPr>
          <w:trHeight w:val="188"/>
        </w:trPr>
        <w:tc>
          <w:tcPr>
            <w:tcW w:w="77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PP&amp;E, net</w:t>
            </w: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2,917,806</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2,657,491</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9" w:name="page70"/>
    <w:bookmarkEnd w:id="6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NOTES TO CONSOLIDATED FINANCIAL STATEMENTS</w:t>
      </w:r>
    </w:p>
    <w:p>
      <w:pPr>
        <w:spacing w:after="0" w:line="39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Company recognized depreciation expense of $354.4 million, $314.4 million and $264.3 million during 2021, 2020 and 2019, respectively.</w:t>
      </w:r>
    </w:p>
    <w:p>
      <w:pPr>
        <w:spacing w:after="0" w:line="136"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4"/>
          <w:szCs w:val="14"/>
          <w:color w:val="auto"/>
        </w:rPr>
        <w:t>During 2021, the Company spent $381.7 million on capital projects and transferred $421.9 million of completed projects from construction-in-progress to depreciable assets. Capital expenditures were primarily incurred during 2021 to improve operational efficiencies and reduce costs. During 2020, the Company spent $354.8 million on capital projects and transferred $423.7 million of completed projects from construction-in-progress to depreciable assets.</w:t>
      </w:r>
    </w:p>
    <w:p>
      <w:pPr>
        <w:spacing w:after="0" w:line="99"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4"/>
          <w:szCs w:val="14"/>
          <w:color w:val="auto"/>
        </w:rPr>
        <w:t>During 2021, the Company sold certain PP&amp;E for $24.7 million and recognized a gain of $1.5 million. PP&amp;E sold in 2021 consisted of a broiler farm in Mexico, two processing plants within the U.K. and other miscellaneous equipment. During 2020, the Company sold certain PP&amp;E for $32.0 million and recognized a gain of $13.8 million. PP&amp;E sold in 2020 consisted of broiler farms in Mexico, vacant land in Alabama and other miscellaneous equipment.</w:t>
      </w:r>
    </w:p>
    <w:p>
      <w:pPr>
        <w:spacing w:after="0" w:line="99"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4"/>
          <w:szCs w:val="14"/>
          <w:color w:val="auto"/>
        </w:rPr>
        <w:t>The Company has closed or idled various facilities in the U.S. and the U.K. The Board of Directors has not determined if it would be in the best interest of the Company to divest any of these idled assets. Management is therefore not certain that it can or will divest any of these assets within one year, is not actively marketing these assets and, accordingly, has not classified them as assets held for sale. The Company continues to depreciate these assets. As of December 26, 2021, the carrying amount of these idled assets was $40.2 million based on depreciable value of $205.5 million and accumulated depreciation of $165.3 million. During 2021, the Company recognized an impairment loss of $3.8 million incurred as a result of a tornado in Mayfield, Kentucky in December 2021 that significantly damaged two hatcheries and a feed mill.</w:t>
      </w:r>
    </w:p>
    <w:p>
      <w:pPr>
        <w:spacing w:after="0" w:line="104"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4"/>
          <w:szCs w:val="14"/>
          <w:color w:val="auto"/>
        </w:rPr>
        <w:t>As of December 26, 2021, the Company assessed if events or changes in circumstances indicated that the aggregate carrying amount of its property, plant and equipment held for use might not be recoverable. There were no indicators present that required the Company to test the recoverability of the aggregate carrying amount of its property, plant and equipment held for use at that date.</w:t>
      </w:r>
    </w:p>
    <w:p>
      <w:pPr>
        <w:spacing w:after="0" w:line="95"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b w:val="1"/>
          <w:bCs w:val="1"/>
          <w:color w:val="auto"/>
        </w:rPr>
        <w:t>11.</w:t>
        <w:tab/>
        <w:t>CURRENT LIABILITIES</w:t>
      </w:r>
    </w:p>
    <w:p>
      <w:pPr>
        <w:spacing w:after="0" w:line="172" w:lineRule="exact"/>
        <w:rPr>
          <w:sz w:val="20"/>
          <w:szCs w:val="20"/>
          <w:color w:val="auto"/>
        </w:rPr>
      </w:pPr>
    </w:p>
    <w:p>
      <w:pPr>
        <w:ind w:left="180"/>
        <w:spacing w:after="0"/>
        <w:rPr>
          <w:sz w:val="20"/>
          <w:szCs w:val="20"/>
          <w:color w:val="auto"/>
        </w:rPr>
      </w:pPr>
      <w:r>
        <w:rPr>
          <w:rFonts w:ascii="Arial" w:cs="Arial" w:eastAsia="Arial" w:hAnsi="Arial"/>
          <w:sz w:val="14"/>
          <w:szCs w:val="14"/>
          <w:color w:val="auto"/>
        </w:rPr>
        <w:t>Current liabilities, other than income taxes and current maturities of long-term debt, consisted of the following components:</w:t>
      </w:r>
    </w:p>
    <w:p>
      <w:pPr>
        <w:spacing w:after="0" w:line="76" w:lineRule="exact"/>
        <w:rPr>
          <w:sz w:val="20"/>
          <w:szCs w:val="20"/>
          <w:color w:val="auto"/>
        </w:rPr>
      </w:pPr>
    </w:p>
    <w:tbl>
      <w:tblPr>
        <w:tblLayout w:type="fixed"/>
        <w:tblInd w:w="20" w:type="dxa"/>
        <w:tblCellMar>
          <w:top w:w="0" w:type="dxa"/>
          <w:left w:w="0" w:type="dxa"/>
          <w:bottom w:w="0" w:type="dxa"/>
          <w:right w:w="0" w:type="dxa"/>
        </w:tblCellMar>
      </w:tblPr>
      <w:tr>
        <w:trPr>
          <w:trHeight w:val="151"/>
        </w:trPr>
        <w:tc>
          <w:tcPr>
            <w:tcW w:w="85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2"/>
          </w:tcPr>
          <w:p>
            <w:pPr>
              <w:ind w:left="60"/>
              <w:spacing w:after="0"/>
              <w:rPr>
                <w:sz w:val="20"/>
                <w:szCs w:val="20"/>
                <w:color w:val="auto"/>
              </w:rPr>
            </w:pPr>
            <w:r>
              <w:rPr>
                <w:rFonts w:ascii="Arial" w:cs="Arial" w:eastAsia="Arial" w:hAnsi="Arial"/>
                <w:sz w:val="11"/>
                <w:szCs w:val="11"/>
                <w:b w:val="1"/>
                <w:bCs w:val="1"/>
                <w:color w:val="auto"/>
              </w:rPr>
              <w:t>December 26, 2021</w:t>
            </w:r>
          </w:p>
        </w:tc>
        <w:tc>
          <w:tcPr>
            <w:tcW w:w="1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136"/>
              <w:spacing w:after="0"/>
              <w:rPr>
                <w:sz w:val="20"/>
                <w:szCs w:val="20"/>
                <w:color w:val="auto"/>
              </w:rPr>
            </w:pPr>
            <w:r>
              <w:rPr>
                <w:rFonts w:ascii="Arial" w:cs="Arial" w:eastAsia="Arial" w:hAnsi="Arial"/>
                <w:sz w:val="11"/>
                <w:szCs w:val="11"/>
                <w:b w:val="1"/>
                <w:bCs w:val="1"/>
                <w:color w:val="auto"/>
                <w:w w:val="96"/>
              </w:rPr>
              <w:t>December 27, 2020</w:t>
            </w:r>
          </w:p>
        </w:tc>
      </w:tr>
      <w:tr>
        <w:trPr>
          <w:trHeight w:val="127"/>
        </w:trPr>
        <w:tc>
          <w:tcPr>
            <w:tcW w:w="8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580" w:type="dxa"/>
            <w:vAlign w:val="bottom"/>
            <w:gridSpan w:val="4"/>
          </w:tcPr>
          <w:p>
            <w:pPr>
              <w:jc w:val="right"/>
              <w:ind w:right="996"/>
              <w:spacing w:after="0"/>
              <w:rPr>
                <w:sz w:val="20"/>
                <w:szCs w:val="20"/>
                <w:color w:val="auto"/>
              </w:rPr>
            </w:pPr>
            <w:r>
              <w:rPr>
                <w:rFonts w:ascii="Arial" w:cs="Arial" w:eastAsia="Arial" w:hAnsi="Arial"/>
                <w:sz w:val="10"/>
                <w:szCs w:val="10"/>
                <w:b w:val="1"/>
                <w:bCs w:val="1"/>
                <w:color w:val="auto"/>
              </w:rPr>
              <w:t>(In thousands)</w:t>
            </w:r>
          </w:p>
        </w:tc>
      </w:tr>
      <w:tr>
        <w:trPr>
          <w:trHeight w:val="176"/>
        </w:trPr>
        <w:tc>
          <w:tcPr>
            <w:tcW w:w="85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Accounts payable:</w:t>
            </w: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168"/>
        </w:trPr>
        <w:tc>
          <w:tcPr>
            <w:tcW w:w="8520" w:type="dxa"/>
            <w:vAlign w:val="bottom"/>
          </w:tcPr>
          <w:p>
            <w:pPr>
              <w:ind w:left="120"/>
              <w:spacing w:after="0"/>
              <w:rPr>
                <w:sz w:val="20"/>
                <w:szCs w:val="20"/>
                <w:color w:val="auto"/>
              </w:rPr>
            </w:pPr>
            <w:r>
              <w:rPr>
                <w:rFonts w:ascii="Arial" w:cs="Arial" w:eastAsia="Arial" w:hAnsi="Arial"/>
                <w:sz w:val="13"/>
                <w:szCs w:val="13"/>
                <w:color w:val="auto"/>
              </w:rPr>
              <w:t>Trade accounts</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tcPr>
          <w:p>
            <w:pPr>
              <w:jc w:val="right"/>
              <w:spacing w:after="0"/>
              <w:rPr>
                <w:sz w:val="20"/>
                <w:szCs w:val="20"/>
                <w:color w:val="auto"/>
              </w:rPr>
            </w:pPr>
            <w:r>
              <w:rPr>
                <w:rFonts w:ascii="Arial" w:cs="Arial" w:eastAsia="Arial" w:hAnsi="Arial"/>
                <w:sz w:val="13"/>
                <w:szCs w:val="13"/>
                <w:color w:val="auto"/>
              </w:rPr>
              <w:t>1,273,297</w:t>
            </w:r>
          </w:p>
        </w:tc>
        <w:tc>
          <w:tcPr>
            <w:tcW w:w="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tcPr>
          <w:p>
            <w:pPr>
              <w:jc w:val="right"/>
              <w:spacing w:after="0"/>
              <w:rPr>
                <w:sz w:val="20"/>
                <w:szCs w:val="20"/>
                <w:color w:val="auto"/>
              </w:rPr>
            </w:pPr>
            <w:r>
              <w:rPr>
                <w:rFonts w:ascii="Arial" w:cs="Arial" w:eastAsia="Arial" w:hAnsi="Arial"/>
                <w:sz w:val="13"/>
                <w:szCs w:val="13"/>
                <w:color w:val="auto"/>
              </w:rPr>
              <w:t>904,674</w:t>
            </w:r>
          </w:p>
        </w:tc>
      </w:tr>
      <w:tr>
        <w:trPr>
          <w:trHeight w:val="172"/>
        </w:trPr>
        <w:tc>
          <w:tcPr>
            <w:tcW w:w="85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Book overdrafts</w:t>
            </w: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77,139</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106,435</w:t>
            </w:r>
          </w:p>
        </w:tc>
      </w:tr>
      <w:tr>
        <w:trPr>
          <w:trHeight w:val="168"/>
        </w:trPr>
        <w:tc>
          <w:tcPr>
            <w:tcW w:w="852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Other payables</w:t>
            </w:r>
          </w:p>
        </w:tc>
        <w:tc>
          <w:tcPr>
            <w:tcW w:w="1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27,641</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17,601</w:t>
            </w:r>
          </w:p>
        </w:tc>
      </w:tr>
      <w:tr>
        <w:trPr>
          <w:trHeight w:val="163"/>
        </w:trPr>
        <w:tc>
          <w:tcPr>
            <w:tcW w:w="85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accounts payable</w:t>
            </w: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1,378,077</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1,028,710</w:t>
            </w:r>
          </w:p>
        </w:tc>
      </w:tr>
      <w:tr>
        <w:trPr>
          <w:trHeight w:val="170"/>
        </w:trPr>
        <w:tc>
          <w:tcPr>
            <w:tcW w:w="8520" w:type="dxa"/>
            <w:vAlign w:val="bottom"/>
          </w:tcPr>
          <w:p>
            <w:pPr>
              <w:ind w:left="20"/>
              <w:spacing w:after="0" w:line="170" w:lineRule="exact"/>
              <w:rPr>
                <w:sz w:val="20"/>
                <w:szCs w:val="20"/>
                <w:color w:val="auto"/>
              </w:rPr>
            </w:pPr>
            <w:r>
              <w:rPr>
                <w:rFonts w:ascii="Arial" w:cs="Arial" w:eastAsia="Arial" w:hAnsi="Arial"/>
                <w:sz w:val="13"/>
                <w:szCs w:val="13"/>
                <w:color w:val="auto"/>
              </w:rPr>
              <w:t>Accounts payable to related parties</w:t>
            </w:r>
            <w:r>
              <w:rPr>
                <w:rFonts w:ascii="Arial" w:cs="Arial" w:eastAsia="Arial" w:hAnsi="Arial"/>
                <w:sz w:val="16"/>
                <w:szCs w:val="16"/>
                <w:color w:val="auto"/>
                <w:vertAlign w:val="superscript"/>
              </w:rPr>
              <w:t>(a)</w:t>
            </w:r>
          </w:p>
        </w:tc>
        <w:tc>
          <w:tcPr>
            <w:tcW w:w="1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22,317</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9,650</w:t>
            </w:r>
          </w:p>
        </w:tc>
      </w:tr>
      <w:tr>
        <w:trPr>
          <w:trHeight w:val="170"/>
        </w:trPr>
        <w:tc>
          <w:tcPr>
            <w:tcW w:w="8520" w:type="dxa"/>
            <w:vAlign w:val="bottom"/>
            <w:shd w:val="clear" w:color="auto" w:fill="CCEEFF"/>
          </w:tcPr>
          <w:p>
            <w:pPr>
              <w:ind w:left="20"/>
              <w:spacing w:after="0" w:line="170" w:lineRule="exact"/>
              <w:rPr>
                <w:sz w:val="20"/>
                <w:szCs w:val="20"/>
                <w:color w:val="auto"/>
              </w:rPr>
            </w:pPr>
            <w:r>
              <w:rPr>
                <w:rFonts w:ascii="Arial" w:cs="Arial" w:eastAsia="Arial" w:hAnsi="Arial"/>
                <w:sz w:val="13"/>
                <w:szCs w:val="13"/>
                <w:color w:val="auto"/>
              </w:rPr>
              <w:t>Revenue contract liabilities</w:t>
            </w:r>
            <w:r>
              <w:rPr>
                <w:rFonts w:ascii="Arial" w:cs="Arial" w:eastAsia="Arial" w:hAnsi="Arial"/>
                <w:sz w:val="16"/>
                <w:szCs w:val="16"/>
                <w:color w:val="auto"/>
                <w:vertAlign w:val="superscript"/>
              </w:rPr>
              <w:t>(b)</w:t>
            </w: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22,321</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65,918</w:t>
            </w:r>
          </w:p>
        </w:tc>
      </w:tr>
      <w:tr>
        <w:trPr>
          <w:trHeight w:val="168"/>
        </w:trPr>
        <w:tc>
          <w:tcPr>
            <w:tcW w:w="8520" w:type="dxa"/>
            <w:vAlign w:val="bottom"/>
          </w:tcPr>
          <w:p>
            <w:pPr>
              <w:ind w:left="20"/>
              <w:spacing w:after="0"/>
              <w:rPr>
                <w:sz w:val="20"/>
                <w:szCs w:val="20"/>
                <w:color w:val="auto"/>
              </w:rPr>
            </w:pPr>
            <w:r>
              <w:rPr>
                <w:rFonts w:ascii="Arial" w:cs="Arial" w:eastAsia="Arial" w:hAnsi="Arial"/>
                <w:sz w:val="13"/>
                <w:szCs w:val="13"/>
                <w:b w:val="1"/>
                <w:bCs w:val="1"/>
                <w:color w:val="auto"/>
              </w:rPr>
              <w:t>Accrued expenses and other current liabilities:</w:t>
            </w: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2"/>
        </w:trPr>
        <w:tc>
          <w:tcPr>
            <w:tcW w:w="85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Compensation and benefits</w:t>
            </w: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224,368</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189,767</w:t>
            </w:r>
          </w:p>
        </w:tc>
      </w:tr>
      <w:tr>
        <w:trPr>
          <w:trHeight w:val="180"/>
        </w:trPr>
        <w:tc>
          <w:tcPr>
            <w:tcW w:w="8520" w:type="dxa"/>
            <w:vAlign w:val="bottom"/>
          </w:tcPr>
          <w:p>
            <w:pPr>
              <w:ind w:left="120"/>
              <w:spacing w:after="0"/>
              <w:rPr>
                <w:sz w:val="20"/>
                <w:szCs w:val="20"/>
                <w:color w:val="auto"/>
              </w:rPr>
            </w:pPr>
            <w:r>
              <w:rPr>
                <w:rFonts w:ascii="Arial" w:cs="Arial" w:eastAsia="Arial" w:hAnsi="Arial"/>
                <w:sz w:val="13"/>
                <w:szCs w:val="13"/>
                <w:color w:val="auto"/>
              </w:rPr>
              <w:t>Litigation settlements</w:t>
            </w:r>
          </w:p>
        </w:tc>
        <w:tc>
          <w:tcPr>
            <w:tcW w:w="1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172,440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75,000</w:t>
            </w:r>
          </w:p>
        </w:tc>
      </w:tr>
      <w:tr>
        <w:trPr>
          <w:trHeight w:val="170"/>
        </w:trPr>
        <w:tc>
          <w:tcPr>
            <w:tcW w:w="8520" w:type="dxa"/>
            <w:vAlign w:val="bottom"/>
            <w:shd w:val="clear" w:color="auto" w:fill="CCEEFF"/>
          </w:tcPr>
          <w:p>
            <w:pPr>
              <w:ind w:left="120"/>
              <w:spacing w:after="0" w:line="170" w:lineRule="exact"/>
              <w:rPr>
                <w:sz w:val="20"/>
                <w:szCs w:val="20"/>
                <w:color w:val="auto"/>
              </w:rPr>
            </w:pPr>
            <w:r>
              <w:rPr>
                <w:rFonts w:ascii="Arial" w:cs="Arial" w:eastAsia="Arial" w:hAnsi="Arial"/>
                <w:sz w:val="13"/>
                <w:szCs w:val="13"/>
                <w:color w:val="auto"/>
              </w:rPr>
              <w:t>Current maturities of operating lease liabilities</w:t>
            </w:r>
            <w:r>
              <w:rPr>
                <w:rFonts w:ascii="Arial" w:cs="Arial" w:eastAsia="Arial" w:hAnsi="Arial"/>
                <w:sz w:val="16"/>
                <w:szCs w:val="16"/>
                <w:color w:val="auto"/>
                <w:vertAlign w:val="superscript"/>
              </w:rPr>
              <w:t>(c)</w:t>
            </w: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82,947</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71,592</w:t>
            </w:r>
          </w:p>
        </w:tc>
      </w:tr>
      <w:tr>
        <w:trPr>
          <w:trHeight w:val="168"/>
        </w:trPr>
        <w:tc>
          <w:tcPr>
            <w:tcW w:w="8520" w:type="dxa"/>
            <w:vAlign w:val="bottom"/>
          </w:tcPr>
          <w:p>
            <w:pPr>
              <w:ind w:left="120"/>
              <w:spacing w:after="0"/>
              <w:rPr>
                <w:sz w:val="20"/>
                <w:szCs w:val="20"/>
                <w:color w:val="auto"/>
              </w:rPr>
            </w:pPr>
            <w:r>
              <w:rPr>
                <w:rFonts w:ascii="Arial" w:cs="Arial" w:eastAsia="Arial" w:hAnsi="Arial"/>
                <w:sz w:val="13"/>
                <w:szCs w:val="13"/>
                <w:color w:val="auto"/>
              </w:rPr>
              <w:t>Taxes</w:t>
            </w:r>
          </w:p>
        </w:tc>
        <w:tc>
          <w:tcPr>
            <w:tcW w:w="1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68,163</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67,812</w:t>
            </w:r>
          </w:p>
        </w:tc>
      </w:tr>
      <w:tr>
        <w:trPr>
          <w:trHeight w:val="172"/>
        </w:trPr>
        <w:tc>
          <w:tcPr>
            <w:tcW w:w="85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Insurance and self-insured claims</w:t>
            </w: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64,697</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61,212</w:t>
            </w:r>
          </w:p>
        </w:tc>
      </w:tr>
      <w:tr>
        <w:trPr>
          <w:trHeight w:val="168"/>
        </w:trPr>
        <w:tc>
          <w:tcPr>
            <w:tcW w:w="8520" w:type="dxa"/>
            <w:vAlign w:val="bottom"/>
          </w:tcPr>
          <w:p>
            <w:pPr>
              <w:ind w:left="120"/>
              <w:spacing w:after="0"/>
              <w:rPr>
                <w:sz w:val="20"/>
                <w:szCs w:val="20"/>
                <w:color w:val="auto"/>
              </w:rPr>
            </w:pPr>
            <w:r>
              <w:rPr>
                <w:rFonts w:ascii="Arial" w:cs="Arial" w:eastAsia="Arial" w:hAnsi="Arial"/>
                <w:sz w:val="13"/>
                <w:szCs w:val="13"/>
                <w:color w:val="auto"/>
              </w:rPr>
              <w:t>Accrued sales rebates</w:t>
            </w:r>
          </w:p>
        </w:tc>
        <w:tc>
          <w:tcPr>
            <w:tcW w:w="1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35,613</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44,708</w:t>
            </w:r>
          </w:p>
        </w:tc>
      </w:tr>
      <w:tr>
        <w:trPr>
          <w:trHeight w:val="172"/>
        </w:trPr>
        <w:tc>
          <w:tcPr>
            <w:tcW w:w="85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Interest and debt-related fees</w:t>
            </w: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31,810</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29,559</w:t>
            </w:r>
          </w:p>
        </w:tc>
      </w:tr>
      <w:tr>
        <w:trPr>
          <w:trHeight w:val="170"/>
        </w:trPr>
        <w:tc>
          <w:tcPr>
            <w:tcW w:w="8520" w:type="dxa"/>
            <w:vAlign w:val="bottom"/>
          </w:tcPr>
          <w:p>
            <w:pPr>
              <w:ind w:left="120"/>
              <w:spacing w:after="0" w:line="170" w:lineRule="exact"/>
              <w:rPr>
                <w:sz w:val="20"/>
                <w:szCs w:val="20"/>
                <w:color w:val="auto"/>
              </w:rPr>
            </w:pPr>
            <w:r>
              <w:rPr>
                <w:rFonts w:ascii="Arial" w:cs="Arial" w:eastAsia="Arial" w:hAnsi="Arial"/>
                <w:sz w:val="13"/>
                <w:szCs w:val="13"/>
                <w:color w:val="auto"/>
              </w:rPr>
              <w:t>Derivative liabilities</w:t>
            </w:r>
            <w:r>
              <w:rPr>
                <w:rFonts w:ascii="Arial" w:cs="Arial" w:eastAsia="Arial" w:hAnsi="Arial"/>
                <w:sz w:val="16"/>
                <w:szCs w:val="16"/>
                <w:color w:val="auto"/>
                <w:vertAlign w:val="superscript"/>
              </w:rPr>
              <w:t>(d)</w:t>
            </w:r>
          </w:p>
        </w:tc>
        <w:tc>
          <w:tcPr>
            <w:tcW w:w="1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31,866</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7,599</w:t>
            </w:r>
          </w:p>
        </w:tc>
      </w:tr>
      <w:tr>
        <w:trPr>
          <w:trHeight w:val="170"/>
        </w:trPr>
        <w:tc>
          <w:tcPr>
            <w:tcW w:w="85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DOJ agreement</w:t>
            </w:r>
          </w:p>
        </w:tc>
        <w:tc>
          <w:tcPr>
            <w:tcW w:w="14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110,524</w:t>
            </w:r>
          </w:p>
        </w:tc>
      </w:tr>
      <w:tr>
        <w:trPr>
          <w:trHeight w:val="168"/>
        </w:trPr>
        <w:tc>
          <w:tcPr>
            <w:tcW w:w="852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Other accrued expenses</w:t>
            </w:r>
          </w:p>
        </w:tc>
        <w:tc>
          <w:tcPr>
            <w:tcW w:w="1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147,981</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150,074</w:t>
            </w:r>
          </w:p>
        </w:tc>
      </w:tr>
      <w:tr>
        <w:trPr>
          <w:trHeight w:val="160"/>
        </w:trPr>
        <w:tc>
          <w:tcPr>
            <w:tcW w:w="85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accrued expenses and other current liabilities</w:t>
            </w:r>
          </w:p>
        </w:tc>
        <w:tc>
          <w:tcPr>
            <w:tcW w:w="14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859,885</w:t>
            </w:r>
          </w:p>
        </w:tc>
        <w:tc>
          <w:tcPr>
            <w:tcW w:w="8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807,847</w:t>
            </w:r>
          </w:p>
        </w:tc>
      </w:tr>
      <w:tr>
        <w:trPr>
          <w:trHeight w:val="163"/>
        </w:trPr>
        <w:tc>
          <w:tcPr>
            <w:tcW w:w="8520" w:type="dxa"/>
            <w:vAlign w:val="bottom"/>
          </w:tcPr>
          <w:p>
            <w:pPr>
              <w:ind w:left="20"/>
              <w:spacing w:after="0"/>
              <w:rPr>
                <w:sz w:val="20"/>
                <w:szCs w:val="20"/>
                <w:color w:val="auto"/>
              </w:rPr>
            </w:pPr>
            <w:r>
              <w:rPr>
                <w:rFonts w:ascii="Arial" w:cs="Arial" w:eastAsia="Arial" w:hAnsi="Arial"/>
                <w:sz w:val="13"/>
                <w:szCs w:val="13"/>
                <w:b w:val="1"/>
                <w:bCs w:val="1"/>
                <w:color w:val="auto"/>
              </w:rPr>
              <w:t>Total current liabilities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2,282,600</w:t>
            </w:r>
          </w:p>
        </w:tc>
        <w:tc>
          <w:tcPr>
            <w:tcW w:w="8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1,912,125</w:t>
            </w:r>
          </w:p>
        </w:tc>
      </w:tr>
      <w:tr>
        <w:trPr>
          <w:trHeight w:val="20"/>
        </w:trPr>
        <w:tc>
          <w:tcPr>
            <w:tcW w:w="8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7" w:lineRule="exact"/>
        <w:rPr>
          <w:sz w:val="20"/>
          <w:szCs w:val="20"/>
          <w:color w:val="auto"/>
        </w:rPr>
      </w:pPr>
    </w:p>
    <w:p>
      <w:pPr>
        <w:ind w:left="520" w:hanging="515"/>
        <w:spacing w:after="0"/>
        <w:tabs>
          <w:tab w:leader="none" w:pos="520" w:val="left"/>
        </w:tabs>
        <w:numPr>
          <w:ilvl w:val="0"/>
          <w:numId w:val="30"/>
        </w:numPr>
        <w:rPr>
          <w:rFonts w:ascii="Arial" w:cs="Arial" w:eastAsia="Arial" w:hAnsi="Arial"/>
          <w:sz w:val="11"/>
          <w:szCs w:val="11"/>
          <w:color w:val="auto"/>
        </w:rPr>
      </w:pPr>
      <w:r>
        <w:rPr>
          <w:rFonts w:ascii="Arial" w:cs="Arial" w:eastAsia="Arial" w:hAnsi="Arial"/>
          <w:sz w:val="11"/>
          <w:szCs w:val="11"/>
          <w:color w:val="auto"/>
        </w:rPr>
        <w:t>Additional information regarding accounts payable to related parties is included in “Note 18. Related Party Transactions.”</w:t>
      </w:r>
    </w:p>
    <w:p>
      <w:pPr>
        <w:spacing w:after="0" w:line="18" w:lineRule="exact"/>
        <w:rPr>
          <w:rFonts w:ascii="Arial" w:cs="Arial" w:eastAsia="Arial" w:hAnsi="Arial"/>
          <w:sz w:val="11"/>
          <w:szCs w:val="11"/>
          <w:color w:val="auto"/>
        </w:rPr>
      </w:pPr>
    </w:p>
    <w:p>
      <w:pPr>
        <w:ind w:left="500" w:hanging="495"/>
        <w:spacing w:after="0"/>
        <w:tabs>
          <w:tab w:leader="none" w:pos="500" w:val="left"/>
        </w:tabs>
        <w:numPr>
          <w:ilvl w:val="0"/>
          <w:numId w:val="30"/>
        </w:numPr>
        <w:rPr>
          <w:rFonts w:ascii="Arial" w:cs="Arial" w:eastAsia="Arial" w:hAnsi="Arial"/>
          <w:sz w:val="11"/>
          <w:szCs w:val="11"/>
          <w:color w:val="auto"/>
        </w:rPr>
      </w:pPr>
      <w:r>
        <w:rPr>
          <w:rFonts w:ascii="Arial" w:cs="Arial" w:eastAsia="Arial" w:hAnsi="Arial"/>
          <w:sz w:val="11"/>
          <w:szCs w:val="11"/>
          <w:color w:val="auto"/>
        </w:rPr>
        <w:t>Additional information regarding revenue contract liabilities is included in “Note 3. Revenue Recognition.”</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0" w:name="page71"/>
    <w:bookmarkEnd w:id="7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NOTES TO CONSOLIDATED FINANCIAL STATEMENTS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500" w:type="dxa"/>
            <w:vAlign w:val="bottom"/>
          </w:tcPr>
          <w:p>
            <w:pPr>
              <w:spacing w:after="0"/>
              <w:rPr>
                <w:sz w:val="20"/>
                <w:szCs w:val="20"/>
                <w:color w:val="auto"/>
              </w:rPr>
            </w:pPr>
            <w:r>
              <w:rPr>
                <w:rFonts w:ascii="Arial" w:cs="Arial" w:eastAsia="Arial" w:hAnsi="Arial"/>
                <w:sz w:val="11"/>
                <w:szCs w:val="11"/>
                <w:color w:val="auto"/>
              </w:rPr>
              <w:t>(c)</w:t>
            </w:r>
          </w:p>
        </w:tc>
        <w:tc>
          <w:tcPr>
            <w:tcW w:w="5480" w:type="dxa"/>
            <w:vAlign w:val="bottom"/>
            <w:gridSpan w:val="3"/>
          </w:tcPr>
          <w:p>
            <w:pPr>
              <w:ind w:left="20"/>
              <w:spacing w:after="0"/>
              <w:rPr>
                <w:sz w:val="20"/>
                <w:szCs w:val="20"/>
                <w:color w:val="auto"/>
              </w:rPr>
            </w:pPr>
            <w:r>
              <w:rPr>
                <w:rFonts w:ascii="Arial" w:cs="Arial" w:eastAsia="Arial" w:hAnsi="Arial"/>
                <w:sz w:val="11"/>
                <w:szCs w:val="11"/>
                <w:color w:val="auto"/>
              </w:rPr>
              <w:t>Additional information regarding current maturities of operating lease liabilities is included in “Note 4. Leases.”</w:t>
            </w: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20" w:type="dxa"/>
            <w:vAlign w:val="bottom"/>
          </w:tcPr>
          <w:p>
            <w:pPr>
              <w:spacing w:after="0"/>
              <w:rPr>
                <w:sz w:val="12"/>
                <w:szCs w:val="12"/>
                <w:color w:val="auto"/>
              </w:rPr>
            </w:pPr>
          </w:p>
        </w:tc>
      </w:tr>
      <w:tr>
        <w:trPr>
          <w:trHeight w:val="149"/>
        </w:trPr>
        <w:tc>
          <w:tcPr>
            <w:tcW w:w="500" w:type="dxa"/>
            <w:vAlign w:val="bottom"/>
          </w:tcPr>
          <w:p>
            <w:pPr>
              <w:spacing w:after="0"/>
              <w:rPr>
                <w:sz w:val="20"/>
                <w:szCs w:val="20"/>
                <w:color w:val="auto"/>
              </w:rPr>
            </w:pPr>
            <w:r>
              <w:rPr>
                <w:rFonts w:ascii="Arial" w:cs="Arial" w:eastAsia="Arial" w:hAnsi="Arial"/>
                <w:sz w:val="11"/>
                <w:szCs w:val="11"/>
                <w:color w:val="auto"/>
              </w:rPr>
              <w:t>(d)</w:t>
            </w:r>
          </w:p>
        </w:tc>
        <w:tc>
          <w:tcPr>
            <w:tcW w:w="5480" w:type="dxa"/>
            <w:vAlign w:val="bottom"/>
            <w:gridSpan w:val="3"/>
          </w:tcPr>
          <w:p>
            <w:pPr>
              <w:spacing w:after="0"/>
              <w:rPr>
                <w:sz w:val="20"/>
                <w:szCs w:val="20"/>
                <w:color w:val="auto"/>
              </w:rPr>
            </w:pPr>
            <w:r>
              <w:rPr>
                <w:rFonts w:ascii="Arial" w:cs="Arial" w:eastAsia="Arial" w:hAnsi="Arial"/>
                <w:sz w:val="11"/>
                <w:szCs w:val="11"/>
                <w:color w:val="auto"/>
              </w:rPr>
              <w:t>Additional information regarding derivative liabilities is included in “Note 5. Derivative Financial Instruments.”</w:t>
            </w: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20" w:type="dxa"/>
            <w:vAlign w:val="bottom"/>
          </w:tcPr>
          <w:p>
            <w:pPr>
              <w:spacing w:after="0"/>
              <w:rPr>
                <w:sz w:val="12"/>
                <w:szCs w:val="12"/>
                <w:color w:val="auto"/>
              </w:rPr>
            </w:pPr>
          </w:p>
        </w:tc>
      </w:tr>
      <w:tr>
        <w:trPr>
          <w:trHeight w:val="294"/>
        </w:trPr>
        <w:tc>
          <w:tcPr>
            <w:tcW w:w="5980" w:type="dxa"/>
            <w:vAlign w:val="bottom"/>
            <w:gridSpan w:val="4"/>
          </w:tcPr>
          <w:p>
            <w:pPr>
              <w:spacing w:after="0"/>
              <w:rPr>
                <w:sz w:val="20"/>
                <w:szCs w:val="20"/>
                <w:color w:val="auto"/>
              </w:rPr>
            </w:pPr>
            <w:r>
              <w:rPr>
                <w:rFonts w:ascii="Arial" w:cs="Arial" w:eastAsia="Arial" w:hAnsi="Arial"/>
                <w:sz w:val="14"/>
                <w:szCs w:val="14"/>
                <w:b w:val="1"/>
                <w:bCs w:val="1"/>
                <w:color w:val="auto"/>
              </w:rPr>
              <w:t>12.  INCOME TAXES</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329"/>
        </w:trPr>
        <w:tc>
          <w:tcPr>
            <w:tcW w:w="5980" w:type="dxa"/>
            <w:vAlign w:val="bottom"/>
            <w:gridSpan w:val="4"/>
          </w:tcPr>
          <w:p>
            <w:pPr>
              <w:ind w:left="180"/>
              <w:spacing w:after="0"/>
              <w:rPr>
                <w:sz w:val="20"/>
                <w:szCs w:val="20"/>
                <w:color w:val="auto"/>
              </w:rPr>
            </w:pPr>
            <w:r>
              <w:rPr>
                <w:rFonts w:ascii="Arial" w:cs="Arial" w:eastAsia="Arial" w:hAnsi="Arial"/>
                <w:sz w:val="14"/>
                <w:szCs w:val="14"/>
                <w:color w:val="auto"/>
              </w:rPr>
              <w:t>Income (loss) before income taxes by jurisdiction is as follows:</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08"/>
        </w:trPr>
        <w:tc>
          <w:tcPr>
            <w:tcW w:w="50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4"/>
          </w:tcPr>
          <w:p>
            <w:pPr>
              <w:jc w:val="center"/>
              <w:ind w:right="280"/>
              <w:spacing w:after="0"/>
              <w:rPr>
                <w:sz w:val="20"/>
                <w:szCs w:val="20"/>
                <w:color w:val="auto"/>
              </w:rPr>
            </w:pPr>
            <w:r>
              <w:rPr>
                <w:rFonts w:ascii="Arial" w:cs="Arial" w:eastAsia="Arial" w:hAnsi="Arial"/>
                <w:sz w:val="11"/>
                <w:szCs w:val="11"/>
                <w:b w:val="1"/>
                <w:bCs w:val="1"/>
                <w:color w:val="auto"/>
                <w:w w:val="95"/>
              </w:rPr>
              <w:t>Year Ended</w:t>
            </w: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r>
      <w:tr>
        <w:trPr>
          <w:trHeight w:val="142"/>
        </w:trPr>
        <w:tc>
          <w:tcPr>
            <w:tcW w:w="50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gridSpan w:val="4"/>
          </w:tcPr>
          <w:p>
            <w:pPr>
              <w:ind w:left="260"/>
              <w:spacing w:after="0"/>
              <w:rPr>
                <w:sz w:val="20"/>
                <w:szCs w:val="20"/>
                <w:color w:val="auto"/>
              </w:rPr>
            </w:pPr>
            <w:r>
              <w:rPr>
                <w:rFonts w:ascii="Arial" w:cs="Arial" w:eastAsia="Arial" w:hAnsi="Arial"/>
                <w:sz w:val="11"/>
                <w:szCs w:val="11"/>
                <w:b w:val="1"/>
                <w:bCs w:val="1"/>
                <w:color w:val="auto"/>
              </w:rPr>
              <w:t>December 26, 2021</w:t>
            </w:r>
          </w:p>
        </w:tc>
        <w:tc>
          <w:tcPr>
            <w:tcW w:w="200" w:type="dxa"/>
            <w:vAlign w:val="bottom"/>
            <w:tcBorders>
              <w:bottom w:val="single" w:sz="8" w:color="auto"/>
            </w:tcBorders>
          </w:tcPr>
          <w:p>
            <w:pPr>
              <w:spacing w:after="0"/>
              <w:rPr>
                <w:sz w:val="12"/>
                <w:szCs w:val="12"/>
                <w:color w:val="auto"/>
              </w:rPr>
            </w:pPr>
          </w:p>
        </w:tc>
        <w:tc>
          <w:tcPr>
            <w:tcW w:w="1660" w:type="dxa"/>
            <w:vAlign w:val="bottom"/>
            <w:tcBorders>
              <w:bottom w:val="single" w:sz="8" w:color="auto"/>
            </w:tcBorders>
            <w:gridSpan w:val="4"/>
          </w:tcPr>
          <w:p>
            <w:pPr>
              <w:jc w:val="center"/>
              <w:ind w:right="300"/>
              <w:spacing w:after="0"/>
              <w:rPr>
                <w:sz w:val="20"/>
                <w:szCs w:val="20"/>
                <w:color w:val="auto"/>
              </w:rPr>
            </w:pPr>
            <w:r>
              <w:rPr>
                <w:rFonts w:ascii="Arial" w:cs="Arial" w:eastAsia="Arial" w:hAnsi="Arial"/>
                <w:sz w:val="11"/>
                <w:szCs w:val="11"/>
                <w:b w:val="1"/>
                <w:bCs w:val="1"/>
                <w:color w:val="auto"/>
                <w:w w:val="92"/>
              </w:rPr>
              <w:t>December 27, 2020</w:t>
            </w:r>
          </w:p>
        </w:tc>
        <w:tc>
          <w:tcPr>
            <w:tcW w:w="24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jc w:val="right"/>
              <w:ind w:right="357"/>
              <w:spacing w:after="0"/>
              <w:rPr>
                <w:sz w:val="20"/>
                <w:szCs w:val="20"/>
                <w:color w:val="auto"/>
              </w:rPr>
            </w:pPr>
            <w:r>
              <w:rPr>
                <w:rFonts w:ascii="Arial" w:cs="Arial" w:eastAsia="Arial" w:hAnsi="Arial"/>
                <w:sz w:val="11"/>
                <w:szCs w:val="11"/>
                <w:b w:val="1"/>
                <w:bCs w:val="1"/>
                <w:color w:val="auto"/>
              </w:rPr>
              <w:t>December 29, 2019</w:t>
            </w:r>
          </w:p>
        </w:tc>
      </w:tr>
      <w:tr>
        <w:trPr>
          <w:trHeight w:val="124"/>
        </w:trPr>
        <w:tc>
          <w:tcPr>
            <w:tcW w:w="500" w:type="dxa"/>
            <w:vAlign w:val="bottom"/>
          </w:tcPr>
          <w:p>
            <w:pPr>
              <w:spacing w:after="0"/>
              <w:rPr>
                <w:sz w:val="10"/>
                <w:szCs w:val="10"/>
                <w:color w:val="auto"/>
              </w:rPr>
            </w:pPr>
          </w:p>
        </w:tc>
        <w:tc>
          <w:tcPr>
            <w:tcW w:w="5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gridSpan w:val="4"/>
          </w:tcPr>
          <w:p>
            <w:pPr>
              <w:jc w:val="center"/>
              <w:ind w:right="280"/>
              <w:spacing w:after="0"/>
              <w:rPr>
                <w:sz w:val="20"/>
                <w:szCs w:val="20"/>
                <w:color w:val="auto"/>
              </w:rPr>
            </w:pPr>
            <w:r>
              <w:rPr>
                <w:rFonts w:ascii="Arial" w:cs="Arial" w:eastAsia="Arial" w:hAnsi="Arial"/>
                <w:sz w:val="10"/>
                <w:szCs w:val="10"/>
                <w:b w:val="1"/>
                <w:bCs w:val="1"/>
                <w:color w:val="auto"/>
                <w:w w:val="89"/>
              </w:rPr>
              <w:t>(In thousands)</w:t>
            </w:r>
          </w:p>
        </w:tc>
        <w:tc>
          <w:tcPr>
            <w:tcW w:w="240" w:type="dxa"/>
            <w:vAlign w:val="bottom"/>
          </w:tcPr>
          <w:p>
            <w:pPr>
              <w:spacing w:after="0"/>
              <w:rPr>
                <w:sz w:val="10"/>
                <w:szCs w:val="10"/>
                <w:color w:val="auto"/>
              </w:rPr>
            </w:pPr>
          </w:p>
        </w:tc>
        <w:tc>
          <w:tcPr>
            <w:tcW w:w="1520" w:type="dxa"/>
            <w:vAlign w:val="bottom"/>
          </w:tcPr>
          <w:p>
            <w:pPr>
              <w:spacing w:after="0"/>
              <w:rPr>
                <w:sz w:val="10"/>
                <w:szCs w:val="10"/>
                <w:color w:val="auto"/>
              </w:rPr>
            </w:pPr>
          </w:p>
        </w:tc>
      </w:tr>
      <w:tr>
        <w:trPr>
          <w:trHeight w:val="176"/>
        </w:trPr>
        <w:tc>
          <w:tcPr>
            <w:tcW w:w="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U.S.</w:t>
            </w:r>
          </w:p>
        </w:tc>
        <w:tc>
          <w:tcPr>
            <w:tcW w:w="5480" w:type="dxa"/>
            <w:vAlign w:val="bottom"/>
            <w:gridSpan w:val="3"/>
            <w:shd w:val="clear" w:color="auto" w:fill="CCEEFF"/>
          </w:tcPr>
          <w:p>
            <w:pPr>
              <w:ind w:left="5320"/>
              <w:spacing w:after="0"/>
              <w:rPr>
                <w:sz w:val="20"/>
                <w:szCs w:val="20"/>
                <w:color w:val="auto"/>
              </w:rPr>
            </w:pPr>
            <w:r>
              <w:rPr>
                <w:rFonts w:ascii="Arial" w:cs="Arial" w:eastAsia="Arial" w:hAnsi="Arial"/>
                <w:sz w:val="13"/>
                <w:szCs w:val="13"/>
                <w:color w:val="auto"/>
              </w:rPr>
              <w:t>$</w:t>
            </w:r>
          </w:p>
        </w:tc>
        <w:tc>
          <w:tcPr>
            <w:tcW w:w="158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(141,940)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5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(27,095)</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342,110</w:t>
            </w:r>
          </w:p>
        </w:tc>
      </w:tr>
      <w:tr>
        <w:trPr>
          <w:trHeight w:val="168"/>
        </w:trPr>
        <w:tc>
          <w:tcPr>
            <w:tcW w:w="5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Foreign</w:t>
            </w:r>
          </w:p>
        </w:tc>
        <w:tc>
          <w:tcPr>
            <w:tcW w:w="512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234,330</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color w:val="auto"/>
              </w:rPr>
              <w:t>188,920</w:t>
            </w:r>
          </w:p>
        </w:tc>
        <w:tc>
          <w:tcPr>
            <w:tcW w:w="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275,435</w:t>
            </w:r>
          </w:p>
        </w:tc>
      </w:tr>
      <w:tr>
        <w:trPr>
          <w:trHeight w:val="183"/>
        </w:trPr>
        <w:tc>
          <w:tcPr>
            <w:tcW w:w="5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Total</w:t>
            </w:r>
          </w:p>
        </w:tc>
        <w:tc>
          <w:tcPr>
            <w:tcW w:w="5480" w:type="dxa"/>
            <w:vAlign w:val="bottom"/>
            <w:gridSpan w:val="3"/>
            <w:shd w:val="clear" w:color="auto" w:fill="CCEEFF"/>
          </w:tcPr>
          <w:p>
            <w:pPr>
              <w:ind w:left="5320"/>
              <w:spacing w:after="0"/>
              <w:rPr>
                <w:sz w:val="20"/>
                <w:szCs w:val="20"/>
                <w:color w:val="auto"/>
              </w:rPr>
            </w:pPr>
            <w:r>
              <w:rPr>
                <w:rFonts w:ascii="Arial" w:cs="Arial" w:eastAsia="Arial" w:hAnsi="Arial"/>
                <w:sz w:val="13"/>
                <w:szCs w:val="13"/>
                <w:color w:val="auto"/>
              </w:rPr>
              <w:t>$</w:t>
            </w:r>
          </w:p>
        </w:tc>
        <w:tc>
          <w:tcPr>
            <w:tcW w:w="15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92,390</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161,825</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617,545</w:t>
            </w:r>
          </w:p>
        </w:tc>
      </w:tr>
      <w:tr>
        <w:trPr>
          <w:trHeight w:val="20"/>
        </w:trPr>
        <w:tc>
          <w:tcPr>
            <w:tcW w:w="500" w:type="dxa"/>
            <w:vAlign w:val="bottom"/>
            <w:tcBorders>
              <w:top w:val="single" w:sz="8" w:color="CCEEFF"/>
            </w:tcBorders>
          </w:tcPr>
          <w:p>
            <w:pPr>
              <w:spacing w:after="0" w:line="20" w:lineRule="exact"/>
              <w:rPr>
                <w:sz w:val="1"/>
                <w:szCs w:val="1"/>
                <w:color w:val="auto"/>
              </w:rPr>
            </w:pPr>
          </w:p>
        </w:tc>
        <w:tc>
          <w:tcPr>
            <w:tcW w:w="5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r>
        <w:trPr>
          <w:trHeight w:val="259"/>
        </w:trPr>
        <w:tc>
          <w:tcPr>
            <w:tcW w:w="500" w:type="dxa"/>
            <w:vAlign w:val="bottom"/>
          </w:tcPr>
          <w:p>
            <w:pPr>
              <w:spacing w:after="0"/>
              <w:rPr>
                <w:sz w:val="22"/>
                <w:szCs w:val="22"/>
                <w:color w:val="auto"/>
              </w:rPr>
            </w:pPr>
          </w:p>
        </w:tc>
        <w:tc>
          <w:tcPr>
            <w:tcW w:w="5480" w:type="dxa"/>
            <w:vAlign w:val="bottom"/>
            <w:gridSpan w:val="3"/>
          </w:tcPr>
          <w:p>
            <w:pPr>
              <w:ind w:left="20"/>
              <w:spacing w:after="0"/>
              <w:rPr>
                <w:sz w:val="20"/>
                <w:szCs w:val="20"/>
                <w:color w:val="auto"/>
              </w:rPr>
            </w:pPr>
            <w:r>
              <w:rPr>
                <w:rFonts w:ascii="Arial" w:cs="Arial" w:eastAsia="Arial" w:hAnsi="Arial"/>
                <w:sz w:val="14"/>
                <w:szCs w:val="14"/>
                <w:color w:val="auto"/>
              </w:rPr>
              <w:t>The components of income tax expense (benefit) are set forth below:</w:t>
            </w: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08"/>
        </w:trPr>
        <w:tc>
          <w:tcPr>
            <w:tcW w:w="50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4"/>
          </w:tcPr>
          <w:p>
            <w:pPr>
              <w:jc w:val="center"/>
              <w:ind w:right="280"/>
              <w:spacing w:after="0"/>
              <w:rPr>
                <w:sz w:val="20"/>
                <w:szCs w:val="20"/>
                <w:color w:val="auto"/>
              </w:rPr>
            </w:pPr>
            <w:r>
              <w:rPr>
                <w:rFonts w:ascii="Arial" w:cs="Arial" w:eastAsia="Arial" w:hAnsi="Arial"/>
                <w:sz w:val="11"/>
                <w:szCs w:val="11"/>
                <w:b w:val="1"/>
                <w:bCs w:val="1"/>
                <w:color w:val="auto"/>
                <w:w w:val="95"/>
              </w:rPr>
              <w:t>Year Ended</w:t>
            </w: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r>
      <w:tr>
        <w:trPr>
          <w:trHeight w:val="142"/>
        </w:trPr>
        <w:tc>
          <w:tcPr>
            <w:tcW w:w="50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gridSpan w:val="4"/>
          </w:tcPr>
          <w:p>
            <w:pPr>
              <w:ind w:left="260"/>
              <w:spacing w:after="0"/>
              <w:rPr>
                <w:sz w:val="20"/>
                <w:szCs w:val="20"/>
                <w:color w:val="auto"/>
              </w:rPr>
            </w:pPr>
            <w:r>
              <w:rPr>
                <w:rFonts w:ascii="Arial" w:cs="Arial" w:eastAsia="Arial" w:hAnsi="Arial"/>
                <w:sz w:val="11"/>
                <w:szCs w:val="11"/>
                <w:b w:val="1"/>
                <w:bCs w:val="1"/>
                <w:color w:val="auto"/>
              </w:rPr>
              <w:t>December 26, 2021</w:t>
            </w:r>
          </w:p>
        </w:tc>
        <w:tc>
          <w:tcPr>
            <w:tcW w:w="200" w:type="dxa"/>
            <w:vAlign w:val="bottom"/>
            <w:tcBorders>
              <w:bottom w:val="single" w:sz="8" w:color="auto"/>
            </w:tcBorders>
          </w:tcPr>
          <w:p>
            <w:pPr>
              <w:spacing w:after="0"/>
              <w:rPr>
                <w:sz w:val="12"/>
                <w:szCs w:val="12"/>
                <w:color w:val="auto"/>
              </w:rPr>
            </w:pPr>
          </w:p>
        </w:tc>
        <w:tc>
          <w:tcPr>
            <w:tcW w:w="1660" w:type="dxa"/>
            <w:vAlign w:val="bottom"/>
            <w:tcBorders>
              <w:bottom w:val="single" w:sz="8" w:color="auto"/>
            </w:tcBorders>
            <w:gridSpan w:val="4"/>
          </w:tcPr>
          <w:p>
            <w:pPr>
              <w:jc w:val="center"/>
              <w:ind w:right="300"/>
              <w:spacing w:after="0"/>
              <w:rPr>
                <w:sz w:val="20"/>
                <w:szCs w:val="20"/>
                <w:color w:val="auto"/>
              </w:rPr>
            </w:pPr>
            <w:r>
              <w:rPr>
                <w:rFonts w:ascii="Arial" w:cs="Arial" w:eastAsia="Arial" w:hAnsi="Arial"/>
                <w:sz w:val="11"/>
                <w:szCs w:val="11"/>
                <w:b w:val="1"/>
                <w:bCs w:val="1"/>
                <w:color w:val="auto"/>
                <w:w w:val="92"/>
              </w:rPr>
              <w:t>December 27, 2020</w:t>
            </w:r>
          </w:p>
        </w:tc>
        <w:tc>
          <w:tcPr>
            <w:tcW w:w="24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jc w:val="right"/>
              <w:ind w:right="357"/>
              <w:spacing w:after="0"/>
              <w:rPr>
                <w:sz w:val="20"/>
                <w:szCs w:val="20"/>
                <w:color w:val="auto"/>
              </w:rPr>
            </w:pPr>
            <w:r>
              <w:rPr>
                <w:rFonts w:ascii="Arial" w:cs="Arial" w:eastAsia="Arial" w:hAnsi="Arial"/>
                <w:sz w:val="11"/>
                <w:szCs w:val="11"/>
                <w:b w:val="1"/>
                <w:bCs w:val="1"/>
                <w:color w:val="auto"/>
              </w:rPr>
              <w:t>December 29, 2019</w:t>
            </w:r>
          </w:p>
        </w:tc>
      </w:tr>
      <w:tr>
        <w:trPr>
          <w:trHeight w:val="124"/>
        </w:trPr>
        <w:tc>
          <w:tcPr>
            <w:tcW w:w="500" w:type="dxa"/>
            <w:vAlign w:val="bottom"/>
          </w:tcPr>
          <w:p>
            <w:pPr>
              <w:spacing w:after="0"/>
              <w:rPr>
                <w:sz w:val="10"/>
                <w:szCs w:val="10"/>
                <w:color w:val="auto"/>
              </w:rPr>
            </w:pPr>
          </w:p>
        </w:tc>
        <w:tc>
          <w:tcPr>
            <w:tcW w:w="5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gridSpan w:val="4"/>
          </w:tcPr>
          <w:p>
            <w:pPr>
              <w:jc w:val="center"/>
              <w:ind w:right="280"/>
              <w:spacing w:after="0"/>
              <w:rPr>
                <w:sz w:val="20"/>
                <w:szCs w:val="20"/>
                <w:color w:val="auto"/>
              </w:rPr>
            </w:pPr>
            <w:r>
              <w:rPr>
                <w:rFonts w:ascii="Arial" w:cs="Arial" w:eastAsia="Arial" w:hAnsi="Arial"/>
                <w:sz w:val="10"/>
                <w:szCs w:val="10"/>
                <w:b w:val="1"/>
                <w:bCs w:val="1"/>
                <w:color w:val="auto"/>
                <w:w w:val="89"/>
              </w:rPr>
              <w:t>(In thousands)</w:t>
            </w:r>
          </w:p>
        </w:tc>
        <w:tc>
          <w:tcPr>
            <w:tcW w:w="240" w:type="dxa"/>
            <w:vAlign w:val="bottom"/>
          </w:tcPr>
          <w:p>
            <w:pPr>
              <w:spacing w:after="0"/>
              <w:rPr>
                <w:sz w:val="10"/>
                <w:szCs w:val="10"/>
                <w:color w:val="auto"/>
              </w:rPr>
            </w:pPr>
          </w:p>
        </w:tc>
        <w:tc>
          <w:tcPr>
            <w:tcW w:w="1520" w:type="dxa"/>
            <w:vAlign w:val="bottom"/>
          </w:tcPr>
          <w:p>
            <w:pPr>
              <w:spacing w:after="0"/>
              <w:rPr>
                <w:sz w:val="10"/>
                <w:szCs w:val="10"/>
                <w:color w:val="auto"/>
              </w:rPr>
            </w:pPr>
          </w:p>
        </w:tc>
      </w:tr>
      <w:tr>
        <w:trPr>
          <w:trHeight w:val="176"/>
        </w:trPr>
        <w:tc>
          <w:tcPr>
            <w:tcW w:w="500" w:type="dxa"/>
            <w:vAlign w:val="bottom"/>
            <w:shd w:val="clear" w:color="auto" w:fill="CCEEFF"/>
          </w:tcPr>
          <w:p>
            <w:pPr>
              <w:ind w:left="20"/>
              <w:spacing w:after="0"/>
              <w:rPr>
                <w:sz w:val="20"/>
                <w:szCs w:val="20"/>
                <w:color w:val="auto"/>
              </w:rPr>
            </w:pPr>
            <w:r>
              <w:rPr>
                <w:rFonts w:ascii="Arial" w:cs="Arial" w:eastAsia="Arial" w:hAnsi="Arial"/>
                <w:sz w:val="13"/>
                <w:szCs w:val="13"/>
                <w:color w:val="auto"/>
                <w:w w:val="97"/>
              </w:rPr>
              <w:t>Current:</w:t>
            </w:r>
          </w:p>
        </w:tc>
        <w:tc>
          <w:tcPr>
            <w:tcW w:w="5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r>
      <w:tr>
        <w:trPr>
          <w:trHeight w:val="168"/>
        </w:trPr>
        <w:tc>
          <w:tcPr>
            <w:tcW w:w="500" w:type="dxa"/>
            <w:vAlign w:val="bottom"/>
          </w:tcPr>
          <w:p>
            <w:pPr>
              <w:ind w:left="120"/>
              <w:spacing w:after="0"/>
              <w:rPr>
                <w:sz w:val="20"/>
                <w:szCs w:val="20"/>
                <w:color w:val="auto"/>
              </w:rPr>
            </w:pPr>
            <w:r>
              <w:rPr>
                <w:rFonts w:ascii="Arial" w:cs="Arial" w:eastAsia="Arial" w:hAnsi="Arial"/>
                <w:sz w:val="13"/>
                <w:szCs w:val="13"/>
                <w:color w:val="auto"/>
                <w:w w:val="81"/>
              </w:rPr>
              <w:t>Federal</w:t>
            </w:r>
          </w:p>
        </w:tc>
        <w:tc>
          <w:tcPr>
            <w:tcW w:w="5480" w:type="dxa"/>
            <w:vAlign w:val="bottom"/>
            <w:gridSpan w:val="3"/>
          </w:tcPr>
          <w:p>
            <w:pPr>
              <w:ind w:left="5320"/>
              <w:spacing w:after="0"/>
              <w:rPr>
                <w:sz w:val="20"/>
                <w:szCs w:val="20"/>
                <w:color w:val="auto"/>
              </w:rPr>
            </w:pPr>
            <w:r>
              <w:rPr>
                <w:rFonts w:ascii="Arial" w:cs="Arial" w:eastAsia="Arial" w:hAnsi="Arial"/>
                <w:sz w:val="13"/>
                <w:szCs w:val="13"/>
                <w:color w:val="auto"/>
              </w:rPr>
              <w:t>$</w:t>
            </w:r>
          </w:p>
        </w:tc>
        <w:tc>
          <w:tcPr>
            <w:tcW w:w="1560" w:type="dxa"/>
            <w:vAlign w:val="bottom"/>
            <w:gridSpan w:val="2"/>
          </w:tcPr>
          <w:p>
            <w:pPr>
              <w:jc w:val="right"/>
              <w:ind w:right="20"/>
              <w:spacing w:after="0"/>
              <w:rPr>
                <w:sz w:val="20"/>
                <w:szCs w:val="20"/>
                <w:color w:val="auto"/>
              </w:rPr>
            </w:pPr>
            <w:r>
              <w:rPr>
                <w:rFonts w:ascii="Arial" w:cs="Arial" w:eastAsia="Arial" w:hAnsi="Arial"/>
                <w:sz w:val="13"/>
                <w:szCs w:val="13"/>
                <w:color w:val="auto"/>
              </w:rPr>
              <w:t>22,591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1560" w:type="dxa"/>
            <w:vAlign w:val="bottom"/>
            <w:gridSpan w:val="2"/>
          </w:tcPr>
          <w:p>
            <w:pPr>
              <w:jc w:val="right"/>
              <w:ind w:right="20"/>
              <w:spacing w:after="0"/>
              <w:rPr>
                <w:sz w:val="20"/>
                <w:szCs w:val="20"/>
                <w:color w:val="auto"/>
              </w:rPr>
            </w:pPr>
            <w:r>
              <w:rPr>
                <w:rFonts w:ascii="Arial" w:cs="Arial" w:eastAsia="Arial" w:hAnsi="Arial"/>
                <w:sz w:val="13"/>
                <w:szCs w:val="13"/>
                <w:color w:val="auto"/>
              </w:rPr>
              <w:t>(8,800)</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jc w:val="right"/>
              <w:ind w:right="96"/>
              <w:spacing w:after="0"/>
              <w:rPr>
                <w:sz w:val="20"/>
                <w:szCs w:val="20"/>
                <w:color w:val="auto"/>
              </w:rPr>
            </w:pPr>
            <w:r>
              <w:rPr>
                <w:rFonts w:ascii="Arial" w:cs="Arial" w:eastAsia="Arial" w:hAnsi="Arial"/>
                <w:sz w:val="13"/>
                <w:szCs w:val="13"/>
                <w:color w:val="auto"/>
                <w:w w:val="82"/>
              </w:rPr>
              <w:t>$</w:t>
            </w:r>
          </w:p>
        </w:tc>
        <w:tc>
          <w:tcPr>
            <w:tcW w:w="1520" w:type="dxa"/>
            <w:vAlign w:val="bottom"/>
          </w:tcPr>
          <w:p>
            <w:pPr>
              <w:jc w:val="right"/>
              <w:spacing w:after="0"/>
              <w:rPr>
                <w:sz w:val="20"/>
                <w:szCs w:val="20"/>
                <w:color w:val="auto"/>
              </w:rPr>
            </w:pPr>
            <w:r>
              <w:rPr>
                <w:rFonts w:ascii="Arial" w:cs="Arial" w:eastAsia="Arial" w:hAnsi="Arial"/>
                <w:sz w:val="13"/>
                <w:szCs w:val="13"/>
                <w:color w:val="auto"/>
              </w:rPr>
              <w:t>27,585</w:t>
            </w:r>
          </w:p>
        </w:tc>
      </w:tr>
      <w:tr>
        <w:trPr>
          <w:trHeight w:val="172"/>
        </w:trPr>
        <w:tc>
          <w:tcPr>
            <w:tcW w:w="5980" w:type="dxa"/>
            <w:vAlign w:val="bottom"/>
            <w:gridSpan w:val="4"/>
            <w:shd w:val="clear" w:color="auto" w:fill="CCEEFF"/>
          </w:tcPr>
          <w:p>
            <w:pPr>
              <w:ind w:left="120"/>
              <w:spacing w:after="0"/>
              <w:rPr>
                <w:sz w:val="20"/>
                <w:szCs w:val="20"/>
                <w:color w:val="auto"/>
              </w:rPr>
            </w:pPr>
            <w:r>
              <w:rPr>
                <w:rFonts w:ascii="Arial" w:cs="Arial" w:eastAsia="Arial" w:hAnsi="Arial"/>
                <w:sz w:val="13"/>
                <w:szCs w:val="13"/>
                <w:color w:val="auto"/>
              </w:rPr>
              <w:t>Foreign</w:t>
            </w:r>
          </w:p>
        </w:tc>
        <w:tc>
          <w:tcPr>
            <w:tcW w:w="15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115,772</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28,985</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78,099</w:t>
            </w:r>
          </w:p>
        </w:tc>
      </w:tr>
      <w:tr>
        <w:trPr>
          <w:trHeight w:val="168"/>
        </w:trPr>
        <w:tc>
          <w:tcPr>
            <w:tcW w:w="5800" w:type="dxa"/>
            <w:vAlign w:val="bottom"/>
            <w:tcBorders>
              <w:bottom w:val="single" w:sz="8" w:color="CCEEFF"/>
            </w:tcBorders>
            <w:gridSpan w:val="3"/>
          </w:tcPr>
          <w:p>
            <w:pPr>
              <w:ind w:left="120"/>
              <w:spacing w:after="0"/>
              <w:rPr>
                <w:sz w:val="20"/>
                <w:szCs w:val="20"/>
                <w:color w:val="auto"/>
              </w:rPr>
            </w:pPr>
            <w:r>
              <w:rPr>
                <w:rFonts w:ascii="Arial" w:cs="Arial" w:eastAsia="Arial" w:hAnsi="Arial"/>
                <w:sz w:val="13"/>
                <w:szCs w:val="13"/>
                <w:color w:val="auto"/>
              </w:rPr>
              <w:t>State and other</w:t>
            </w:r>
          </w:p>
        </w:tc>
        <w:tc>
          <w:tcPr>
            <w:tcW w:w="1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9,150</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color w:val="auto"/>
              </w:rPr>
              <w:t>9,234</w:t>
            </w:r>
          </w:p>
        </w:tc>
        <w:tc>
          <w:tcPr>
            <w:tcW w:w="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12,847</w:t>
            </w:r>
          </w:p>
        </w:tc>
      </w:tr>
      <w:tr>
        <w:trPr>
          <w:trHeight w:val="163"/>
        </w:trPr>
        <w:tc>
          <w:tcPr>
            <w:tcW w:w="5980" w:type="dxa"/>
            <w:vAlign w:val="bottom"/>
            <w:gridSpan w:val="4"/>
            <w:shd w:val="clear" w:color="auto" w:fill="CCEEFF"/>
          </w:tcPr>
          <w:p>
            <w:pPr>
              <w:ind w:left="280"/>
              <w:spacing w:after="0"/>
              <w:rPr>
                <w:sz w:val="20"/>
                <w:szCs w:val="20"/>
                <w:color w:val="auto"/>
              </w:rPr>
            </w:pPr>
            <w:r>
              <w:rPr>
                <w:rFonts w:ascii="Arial" w:cs="Arial" w:eastAsia="Arial" w:hAnsi="Arial"/>
                <w:sz w:val="13"/>
                <w:szCs w:val="13"/>
                <w:color w:val="auto"/>
              </w:rPr>
              <w:t>Total current</w:t>
            </w:r>
          </w:p>
        </w:tc>
        <w:tc>
          <w:tcPr>
            <w:tcW w:w="15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147,513</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29,419</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118,531</w:t>
            </w:r>
          </w:p>
        </w:tc>
      </w:tr>
      <w:tr>
        <w:trPr>
          <w:trHeight w:val="168"/>
        </w:trPr>
        <w:tc>
          <w:tcPr>
            <w:tcW w:w="500" w:type="dxa"/>
            <w:vAlign w:val="bottom"/>
          </w:tcPr>
          <w:p>
            <w:pPr>
              <w:ind w:left="20"/>
              <w:spacing w:after="0"/>
              <w:rPr>
                <w:sz w:val="20"/>
                <w:szCs w:val="20"/>
                <w:color w:val="auto"/>
              </w:rPr>
            </w:pPr>
            <w:r>
              <w:rPr>
                <w:rFonts w:ascii="Arial" w:cs="Arial" w:eastAsia="Arial" w:hAnsi="Arial"/>
                <w:sz w:val="13"/>
                <w:szCs w:val="13"/>
                <w:color w:val="auto"/>
                <w:w w:val="84"/>
              </w:rPr>
              <w:t>Deferred:</w:t>
            </w:r>
          </w:p>
        </w:tc>
        <w:tc>
          <w:tcPr>
            <w:tcW w:w="5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72"/>
        </w:trPr>
        <w:tc>
          <w:tcPr>
            <w:tcW w:w="500" w:type="dxa"/>
            <w:vAlign w:val="bottom"/>
            <w:shd w:val="clear" w:color="auto" w:fill="CCEEFF"/>
          </w:tcPr>
          <w:p>
            <w:pPr>
              <w:ind w:left="120"/>
              <w:spacing w:after="0"/>
              <w:rPr>
                <w:sz w:val="20"/>
                <w:szCs w:val="20"/>
                <w:color w:val="auto"/>
              </w:rPr>
            </w:pPr>
            <w:r>
              <w:rPr>
                <w:rFonts w:ascii="Arial" w:cs="Arial" w:eastAsia="Arial" w:hAnsi="Arial"/>
                <w:sz w:val="13"/>
                <w:szCs w:val="13"/>
                <w:color w:val="auto"/>
                <w:w w:val="81"/>
              </w:rPr>
              <w:t>Federal</w:t>
            </w:r>
          </w:p>
        </w:tc>
        <w:tc>
          <w:tcPr>
            <w:tcW w:w="5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58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(52,147)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13,864</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51,387</w:t>
            </w:r>
          </w:p>
        </w:tc>
      </w:tr>
      <w:tr>
        <w:trPr>
          <w:trHeight w:val="168"/>
        </w:trPr>
        <w:tc>
          <w:tcPr>
            <w:tcW w:w="5980" w:type="dxa"/>
            <w:vAlign w:val="bottom"/>
            <w:gridSpan w:val="4"/>
          </w:tcPr>
          <w:p>
            <w:pPr>
              <w:ind w:left="120"/>
              <w:spacing w:after="0"/>
              <w:rPr>
                <w:sz w:val="20"/>
                <w:szCs w:val="20"/>
                <w:color w:val="auto"/>
              </w:rPr>
            </w:pPr>
            <w:r>
              <w:rPr>
                <w:rFonts w:ascii="Arial" w:cs="Arial" w:eastAsia="Arial" w:hAnsi="Arial"/>
                <w:sz w:val="13"/>
                <w:szCs w:val="13"/>
                <w:color w:val="auto"/>
              </w:rPr>
              <w:t>Foreign</w:t>
            </w:r>
          </w:p>
        </w:tc>
        <w:tc>
          <w:tcPr>
            <w:tcW w:w="1580" w:type="dxa"/>
            <w:vAlign w:val="bottom"/>
            <w:gridSpan w:val="3"/>
          </w:tcPr>
          <w:p>
            <w:pPr>
              <w:jc w:val="right"/>
              <w:ind w:right="20"/>
              <w:spacing w:after="0"/>
              <w:rPr>
                <w:sz w:val="20"/>
                <w:szCs w:val="20"/>
                <w:color w:val="auto"/>
              </w:rPr>
            </w:pPr>
            <w:r>
              <w:rPr>
                <w:rFonts w:ascii="Arial" w:cs="Arial" w:eastAsia="Arial" w:hAnsi="Arial"/>
                <w:sz w:val="13"/>
                <w:szCs w:val="13"/>
                <w:color w:val="auto"/>
              </w:rPr>
              <w:t>(16,225)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gridSpan w:val="2"/>
          </w:tcPr>
          <w:p>
            <w:pPr>
              <w:jc w:val="right"/>
              <w:ind w:right="40"/>
              <w:spacing w:after="0"/>
              <w:rPr>
                <w:sz w:val="20"/>
                <w:szCs w:val="20"/>
                <w:color w:val="auto"/>
              </w:rPr>
            </w:pPr>
            <w:r>
              <w:rPr>
                <w:rFonts w:ascii="Arial" w:cs="Arial" w:eastAsia="Arial" w:hAnsi="Arial"/>
                <w:sz w:val="13"/>
                <w:szCs w:val="13"/>
                <w:color w:val="auto"/>
              </w:rPr>
              <w:t>19,622</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(18,596)</w:t>
            </w:r>
          </w:p>
        </w:tc>
      </w:tr>
      <w:tr>
        <w:trPr>
          <w:trHeight w:val="170"/>
        </w:trPr>
        <w:tc>
          <w:tcPr>
            <w:tcW w:w="5800" w:type="dxa"/>
            <w:vAlign w:val="bottom"/>
            <w:gridSpan w:val="3"/>
            <w:shd w:val="clear" w:color="auto" w:fill="CCEEFF"/>
          </w:tcPr>
          <w:p>
            <w:pPr>
              <w:ind w:left="120"/>
              <w:spacing w:after="0"/>
              <w:rPr>
                <w:sz w:val="20"/>
                <w:szCs w:val="20"/>
                <w:color w:val="auto"/>
              </w:rPr>
            </w:pPr>
            <w:r>
              <w:rPr>
                <w:rFonts w:ascii="Arial" w:cs="Arial" w:eastAsia="Arial" w:hAnsi="Arial"/>
                <w:sz w:val="13"/>
                <w:szCs w:val="13"/>
                <w:color w:val="auto"/>
              </w:rPr>
              <w:t>State and other</w:t>
            </w:r>
          </w:p>
        </w:tc>
        <w:tc>
          <w:tcPr>
            <w:tcW w:w="180" w:type="dxa"/>
            <w:vAlign w:val="bottom"/>
            <w:tcBorders>
              <w:bottom w:val="single" w:sz="8" w:color="auto"/>
            </w:tcBorders>
            <w:shd w:val="clear" w:color="auto" w:fill="CCEEFF"/>
          </w:tcPr>
          <w:p>
            <w:pPr>
              <w:spacing w:after="0"/>
              <w:rPr>
                <w:sz w:val="14"/>
                <w:szCs w:val="14"/>
                <w:color w:val="auto"/>
              </w:rPr>
            </w:pPr>
          </w:p>
        </w:tc>
        <w:tc>
          <w:tcPr>
            <w:tcW w:w="158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(18,019)</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5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3,850</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9,687</w:t>
            </w:r>
          </w:p>
        </w:tc>
      </w:tr>
      <w:tr>
        <w:trPr>
          <w:trHeight w:val="160"/>
        </w:trPr>
        <w:tc>
          <w:tcPr>
            <w:tcW w:w="5800" w:type="dxa"/>
            <w:vAlign w:val="bottom"/>
            <w:tcBorders>
              <w:bottom w:val="single" w:sz="8" w:color="CCEEFF"/>
            </w:tcBorders>
            <w:gridSpan w:val="3"/>
          </w:tcPr>
          <w:p>
            <w:pPr>
              <w:ind w:left="280"/>
              <w:spacing w:after="0"/>
              <w:rPr>
                <w:sz w:val="20"/>
                <w:szCs w:val="20"/>
                <w:color w:val="auto"/>
              </w:rPr>
            </w:pPr>
            <w:r>
              <w:rPr>
                <w:rFonts w:ascii="Arial" w:cs="Arial" w:eastAsia="Arial" w:hAnsi="Arial"/>
                <w:sz w:val="13"/>
                <w:szCs w:val="13"/>
                <w:color w:val="auto"/>
              </w:rPr>
              <w:t>Total deferred</w:t>
            </w:r>
          </w:p>
        </w:tc>
        <w:tc>
          <w:tcPr>
            <w:tcW w:w="18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3"/>
                <w:szCs w:val="13"/>
                <w:color w:val="auto"/>
              </w:rPr>
              <w:t>(86,391)</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color w:val="auto"/>
              </w:rPr>
              <w:t>37,336</w:t>
            </w:r>
          </w:p>
        </w:tc>
        <w:tc>
          <w:tcPr>
            <w:tcW w:w="4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42,478</w:t>
            </w:r>
          </w:p>
        </w:tc>
      </w:tr>
      <w:tr>
        <w:trPr>
          <w:trHeight w:val="180"/>
        </w:trPr>
        <w:tc>
          <w:tcPr>
            <w:tcW w:w="500" w:type="dxa"/>
            <w:vAlign w:val="bottom"/>
            <w:tcBorders>
              <w:bottom w:val="single" w:sz="8" w:color="CCEEFF"/>
            </w:tcBorders>
            <w:shd w:val="clear" w:color="auto" w:fill="CCEEFF"/>
          </w:tcPr>
          <w:p>
            <w:pPr>
              <w:spacing w:after="0"/>
              <w:rPr>
                <w:sz w:val="15"/>
                <w:szCs w:val="15"/>
                <w:color w:val="auto"/>
              </w:rPr>
            </w:pPr>
          </w:p>
        </w:tc>
        <w:tc>
          <w:tcPr>
            <w:tcW w:w="5300" w:type="dxa"/>
            <w:vAlign w:val="bottom"/>
            <w:tcBorders>
              <w:bottom w:val="single" w:sz="8" w:color="CCEEFF"/>
            </w:tcBorders>
            <w:gridSpan w:val="2"/>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5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61,122</w:t>
            </w: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5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66,755</w:t>
            </w:r>
          </w:p>
        </w:tc>
        <w:tc>
          <w:tcPr>
            <w:tcW w:w="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161,009</w:t>
            </w:r>
          </w:p>
        </w:tc>
      </w:tr>
      <w:tr>
        <w:trPr>
          <w:trHeight w:val="20"/>
        </w:trPr>
        <w:tc>
          <w:tcPr>
            <w:tcW w:w="50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261"/>
        </w:trPr>
        <w:tc>
          <w:tcPr>
            <w:tcW w:w="500" w:type="dxa"/>
            <w:vAlign w:val="bottom"/>
          </w:tcPr>
          <w:p>
            <w:pPr>
              <w:spacing w:after="0"/>
              <w:rPr>
                <w:sz w:val="22"/>
                <w:szCs w:val="22"/>
                <w:color w:val="auto"/>
              </w:rPr>
            </w:pPr>
          </w:p>
        </w:tc>
        <w:tc>
          <w:tcPr>
            <w:tcW w:w="5480" w:type="dxa"/>
            <w:vAlign w:val="bottom"/>
            <w:gridSpan w:val="3"/>
          </w:tcPr>
          <w:p>
            <w:pPr>
              <w:ind w:left="20"/>
              <w:spacing w:after="0"/>
              <w:rPr>
                <w:sz w:val="20"/>
                <w:szCs w:val="20"/>
                <w:color w:val="auto"/>
              </w:rPr>
            </w:pPr>
            <w:r>
              <w:rPr>
                <w:rFonts w:ascii="Arial" w:cs="Arial" w:eastAsia="Arial" w:hAnsi="Arial"/>
                <w:sz w:val="14"/>
                <w:szCs w:val="14"/>
                <w:color w:val="auto"/>
                <w:w w:val="95"/>
              </w:rPr>
              <w:t>The effective tax rate for 2021 was 66.2% compared to 41.2% for 2020 and 26.1% for 2019.</w:t>
            </w: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97"/>
        </w:trPr>
        <w:tc>
          <w:tcPr>
            <w:tcW w:w="500" w:type="dxa"/>
            <w:vAlign w:val="bottom"/>
          </w:tcPr>
          <w:p>
            <w:pPr>
              <w:spacing w:after="0"/>
              <w:rPr>
                <w:sz w:val="24"/>
                <w:szCs w:val="24"/>
                <w:color w:val="auto"/>
              </w:rPr>
            </w:pPr>
          </w:p>
        </w:tc>
        <w:tc>
          <w:tcPr>
            <w:tcW w:w="7160" w:type="dxa"/>
            <w:vAlign w:val="bottom"/>
            <w:gridSpan w:val="7"/>
          </w:tcPr>
          <w:p>
            <w:pPr>
              <w:ind w:left="20"/>
              <w:spacing w:after="0"/>
              <w:rPr>
                <w:sz w:val="20"/>
                <w:szCs w:val="20"/>
                <w:color w:val="auto"/>
              </w:rPr>
            </w:pPr>
            <w:r>
              <w:rPr>
                <w:rFonts w:ascii="Arial" w:cs="Arial" w:eastAsia="Arial" w:hAnsi="Arial"/>
                <w:sz w:val="14"/>
                <w:szCs w:val="14"/>
                <w:color w:val="auto"/>
                <w:w w:val="99"/>
              </w:rPr>
              <w:t>The following table reconciles the statutory U.S. federal income tax rate to the Company’s effective income tax rate:</w:t>
            </w: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08"/>
        </w:trPr>
        <w:tc>
          <w:tcPr>
            <w:tcW w:w="50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4"/>
          </w:tcPr>
          <w:p>
            <w:pPr>
              <w:ind w:left="300"/>
              <w:spacing w:after="0"/>
              <w:rPr>
                <w:sz w:val="20"/>
                <w:szCs w:val="20"/>
                <w:color w:val="auto"/>
              </w:rPr>
            </w:pPr>
            <w:r>
              <w:rPr>
                <w:rFonts w:ascii="Arial" w:cs="Arial" w:eastAsia="Arial" w:hAnsi="Arial"/>
                <w:sz w:val="11"/>
                <w:szCs w:val="11"/>
                <w:b w:val="1"/>
                <w:bCs w:val="1"/>
                <w:color w:val="auto"/>
              </w:rPr>
              <w:t>Year Ended</w:t>
            </w: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r>
      <w:tr>
        <w:trPr>
          <w:trHeight w:val="142"/>
        </w:trPr>
        <w:tc>
          <w:tcPr>
            <w:tcW w:w="500" w:type="dxa"/>
            <w:vAlign w:val="bottom"/>
            <w:tcBorders>
              <w:bottom w:val="single" w:sz="8" w:color="CCEEFF"/>
            </w:tcBorders>
          </w:tcPr>
          <w:p>
            <w:pPr>
              <w:spacing w:after="0"/>
              <w:rPr>
                <w:sz w:val="12"/>
                <w:szCs w:val="12"/>
                <w:color w:val="auto"/>
              </w:rPr>
            </w:pPr>
          </w:p>
        </w:tc>
        <w:tc>
          <w:tcPr>
            <w:tcW w:w="51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right"/>
              <w:ind w:right="397"/>
              <w:spacing w:after="0"/>
              <w:rPr>
                <w:sz w:val="20"/>
                <w:szCs w:val="20"/>
                <w:color w:val="auto"/>
              </w:rPr>
            </w:pPr>
            <w:r>
              <w:rPr>
                <w:rFonts w:ascii="Arial" w:cs="Arial" w:eastAsia="Arial" w:hAnsi="Arial"/>
                <w:sz w:val="11"/>
                <w:szCs w:val="11"/>
                <w:b w:val="1"/>
                <w:bCs w:val="1"/>
                <w:color w:val="auto"/>
                <w:w w:val="98"/>
              </w:rPr>
              <w:t>December 26, 2021</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gridSpan w:val="2"/>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right"/>
              <w:ind w:right="398"/>
              <w:spacing w:after="0"/>
              <w:rPr>
                <w:sz w:val="20"/>
                <w:szCs w:val="20"/>
                <w:color w:val="auto"/>
              </w:rPr>
            </w:pPr>
            <w:r>
              <w:rPr>
                <w:rFonts w:ascii="Arial" w:cs="Arial" w:eastAsia="Arial" w:hAnsi="Arial"/>
                <w:sz w:val="11"/>
                <w:szCs w:val="11"/>
                <w:b w:val="1"/>
                <w:bCs w:val="1"/>
                <w:color w:val="auto"/>
              </w:rPr>
              <w:t>December 27, 2020</w:t>
            </w:r>
          </w:p>
        </w:tc>
        <w:tc>
          <w:tcPr>
            <w:tcW w:w="100" w:type="dxa"/>
            <w:vAlign w:val="bottom"/>
            <w:tcBorders>
              <w:bottom w:val="single" w:sz="8" w:color="CCEEFF"/>
            </w:tcBorders>
            <w:gridSpan w:val="2"/>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jc w:val="right"/>
              <w:ind w:right="397"/>
              <w:spacing w:after="0"/>
              <w:rPr>
                <w:sz w:val="20"/>
                <w:szCs w:val="20"/>
                <w:color w:val="auto"/>
              </w:rPr>
            </w:pPr>
            <w:r>
              <w:rPr>
                <w:rFonts w:ascii="Arial" w:cs="Arial" w:eastAsia="Arial" w:hAnsi="Arial"/>
                <w:sz w:val="11"/>
                <w:szCs w:val="11"/>
                <w:b w:val="1"/>
                <w:bCs w:val="1"/>
                <w:color w:val="auto"/>
              </w:rPr>
              <w:t>December 29, 2019</w:t>
            </w:r>
          </w:p>
        </w:tc>
      </w:tr>
      <w:tr>
        <w:trPr>
          <w:trHeight w:val="161"/>
        </w:trPr>
        <w:tc>
          <w:tcPr>
            <w:tcW w:w="5980" w:type="dxa"/>
            <w:vAlign w:val="bottom"/>
            <w:gridSpan w:val="4"/>
            <w:shd w:val="clear" w:color="auto" w:fill="CCEEFF"/>
          </w:tcPr>
          <w:p>
            <w:pPr>
              <w:ind w:left="20"/>
              <w:spacing w:after="0"/>
              <w:rPr>
                <w:sz w:val="20"/>
                <w:szCs w:val="20"/>
                <w:color w:val="auto"/>
              </w:rPr>
            </w:pPr>
            <w:r>
              <w:rPr>
                <w:rFonts w:ascii="Arial" w:cs="Arial" w:eastAsia="Arial" w:hAnsi="Arial"/>
                <w:sz w:val="13"/>
                <w:szCs w:val="13"/>
                <w:color w:val="auto"/>
              </w:rPr>
              <w:t>Federal income tax rate</w:t>
            </w: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21.0 %</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21.0 %</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21.0 %</w:t>
            </w:r>
          </w:p>
        </w:tc>
      </w:tr>
      <w:tr>
        <w:trPr>
          <w:trHeight w:val="168"/>
        </w:trPr>
        <w:tc>
          <w:tcPr>
            <w:tcW w:w="5980" w:type="dxa"/>
            <w:vAlign w:val="bottom"/>
            <w:gridSpan w:val="4"/>
          </w:tcPr>
          <w:p>
            <w:pPr>
              <w:ind w:left="20"/>
              <w:spacing w:after="0"/>
              <w:rPr>
                <w:sz w:val="20"/>
                <w:szCs w:val="20"/>
                <w:color w:val="auto"/>
              </w:rPr>
            </w:pPr>
            <w:r>
              <w:rPr>
                <w:rFonts w:ascii="Arial" w:cs="Arial" w:eastAsia="Arial" w:hAnsi="Arial"/>
                <w:sz w:val="13"/>
                <w:szCs w:val="13"/>
                <w:color w:val="auto"/>
              </w:rPr>
              <w:t>State tax rate, net</w:t>
            </w:r>
          </w:p>
        </w:tc>
        <w:tc>
          <w:tcPr>
            <w:tcW w:w="1460" w:type="dxa"/>
            <w:vAlign w:val="bottom"/>
          </w:tcPr>
          <w:p>
            <w:pPr>
              <w:jc w:val="right"/>
              <w:ind w:right="57"/>
              <w:spacing w:after="0"/>
              <w:rPr>
                <w:sz w:val="20"/>
                <w:szCs w:val="20"/>
                <w:color w:val="auto"/>
              </w:rPr>
            </w:pPr>
            <w:r>
              <w:rPr>
                <w:rFonts w:ascii="Arial" w:cs="Arial" w:eastAsia="Arial" w:hAnsi="Arial"/>
                <w:sz w:val="13"/>
                <w:szCs w:val="13"/>
                <w:color w:val="auto"/>
              </w:rPr>
              <w:t>(4.5)</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tcPr>
          <w:p>
            <w:pPr>
              <w:jc w:val="right"/>
              <w:ind w:right="98"/>
              <w:spacing w:after="0"/>
              <w:rPr>
                <w:sz w:val="20"/>
                <w:szCs w:val="20"/>
                <w:color w:val="auto"/>
              </w:rPr>
            </w:pPr>
            <w:r>
              <w:rPr>
                <w:rFonts w:ascii="Arial" w:cs="Arial" w:eastAsia="Arial" w:hAnsi="Arial"/>
                <w:sz w:val="13"/>
                <w:szCs w:val="13"/>
                <w:color w:val="auto"/>
              </w:rPr>
              <w:t>6.7</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tcPr>
          <w:p>
            <w:pPr>
              <w:jc w:val="right"/>
              <w:ind w:right="97"/>
              <w:spacing w:after="0"/>
              <w:rPr>
                <w:sz w:val="20"/>
                <w:szCs w:val="20"/>
                <w:color w:val="auto"/>
              </w:rPr>
            </w:pPr>
            <w:r>
              <w:rPr>
                <w:rFonts w:ascii="Arial" w:cs="Arial" w:eastAsia="Arial" w:hAnsi="Arial"/>
                <w:sz w:val="13"/>
                <w:szCs w:val="13"/>
                <w:color w:val="auto"/>
              </w:rPr>
              <w:t>3.0</w:t>
            </w:r>
          </w:p>
        </w:tc>
      </w:tr>
      <w:tr>
        <w:trPr>
          <w:trHeight w:val="172"/>
        </w:trPr>
        <w:tc>
          <w:tcPr>
            <w:tcW w:w="5980" w:type="dxa"/>
            <w:vAlign w:val="bottom"/>
            <w:gridSpan w:val="4"/>
            <w:shd w:val="clear" w:color="auto" w:fill="CCEEFF"/>
          </w:tcPr>
          <w:p>
            <w:pPr>
              <w:ind w:left="20"/>
              <w:spacing w:after="0"/>
              <w:rPr>
                <w:sz w:val="20"/>
                <w:szCs w:val="20"/>
                <w:color w:val="auto"/>
              </w:rPr>
            </w:pPr>
            <w:r>
              <w:rPr>
                <w:rFonts w:ascii="Arial" w:cs="Arial" w:eastAsia="Arial" w:hAnsi="Arial"/>
                <w:sz w:val="13"/>
                <w:szCs w:val="13"/>
                <w:color w:val="auto"/>
              </w:rPr>
              <w:t>Global intangible low-taxed income</w:t>
            </w:r>
          </w:p>
        </w:tc>
        <w:tc>
          <w:tcPr>
            <w:tcW w:w="1680" w:type="dxa"/>
            <w:vAlign w:val="bottom"/>
            <w:gridSpan w:val="4"/>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150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(7.3)</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1.5</w:t>
            </w:r>
          </w:p>
        </w:tc>
      </w:tr>
      <w:tr>
        <w:trPr>
          <w:trHeight w:val="168"/>
        </w:trPr>
        <w:tc>
          <w:tcPr>
            <w:tcW w:w="5980" w:type="dxa"/>
            <w:vAlign w:val="bottom"/>
            <w:gridSpan w:val="4"/>
          </w:tcPr>
          <w:p>
            <w:pPr>
              <w:ind w:left="20"/>
              <w:spacing w:after="0"/>
              <w:rPr>
                <w:sz w:val="20"/>
                <w:szCs w:val="20"/>
                <w:color w:val="auto"/>
              </w:rPr>
            </w:pPr>
            <w:r>
              <w:rPr>
                <w:rFonts w:ascii="Arial" w:cs="Arial" w:eastAsia="Arial" w:hAnsi="Arial"/>
                <w:sz w:val="13"/>
                <w:szCs w:val="13"/>
                <w:color w:val="auto"/>
              </w:rPr>
              <w:t>DOJ agreement</w:t>
            </w:r>
          </w:p>
        </w:tc>
        <w:tc>
          <w:tcPr>
            <w:tcW w:w="1680" w:type="dxa"/>
            <w:vAlign w:val="bottom"/>
            <w:gridSpan w:val="4"/>
          </w:tcPr>
          <w:p>
            <w:pPr>
              <w:jc w:val="right"/>
              <w:ind w:right="3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500" w:type="dxa"/>
            <w:vAlign w:val="bottom"/>
          </w:tcPr>
          <w:p>
            <w:pPr>
              <w:jc w:val="right"/>
              <w:ind w:right="98"/>
              <w:spacing w:after="0"/>
              <w:rPr>
                <w:sz w:val="20"/>
                <w:szCs w:val="20"/>
                <w:color w:val="auto"/>
              </w:rPr>
            </w:pPr>
            <w:r>
              <w:rPr>
                <w:rFonts w:ascii="Arial" w:cs="Arial" w:eastAsia="Arial" w:hAnsi="Arial"/>
                <w:sz w:val="13"/>
                <w:szCs w:val="13"/>
                <w:color w:val="auto"/>
              </w:rPr>
              <w:t>14.3</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tcPr>
          <w:p>
            <w:pPr>
              <w:jc w:val="right"/>
              <w:ind w:right="97"/>
              <w:spacing w:after="0"/>
              <w:rPr>
                <w:sz w:val="20"/>
                <w:szCs w:val="20"/>
                <w:color w:val="auto"/>
              </w:rPr>
            </w:pPr>
            <w:r>
              <w:rPr>
                <w:rFonts w:ascii="Arial" w:cs="Arial" w:eastAsia="Arial" w:hAnsi="Arial"/>
                <w:sz w:val="13"/>
                <w:szCs w:val="13"/>
                <w:color w:val="auto"/>
              </w:rPr>
              <w:t>—</w:t>
            </w:r>
          </w:p>
        </w:tc>
      </w:tr>
      <w:tr>
        <w:trPr>
          <w:trHeight w:val="172"/>
        </w:trPr>
        <w:tc>
          <w:tcPr>
            <w:tcW w:w="5980" w:type="dxa"/>
            <w:vAlign w:val="bottom"/>
            <w:gridSpan w:val="4"/>
            <w:shd w:val="clear" w:color="auto" w:fill="CCEEFF"/>
          </w:tcPr>
          <w:p>
            <w:pPr>
              <w:ind w:left="20"/>
              <w:spacing w:after="0"/>
              <w:rPr>
                <w:sz w:val="20"/>
                <w:szCs w:val="20"/>
                <w:color w:val="auto"/>
              </w:rPr>
            </w:pPr>
            <w:r>
              <w:rPr>
                <w:rFonts w:ascii="Arial" w:cs="Arial" w:eastAsia="Arial" w:hAnsi="Arial"/>
                <w:sz w:val="13"/>
                <w:szCs w:val="13"/>
                <w:color w:val="auto"/>
              </w:rPr>
              <w:t>Intercompany financing</w:t>
            </w:r>
          </w:p>
        </w:tc>
        <w:tc>
          <w:tcPr>
            <w:tcW w:w="14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(14.1)</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0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(9.5)</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(1.6)</w:t>
            </w:r>
          </w:p>
        </w:tc>
      </w:tr>
      <w:tr>
        <w:trPr>
          <w:trHeight w:val="168"/>
        </w:trPr>
        <w:tc>
          <w:tcPr>
            <w:tcW w:w="5980" w:type="dxa"/>
            <w:vAlign w:val="bottom"/>
            <w:gridSpan w:val="4"/>
          </w:tcPr>
          <w:p>
            <w:pPr>
              <w:ind w:left="20"/>
              <w:spacing w:after="0"/>
              <w:rPr>
                <w:sz w:val="20"/>
                <w:szCs w:val="20"/>
                <w:color w:val="auto"/>
              </w:rPr>
            </w:pPr>
            <w:r>
              <w:rPr>
                <w:rFonts w:ascii="Arial" w:cs="Arial" w:eastAsia="Arial" w:hAnsi="Arial"/>
                <w:sz w:val="13"/>
                <w:szCs w:val="13"/>
                <w:color w:val="auto"/>
              </w:rPr>
              <w:t>Permanent items</w:t>
            </w:r>
          </w:p>
        </w:tc>
        <w:tc>
          <w:tcPr>
            <w:tcW w:w="1460" w:type="dxa"/>
            <w:vAlign w:val="bottom"/>
          </w:tcPr>
          <w:p>
            <w:pPr>
              <w:jc w:val="right"/>
              <w:ind w:right="97"/>
              <w:spacing w:after="0"/>
              <w:rPr>
                <w:sz w:val="20"/>
                <w:szCs w:val="20"/>
                <w:color w:val="auto"/>
              </w:rPr>
            </w:pPr>
            <w:r>
              <w:rPr>
                <w:rFonts w:ascii="Arial" w:cs="Arial" w:eastAsia="Arial" w:hAnsi="Arial"/>
                <w:sz w:val="13"/>
                <w:szCs w:val="13"/>
                <w:color w:val="auto"/>
              </w:rPr>
              <w:t>1.7</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tcPr>
          <w:p>
            <w:pPr>
              <w:jc w:val="right"/>
              <w:ind w:right="98"/>
              <w:spacing w:after="0"/>
              <w:rPr>
                <w:sz w:val="20"/>
                <w:szCs w:val="20"/>
                <w:color w:val="auto"/>
              </w:rPr>
            </w:pPr>
            <w:r>
              <w:rPr>
                <w:rFonts w:ascii="Arial" w:cs="Arial" w:eastAsia="Arial" w:hAnsi="Arial"/>
                <w:sz w:val="13"/>
                <w:szCs w:val="13"/>
                <w:color w:val="auto"/>
              </w:rPr>
              <w:t>1.2</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tcPr>
          <w:p>
            <w:pPr>
              <w:jc w:val="right"/>
              <w:ind w:right="57"/>
              <w:spacing w:after="0"/>
              <w:rPr>
                <w:sz w:val="20"/>
                <w:szCs w:val="20"/>
                <w:color w:val="auto"/>
              </w:rPr>
            </w:pPr>
            <w:r>
              <w:rPr>
                <w:rFonts w:ascii="Arial" w:cs="Arial" w:eastAsia="Arial" w:hAnsi="Arial"/>
                <w:sz w:val="13"/>
                <w:szCs w:val="13"/>
                <w:color w:val="auto"/>
              </w:rPr>
              <w:t>(1.6)</w:t>
            </w:r>
          </w:p>
        </w:tc>
      </w:tr>
      <w:tr>
        <w:trPr>
          <w:trHeight w:val="172"/>
        </w:trPr>
        <w:tc>
          <w:tcPr>
            <w:tcW w:w="5980" w:type="dxa"/>
            <w:vAlign w:val="bottom"/>
            <w:gridSpan w:val="4"/>
            <w:shd w:val="clear" w:color="auto" w:fill="CCEEFF"/>
          </w:tcPr>
          <w:p>
            <w:pPr>
              <w:ind w:left="20"/>
              <w:spacing w:after="0"/>
              <w:rPr>
                <w:sz w:val="20"/>
                <w:szCs w:val="20"/>
                <w:color w:val="auto"/>
              </w:rPr>
            </w:pPr>
            <w:r>
              <w:rPr>
                <w:rFonts w:ascii="Arial" w:cs="Arial" w:eastAsia="Arial" w:hAnsi="Arial"/>
                <w:sz w:val="13"/>
                <w:szCs w:val="13"/>
                <w:color w:val="auto"/>
              </w:rPr>
              <w:t>Difference in U.S. statutory tax rate and foreign country effective tax rate</w:t>
            </w:r>
          </w:p>
        </w:tc>
        <w:tc>
          <w:tcPr>
            <w:tcW w:w="14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22.3</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00" w:type="dxa"/>
            <w:vAlign w:val="bottom"/>
            <w:shd w:val="clear" w:color="auto" w:fill="CCEEFF"/>
          </w:tcPr>
          <w:p>
            <w:pPr>
              <w:jc w:val="right"/>
              <w:ind w:right="98"/>
              <w:spacing w:after="0"/>
              <w:rPr>
                <w:sz w:val="20"/>
                <w:szCs w:val="20"/>
                <w:color w:val="auto"/>
              </w:rPr>
            </w:pPr>
            <w:r>
              <w:rPr>
                <w:rFonts w:ascii="Arial" w:cs="Arial" w:eastAsia="Arial" w:hAnsi="Arial"/>
                <w:sz w:val="13"/>
                <w:szCs w:val="13"/>
                <w:color w:val="auto"/>
              </w:rPr>
              <w:t>5.4</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2.1</w:t>
            </w:r>
          </w:p>
        </w:tc>
      </w:tr>
      <w:tr>
        <w:trPr>
          <w:trHeight w:val="168"/>
        </w:trPr>
        <w:tc>
          <w:tcPr>
            <w:tcW w:w="5980" w:type="dxa"/>
            <w:vAlign w:val="bottom"/>
            <w:gridSpan w:val="4"/>
          </w:tcPr>
          <w:p>
            <w:pPr>
              <w:ind w:left="20"/>
              <w:spacing w:after="0"/>
              <w:rPr>
                <w:sz w:val="20"/>
                <w:szCs w:val="20"/>
                <w:color w:val="auto"/>
              </w:rPr>
            </w:pPr>
            <w:r>
              <w:rPr>
                <w:rFonts w:ascii="Arial" w:cs="Arial" w:eastAsia="Arial" w:hAnsi="Arial"/>
                <w:sz w:val="13"/>
                <w:szCs w:val="13"/>
                <w:color w:val="auto"/>
              </w:rPr>
              <w:t>Rate change</w:t>
            </w:r>
          </w:p>
        </w:tc>
        <w:tc>
          <w:tcPr>
            <w:tcW w:w="1460" w:type="dxa"/>
            <w:vAlign w:val="bottom"/>
          </w:tcPr>
          <w:p>
            <w:pPr>
              <w:jc w:val="right"/>
              <w:ind w:right="97"/>
              <w:spacing w:after="0"/>
              <w:rPr>
                <w:sz w:val="20"/>
                <w:szCs w:val="20"/>
                <w:color w:val="auto"/>
              </w:rPr>
            </w:pPr>
            <w:r>
              <w:rPr>
                <w:rFonts w:ascii="Arial" w:cs="Arial" w:eastAsia="Arial" w:hAnsi="Arial"/>
                <w:sz w:val="13"/>
                <w:szCs w:val="13"/>
                <w:color w:val="auto"/>
              </w:rPr>
              <w:t>26.6</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tcPr>
          <w:p>
            <w:pPr>
              <w:jc w:val="right"/>
              <w:ind w:right="98"/>
              <w:spacing w:after="0"/>
              <w:rPr>
                <w:sz w:val="20"/>
                <w:szCs w:val="20"/>
                <w:color w:val="auto"/>
              </w:rPr>
            </w:pPr>
            <w:r>
              <w:rPr>
                <w:rFonts w:ascii="Arial" w:cs="Arial" w:eastAsia="Arial" w:hAnsi="Arial"/>
                <w:sz w:val="13"/>
                <w:szCs w:val="13"/>
                <w:color w:val="auto"/>
              </w:rPr>
              <w:t>5.2</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tcPr>
          <w:p>
            <w:pPr>
              <w:jc w:val="right"/>
              <w:ind w:right="57"/>
              <w:spacing w:after="0"/>
              <w:rPr>
                <w:sz w:val="20"/>
                <w:szCs w:val="20"/>
                <w:color w:val="auto"/>
              </w:rPr>
            </w:pPr>
            <w:r>
              <w:rPr>
                <w:rFonts w:ascii="Arial" w:cs="Arial" w:eastAsia="Arial" w:hAnsi="Arial"/>
                <w:sz w:val="13"/>
                <w:szCs w:val="13"/>
                <w:color w:val="auto"/>
              </w:rPr>
              <w:t>(0.1)</w:t>
            </w:r>
          </w:p>
        </w:tc>
      </w:tr>
      <w:tr>
        <w:trPr>
          <w:trHeight w:val="172"/>
        </w:trPr>
        <w:tc>
          <w:tcPr>
            <w:tcW w:w="5980" w:type="dxa"/>
            <w:vAlign w:val="bottom"/>
            <w:gridSpan w:val="4"/>
            <w:shd w:val="clear" w:color="auto" w:fill="CCEEFF"/>
          </w:tcPr>
          <w:p>
            <w:pPr>
              <w:ind w:left="20"/>
              <w:spacing w:after="0"/>
              <w:rPr>
                <w:sz w:val="20"/>
                <w:szCs w:val="20"/>
                <w:color w:val="auto"/>
              </w:rPr>
            </w:pPr>
            <w:r>
              <w:rPr>
                <w:rFonts w:ascii="Arial" w:cs="Arial" w:eastAsia="Arial" w:hAnsi="Arial"/>
                <w:sz w:val="13"/>
                <w:szCs w:val="13"/>
                <w:color w:val="auto"/>
              </w:rPr>
              <w:t>Foreign currency translation</w:t>
            </w:r>
          </w:p>
        </w:tc>
        <w:tc>
          <w:tcPr>
            <w:tcW w:w="14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10.6</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00" w:type="dxa"/>
            <w:vAlign w:val="bottom"/>
            <w:shd w:val="clear" w:color="auto" w:fill="CCEEFF"/>
          </w:tcPr>
          <w:p>
            <w:pPr>
              <w:jc w:val="right"/>
              <w:ind w:right="98"/>
              <w:spacing w:after="0"/>
              <w:rPr>
                <w:sz w:val="20"/>
                <w:szCs w:val="20"/>
                <w:color w:val="auto"/>
              </w:rPr>
            </w:pPr>
            <w:r>
              <w:rPr>
                <w:rFonts w:ascii="Arial" w:cs="Arial" w:eastAsia="Arial" w:hAnsi="Arial"/>
                <w:sz w:val="13"/>
                <w:szCs w:val="13"/>
                <w:color w:val="auto"/>
              </w:rPr>
              <w:t>3.0</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(0.6)</w:t>
            </w:r>
          </w:p>
        </w:tc>
      </w:tr>
      <w:tr>
        <w:trPr>
          <w:trHeight w:val="168"/>
        </w:trPr>
        <w:tc>
          <w:tcPr>
            <w:tcW w:w="5980" w:type="dxa"/>
            <w:vAlign w:val="bottom"/>
            <w:gridSpan w:val="4"/>
          </w:tcPr>
          <w:p>
            <w:pPr>
              <w:ind w:left="20"/>
              <w:spacing w:after="0"/>
              <w:rPr>
                <w:sz w:val="20"/>
                <w:szCs w:val="20"/>
                <w:color w:val="auto"/>
              </w:rPr>
            </w:pPr>
            <w:r>
              <w:rPr>
                <w:rFonts w:ascii="Arial" w:cs="Arial" w:eastAsia="Arial" w:hAnsi="Arial"/>
                <w:sz w:val="13"/>
                <w:szCs w:val="13"/>
                <w:color w:val="auto"/>
              </w:rPr>
              <w:t>Tax credits</w:t>
            </w:r>
          </w:p>
        </w:tc>
        <w:tc>
          <w:tcPr>
            <w:tcW w:w="1460" w:type="dxa"/>
            <w:vAlign w:val="bottom"/>
          </w:tcPr>
          <w:p>
            <w:pPr>
              <w:jc w:val="right"/>
              <w:ind w:right="57"/>
              <w:spacing w:after="0"/>
              <w:rPr>
                <w:sz w:val="20"/>
                <w:szCs w:val="20"/>
                <w:color w:val="auto"/>
              </w:rPr>
            </w:pPr>
            <w:r>
              <w:rPr>
                <w:rFonts w:ascii="Arial" w:cs="Arial" w:eastAsia="Arial" w:hAnsi="Arial"/>
                <w:sz w:val="13"/>
                <w:szCs w:val="13"/>
                <w:color w:val="auto"/>
              </w:rPr>
              <w:t>(4.1)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tcPr>
          <w:p>
            <w:pPr>
              <w:jc w:val="right"/>
              <w:ind w:right="58"/>
              <w:spacing w:after="0"/>
              <w:rPr>
                <w:sz w:val="20"/>
                <w:szCs w:val="20"/>
                <w:color w:val="auto"/>
              </w:rPr>
            </w:pPr>
            <w:r>
              <w:rPr>
                <w:rFonts w:ascii="Arial" w:cs="Arial" w:eastAsia="Arial" w:hAnsi="Arial"/>
                <w:sz w:val="13"/>
                <w:szCs w:val="13"/>
                <w:color w:val="auto"/>
              </w:rPr>
              <w:t>(1.4)</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tcPr>
          <w:p>
            <w:pPr>
              <w:jc w:val="right"/>
              <w:ind w:right="57"/>
              <w:spacing w:after="0"/>
              <w:rPr>
                <w:sz w:val="20"/>
                <w:szCs w:val="20"/>
                <w:color w:val="auto"/>
              </w:rPr>
            </w:pPr>
            <w:r>
              <w:rPr>
                <w:rFonts w:ascii="Arial" w:cs="Arial" w:eastAsia="Arial" w:hAnsi="Arial"/>
                <w:sz w:val="13"/>
                <w:szCs w:val="13"/>
                <w:color w:val="auto"/>
              </w:rPr>
              <w:t>(0.7)</w:t>
            </w:r>
          </w:p>
        </w:tc>
      </w:tr>
      <w:tr>
        <w:trPr>
          <w:trHeight w:val="172"/>
        </w:trPr>
        <w:tc>
          <w:tcPr>
            <w:tcW w:w="5980" w:type="dxa"/>
            <w:vAlign w:val="bottom"/>
            <w:gridSpan w:val="4"/>
            <w:shd w:val="clear" w:color="auto" w:fill="CCEEFF"/>
          </w:tcPr>
          <w:p>
            <w:pPr>
              <w:ind w:left="20"/>
              <w:spacing w:after="0"/>
              <w:rPr>
                <w:sz w:val="20"/>
                <w:szCs w:val="20"/>
                <w:color w:val="auto"/>
              </w:rPr>
            </w:pPr>
            <w:r>
              <w:rPr>
                <w:rFonts w:ascii="Arial" w:cs="Arial" w:eastAsia="Arial" w:hAnsi="Arial"/>
                <w:sz w:val="13"/>
                <w:szCs w:val="13"/>
                <w:color w:val="auto"/>
              </w:rPr>
              <w:t>Change in reserve for unrecognized tax benefits</w:t>
            </w:r>
          </w:p>
        </w:tc>
        <w:tc>
          <w:tcPr>
            <w:tcW w:w="14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7.3</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00" w:type="dxa"/>
            <w:vAlign w:val="bottom"/>
            <w:shd w:val="clear" w:color="auto" w:fill="CCEEFF"/>
          </w:tcPr>
          <w:p>
            <w:pPr>
              <w:jc w:val="right"/>
              <w:ind w:right="98"/>
              <w:spacing w:after="0"/>
              <w:rPr>
                <w:sz w:val="20"/>
                <w:szCs w:val="20"/>
                <w:color w:val="auto"/>
              </w:rPr>
            </w:pPr>
            <w:r>
              <w:rPr>
                <w:rFonts w:ascii="Arial" w:cs="Arial" w:eastAsia="Arial" w:hAnsi="Arial"/>
                <w:sz w:val="13"/>
                <w:szCs w:val="13"/>
                <w:color w:val="auto"/>
              </w:rPr>
              <w:t>0.3</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2.7</w:t>
            </w:r>
          </w:p>
        </w:tc>
      </w:tr>
      <w:tr>
        <w:trPr>
          <w:trHeight w:val="168"/>
        </w:trPr>
        <w:tc>
          <w:tcPr>
            <w:tcW w:w="5980" w:type="dxa"/>
            <w:vAlign w:val="bottom"/>
            <w:gridSpan w:val="4"/>
          </w:tcPr>
          <w:p>
            <w:pPr>
              <w:ind w:left="20"/>
              <w:spacing w:after="0"/>
              <w:rPr>
                <w:sz w:val="20"/>
                <w:szCs w:val="20"/>
                <w:color w:val="auto"/>
              </w:rPr>
            </w:pPr>
            <w:r>
              <w:rPr>
                <w:rFonts w:ascii="Arial" w:cs="Arial" w:eastAsia="Arial" w:hAnsi="Arial"/>
                <w:sz w:val="13"/>
                <w:szCs w:val="13"/>
                <w:color w:val="auto"/>
              </w:rPr>
              <w:t>Change in valuation allowance</w:t>
            </w:r>
          </w:p>
        </w:tc>
        <w:tc>
          <w:tcPr>
            <w:tcW w:w="1460" w:type="dxa"/>
            <w:vAlign w:val="bottom"/>
          </w:tcPr>
          <w:p>
            <w:pPr>
              <w:jc w:val="right"/>
              <w:ind w:right="57"/>
              <w:spacing w:after="0"/>
              <w:rPr>
                <w:sz w:val="20"/>
                <w:szCs w:val="20"/>
                <w:color w:val="auto"/>
              </w:rPr>
            </w:pPr>
            <w:r>
              <w:rPr>
                <w:rFonts w:ascii="Arial" w:cs="Arial" w:eastAsia="Arial" w:hAnsi="Arial"/>
                <w:sz w:val="13"/>
                <w:szCs w:val="13"/>
                <w:color w:val="auto"/>
              </w:rPr>
              <w:t>(0.2)</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tcPr>
          <w:p>
            <w:pPr>
              <w:jc w:val="right"/>
              <w:ind w:right="98"/>
              <w:spacing w:after="0"/>
              <w:rPr>
                <w:sz w:val="20"/>
                <w:szCs w:val="20"/>
                <w:color w:val="auto"/>
              </w:rPr>
            </w:pPr>
            <w:r>
              <w:rPr>
                <w:rFonts w:ascii="Arial" w:cs="Arial" w:eastAsia="Arial" w:hAnsi="Arial"/>
                <w:sz w:val="13"/>
                <w:szCs w:val="13"/>
                <w:color w:val="auto"/>
              </w:rPr>
              <w:t>1.2</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tcPr>
          <w:p>
            <w:pPr>
              <w:jc w:val="right"/>
              <w:ind w:right="97"/>
              <w:spacing w:after="0"/>
              <w:rPr>
                <w:sz w:val="20"/>
                <w:szCs w:val="20"/>
                <w:color w:val="auto"/>
              </w:rPr>
            </w:pPr>
            <w:r>
              <w:rPr>
                <w:rFonts w:ascii="Arial" w:cs="Arial" w:eastAsia="Arial" w:hAnsi="Arial"/>
                <w:sz w:val="13"/>
                <w:szCs w:val="13"/>
                <w:color w:val="auto"/>
              </w:rPr>
              <w:t>0.1</w:t>
            </w:r>
          </w:p>
        </w:tc>
      </w:tr>
      <w:tr>
        <w:trPr>
          <w:trHeight w:val="170"/>
        </w:trPr>
        <w:tc>
          <w:tcPr>
            <w:tcW w:w="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w:t>
            </w:r>
          </w:p>
        </w:tc>
        <w:tc>
          <w:tcPr>
            <w:tcW w:w="512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4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(0.4)</w:t>
            </w:r>
          </w:p>
        </w:tc>
        <w:tc>
          <w:tcPr>
            <w:tcW w:w="10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3"/>
                <w:szCs w:val="13"/>
                <w:color w:val="auto"/>
              </w:rPr>
              <w:t>1.1</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52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0.3</w:t>
            </w:r>
          </w:p>
        </w:tc>
      </w:tr>
      <w:tr>
        <w:trPr>
          <w:trHeight w:val="163"/>
        </w:trPr>
        <w:tc>
          <w:tcPr>
            <w:tcW w:w="500" w:type="dxa"/>
            <w:vAlign w:val="bottom"/>
          </w:tcPr>
          <w:p>
            <w:pPr>
              <w:ind w:left="120"/>
              <w:spacing w:after="0"/>
              <w:rPr>
                <w:sz w:val="20"/>
                <w:szCs w:val="20"/>
                <w:color w:val="auto"/>
              </w:rPr>
            </w:pPr>
            <w:r>
              <w:rPr>
                <w:rFonts w:ascii="Arial" w:cs="Arial" w:eastAsia="Arial" w:hAnsi="Arial"/>
                <w:sz w:val="13"/>
                <w:szCs w:val="13"/>
                <w:color w:val="auto"/>
              </w:rPr>
              <w:t>Total</w:t>
            </w:r>
          </w:p>
        </w:tc>
        <w:tc>
          <w:tcPr>
            <w:tcW w:w="5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66.2 %</w:t>
            </w:r>
          </w:p>
        </w:tc>
        <w:tc>
          <w:tcPr>
            <w:tcW w:w="1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41.2 %</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26.1 %</w:t>
            </w:r>
          </w:p>
        </w:tc>
      </w:tr>
      <w:tr>
        <w:trPr>
          <w:trHeight w:val="20"/>
        </w:trPr>
        <w:tc>
          <w:tcPr>
            <w:tcW w:w="50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jc w:val="both"/>
        <w:ind w:firstLine="509"/>
        <w:spacing w:after="0" w:line="321" w:lineRule="auto"/>
        <w:rPr>
          <w:sz w:val="20"/>
          <w:szCs w:val="20"/>
          <w:color w:val="auto"/>
        </w:rPr>
      </w:pPr>
      <w:r>
        <w:rPr>
          <w:rFonts w:ascii="Arial" w:cs="Arial" w:eastAsia="Arial" w:hAnsi="Arial"/>
          <w:sz w:val="13"/>
          <w:szCs w:val="13"/>
          <w:color w:val="auto"/>
        </w:rPr>
        <w:t>Included in the change in reserve for unrecognized tax benefits is an increase of 7.0% in the effective tax rate related to interest deductions in the U.K. for tax years 2017 through 2021. The amount was recorded during the year ended December 26, 2021. Included in the change in reserve for unrecognized tax benefits is an increase of 2.6% in the effective tax rate related to a</w:t>
      </w:r>
    </w:p>
    <w:p>
      <w:pPr>
        <w:spacing w:after="0" w:line="67" w:lineRule="exact"/>
        <w:rPr>
          <w:sz w:val="20"/>
          <w:szCs w:val="20"/>
          <w:color w:val="auto"/>
        </w:rPr>
      </w:pPr>
    </w:p>
    <w:p>
      <w:pPr>
        <w:spacing w:after="0"/>
        <w:rPr>
          <w:sz w:val="20"/>
          <w:szCs w:val="20"/>
          <w:color w:val="auto"/>
        </w:rPr>
      </w:pPr>
      <w:r>
        <w:rPr>
          <w:rFonts w:ascii="Arial" w:cs="Arial" w:eastAsia="Arial" w:hAnsi="Arial"/>
          <w:sz w:val="14"/>
          <w:szCs w:val="14"/>
          <w:color w:val="auto"/>
        </w:rPr>
        <w:t>specific transaction undertaken by a Mexico subsidiary of the Company during tax year 2011. The amount was recorded and paid during the year ended December 29, 2019.</w:t>
      </w:r>
    </w:p>
    <w:p>
      <w:pPr>
        <w:spacing w:after="0" w:line="13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Significant components of the Company’s deferred tax liabilities and assets are as follows: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766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2"/>
          </w:tcPr>
          <w:p>
            <w:pPr>
              <w:ind w:left="160"/>
              <w:spacing w:after="0"/>
              <w:rPr>
                <w:sz w:val="20"/>
                <w:szCs w:val="20"/>
                <w:color w:val="auto"/>
              </w:rPr>
            </w:pPr>
            <w:r>
              <w:rPr>
                <w:rFonts w:ascii="Arial" w:cs="Arial" w:eastAsia="Arial" w:hAnsi="Arial"/>
                <w:sz w:val="11"/>
                <w:szCs w:val="11"/>
                <w:b w:val="1"/>
                <w:bCs w:val="1"/>
                <w:color w:val="auto"/>
              </w:rPr>
              <w:t>December 26, 2021</w:t>
            </w:r>
          </w:p>
        </w:tc>
        <w:tc>
          <w:tcPr>
            <w:tcW w:w="34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ind w:right="357"/>
              <w:spacing w:after="0"/>
              <w:rPr>
                <w:sz w:val="20"/>
                <w:szCs w:val="20"/>
                <w:color w:val="auto"/>
              </w:rPr>
            </w:pPr>
            <w:r>
              <w:rPr>
                <w:rFonts w:ascii="Arial" w:cs="Arial" w:eastAsia="Arial" w:hAnsi="Arial"/>
                <w:sz w:val="11"/>
                <w:szCs w:val="11"/>
                <w:b w:val="1"/>
                <w:bCs w:val="1"/>
                <w:color w:val="auto"/>
                <w:w w:val="98"/>
              </w:rPr>
              <w:t>December 27, 2020</w:t>
            </w:r>
          </w:p>
        </w:tc>
      </w:tr>
      <w:tr>
        <w:trPr>
          <w:trHeight w:val="127"/>
        </w:trPr>
        <w:tc>
          <w:tcPr>
            <w:tcW w:w="7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940" w:type="dxa"/>
            <w:vAlign w:val="bottom"/>
            <w:gridSpan w:val="3"/>
          </w:tcPr>
          <w:p>
            <w:pPr>
              <w:jc w:val="right"/>
              <w:ind w:right="16"/>
              <w:spacing w:after="0"/>
              <w:rPr>
                <w:sz w:val="20"/>
                <w:szCs w:val="20"/>
                <w:color w:val="auto"/>
              </w:rPr>
            </w:pPr>
            <w:r>
              <w:rPr>
                <w:rFonts w:ascii="Arial" w:cs="Arial" w:eastAsia="Arial" w:hAnsi="Arial"/>
                <w:sz w:val="10"/>
                <w:szCs w:val="10"/>
                <w:b w:val="1"/>
                <w:bCs w:val="1"/>
                <w:color w:val="auto"/>
              </w:rPr>
              <w:t>(In thousands)</w:t>
            </w:r>
          </w:p>
        </w:tc>
        <w:tc>
          <w:tcPr>
            <w:tcW w:w="1420" w:type="dxa"/>
            <w:vAlign w:val="bottom"/>
          </w:tcPr>
          <w:p>
            <w:pPr>
              <w:spacing w:after="0"/>
              <w:rPr>
                <w:sz w:val="11"/>
                <w:szCs w:val="11"/>
                <w:color w:val="auto"/>
              </w:rPr>
            </w:pPr>
          </w:p>
        </w:tc>
      </w:tr>
      <w:tr>
        <w:trPr>
          <w:trHeight w:val="176"/>
        </w:trPr>
        <w:tc>
          <w:tcPr>
            <w:tcW w:w="7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Deferred tax liabilities:</w:t>
            </w:r>
          </w:p>
        </w:tc>
        <w:tc>
          <w:tcPr>
            <w:tcW w:w="26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r>
      <w:tr>
        <w:trPr>
          <w:trHeight w:val="168"/>
        </w:trPr>
        <w:tc>
          <w:tcPr>
            <w:tcW w:w="7660" w:type="dxa"/>
            <w:vAlign w:val="bottom"/>
          </w:tcPr>
          <w:p>
            <w:pPr>
              <w:ind w:left="120"/>
              <w:spacing w:after="0"/>
              <w:rPr>
                <w:sz w:val="20"/>
                <w:szCs w:val="20"/>
                <w:color w:val="auto"/>
              </w:rPr>
            </w:pPr>
            <w:r>
              <w:rPr>
                <w:rFonts w:ascii="Arial" w:cs="Arial" w:eastAsia="Arial" w:hAnsi="Arial"/>
                <w:sz w:val="13"/>
                <w:szCs w:val="13"/>
                <w:color w:val="auto"/>
              </w:rPr>
              <w:t>PP&amp;E and identified intangible assets</w:t>
            </w:r>
          </w:p>
        </w:tc>
        <w:tc>
          <w:tcPr>
            <w:tcW w:w="260" w:type="dxa"/>
            <w:vAlign w:val="bottom"/>
          </w:tcPr>
          <w:p>
            <w:pPr>
              <w:jc w:val="right"/>
              <w:ind w:right="116"/>
              <w:spacing w:after="0"/>
              <w:rPr>
                <w:sz w:val="20"/>
                <w:szCs w:val="20"/>
                <w:color w:val="auto"/>
              </w:rPr>
            </w:pPr>
            <w:r>
              <w:rPr>
                <w:rFonts w:ascii="Arial" w:cs="Arial" w:eastAsia="Arial" w:hAnsi="Arial"/>
                <w:sz w:val="13"/>
                <w:szCs w:val="13"/>
                <w:color w:val="auto"/>
                <w:w w:val="82"/>
              </w:rPr>
              <w:t>$</w:t>
            </w:r>
          </w:p>
        </w:tc>
        <w:tc>
          <w:tcPr>
            <w:tcW w:w="1500" w:type="dxa"/>
            <w:vAlign w:val="bottom"/>
          </w:tcPr>
          <w:p>
            <w:pPr>
              <w:jc w:val="right"/>
              <w:spacing w:after="0"/>
              <w:rPr>
                <w:sz w:val="20"/>
                <w:szCs w:val="20"/>
                <w:color w:val="auto"/>
              </w:rPr>
            </w:pPr>
            <w:r>
              <w:rPr>
                <w:rFonts w:ascii="Arial" w:cs="Arial" w:eastAsia="Arial" w:hAnsi="Arial"/>
                <w:sz w:val="13"/>
                <w:szCs w:val="13"/>
                <w:color w:val="auto"/>
              </w:rPr>
              <w:t>518,641</w:t>
            </w:r>
          </w:p>
        </w:tc>
        <w:tc>
          <w:tcPr>
            <w:tcW w:w="100" w:type="dxa"/>
            <w:vAlign w:val="bottom"/>
          </w:tcPr>
          <w:p>
            <w:pPr>
              <w:spacing w:after="0"/>
              <w:rPr>
                <w:sz w:val="14"/>
                <w:szCs w:val="14"/>
                <w:color w:val="auto"/>
              </w:rPr>
            </w:pPr>
          </w:p>
        </w:tc>
        <w:tc>
          <w:tcPr>
            <w:tcW w:w="340" w:type="dxa"/>
            <w:vAlign w:val="bottom"/>
          </w:tcPr>
          <w:p>
            <w:pPr>
              <w:jc w:val="right"/>
              <w:ind w:right="196"/>
              <w:spacing w:after="0"/>
              <w:rPr>
                <w:sz w:val="20"/>
                <w:szCs w:val="20"/>
                <w:color w:val="auto"/>
              </w:rPr>
            </w:pPr>
            <w:r>
              <w:rPr>
                <w:rFonts w:ascii="Arial" w:cs="Arial" w:eastAsia="Arial" w:hAnsi="Arial"/>
                <w:sz w:val="13"/>
                <w:szCs w:val="13"/>
                <w:color w:val="auto"/>
                <w:w w:val="82"/>
              </w:rPr>
              <w:t>$</w:t>
            </w:r>
          </w:p>
        </w:tc>
        <w:tc>
          <w:tcPr>
            <w:tcW w:w="1420" w:type="dxa"/>
            <w:vAlign w:val="bottom"/>
          </w:tcPr>
          <w:p>
            <w:pPr>
              <w:jc w:val="right"/>
              <w:spacing w:after="0"/>
              <w:rPr>
                <w:sz w:val="20"/>
                <w:szCs w:val="20"/>
                <w:color w:val="auto"/>
              </w:rPr>
            </w:pPr>
            <w:r>
              <w:rPr>
                <w:rFonts w:ascii="Arial" w:cs="Arial" w:eastAsia="Arial" w:hAnsi="Arial"/>
                <w:sz w:val="13"/>
                <w:szCs w:val="13"/>
                <w:color w:val="auto"/>
              </w:rPr>
              <w:t>376,917</w:t>
            </w:r>
          </w:p>
        </w:tc>
      </w:tr>
      <w:tr>
        <w:trPr>
          <w:trHeight w:val="172"/>
        </w:trPr>
        <w:tc>
          <w:tcPr>
            <w:tcW w:w="76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Inventories</w:t>
            </w:r>
          </w:p>
        </w:tc>
        <w:tc>
          <w:tcPr>
            <w:tcW w:w="2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26,590</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116,226</w:t>
            </w:r>
          </w:p>
        </w:tc>
      </w:tr>
      <w:tr>
        <w:trPr>
          <w:trHeight w:val="168"/>
        </w:trPr>
        <w:tc>
          <w:tcPr>
            <w:tcW w:w="7660" w:type="dxa"/>
            <w:vAlign w:val="bottom"/>
          </w:tcPr>
          <w:p>
            <w:pPr>
              <w:ind w:left="120"/>
              <w:spacing w:after="0"/>
              <w:rPr>
                <w:sz w:val="20"/>
                <w:szCs w:val="20"/>
                <w:color w:val="auto"/>
              </w:rPr>
            </w:pPr>
            <w:r>
              <w:rPr>
                <w:rFonts w:ascii="Arial" w:cs="Arial" w:eastAsia="Arial" w:hAnsi="Arial"/>
                <w:sz w:val="13"/>
                <w:szCs w:val="13"/>
                <w:color w:val="auto"/>
              </w:rPr>
              <w:t>Insurance claims and losses</w:t>
            </w:r>
          </w:p>
        </w:tc>
        <w:tc>
          <w:tcPr>
            <w:tcW w:w="2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33,416</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32,679</w:t>
            </w:r>
          </w:p>
        </w:tc>
      </w:tr>
      <w:tr>
        <w:trPr>
          <w:trHeight w:val="172"/>
        </w:trPr>
        <w:tc>
          <w:tcPr>
            <w:tcW w:w="76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Incentive compensation</w:t>
            </w:r>
          </w:p>
        </w:tc>
        <w:tc>
          <w:tcPr>
            <w:tcW w:w="2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11,444</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16,204</w:t>
            </w:r>
          </w:p>
        </w:tc>
      </w:tr>
      <w:tr>
        <w:trPr>
          <w:trHeight w:val="168"/>
        </w:trPr>
        <w:tc>
          <w:tcPr>
            <w:tcW w:w="7660" w:type="dxa"/>
            <w:vAlign w:val="bottom"/>
          </w:tcPr>
          <w:p>
            <w:pPr>
              <w:ind w:left="120"/>
              <w:spacing w:after="0"/>
              <w:rPr>
                <w:sz w:val="20"/>
                <w:szCs w:val="20"/>
                <w:color w:val="auto"/>
              </w:rPr>
            </w:pPr>
            <w:r>
              <w:rPr>
                <w:rFonts w:ascii="Arial" w:cs="Arial" w:eastAsia="Arial" w:hAnsi="Arial"/>
                <w:sz w:val="13"/>
                <w:szCs w:val="13"/>
                <w:color w:val="auto"/>
              </w:rPr>
              <w:t>Operating lease assets</w:t>
            </w:r>
          </w:p>
        </w:tc>
        <w:tc>
          <w:tcPr>
            <w:tcW w:w="2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88,028</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65,906</w:t>
            </w:r>
          </w:p>
        </w:tc>
      </w:tr>
      <w:tr>
        <w:trPr>
          <w:trHeight w:val="172"/>
        </w:trPr>
        <w:tc>
          <w:tcPr>
            <w:tcW w:w="76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Other</w:t>
            </w:r>
          </w:p>
        </w:tc>
        <w:tc>
          <w:tcPr>
            <w:tcW w:w="26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11,373</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26,968</w:t>
            </w:r>
          </w:p>
        </w:tc>
      </w:tr>
      <w:tr>
        <w:trPr>
          <w:trHeight w:val="158"/>
        </w:trPr>
        <w:tc>
          <w:tcPr>
            <w:tcW w:w="7660" w:type="dxa"/>
            <w:vAlign w:val="bottom"/>
          </w:tcPr>
          <w:p>
            <w:pPr>
              <w:ind w:left="280"/>
              <w:spacing w:after="0"/>
              <w:rPr>
                <w:sz w:val="20"/>
                <w:szCs w:val="20"/>
                <w:color w:val="auto"/>
              </w:rPr>
            </w:pPr>
            <w:r>
              <w:rPr>
                <w:rFonts w:ascii="Arial" w:cs="Arial" w:eastAsia="Arial" w:hAnsi="Arial"/>
                <w:sz w:val="13"/>
                <w:szCs w:val="13"/>
                <w:color w:val="auto"/>
              </w:rPr>
              <w:t>Total deferred tax liabilities</w:t>
            </w:r>
          </w:p>
        </w:tc>
        <w:tc>
          <w:tcPr>
            <w:tcW w:w="26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689,492</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634,900</w:t>
            </w:r>
          </w:p>
        </w:tc>
      </w:tr>
      <w:tr>
        <w:trPr>
          <w:trHeight w:val="172"/>
        </w:trPr>
        <w:tc>
          <w:tcPr>
            <w:tcW w:w="7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Deferred tax assets:</w:t>
            </w:r>
          </w:p>
        </w:tc>
        <w:tc>
          <w:tcPr>
            <w:tcW w:w="26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r>
      <w:tr>
        <w:trPr>
          <w:trHeight w:val="168"/>
        </w:trPr>
        <w:tc>
          <w:tcPr>
            <w:tcW w:w="7660" w:type="dxa"/>
            <w:vAlign w:val="bottom"/>
          </w:tcPr>
          <w:p>
            <w:pPr>
              <w:ind w:left="120"/>
              <w:spacing w:after="0"/>
              <w:rPr>
                <w:sz w:val="20"/>
                <w:szCs w:val="20"/>
                <w:color w:val="auto"/>
              </w:rPr>
            </w:pPr>
            <w:r>
              <w:rPr>
                <w:rFonts w:ascii="Arial" w:cs="Arial" w:eastAsia="Arial" w:hAnsi="Arial"/>
                <w:sz w:val="13"/>
                <w:szCs w:val="13"/>
                <w:color w:val="auto"/>
              </w:rPr>
              <w:t>U.S. net operating losses</w:t>
            </w:r>
          </w:p>
        </w:tc>
        <w:tc>
          <w:tcPr>
            <w:tcW w:w="2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2,693</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3,034</w:t>
            </w:r>
          </w:p>
        </w:tc>
      </w:tr>
      <w:tr>
        <w:trPr>
          <w:trHeight w:val="172"/>
        </w:trPr>
        <w:tc>
          <w:tcPr>
            <w:tcW w:w="76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Foreign net operating losses</w:t>
            </w:r>
          </w:p>
        </w:tc>
        <w:tc>
          <w:tcPr>
            <w:tcW w:w="2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53,227</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56,213</w:t>
            </w:r>
          </w:p>
        </w:tc>
      </w:tr>
      <w:tr>
        <w:trPr>
          <w:trHeight w:val="168"/>
        </w:trPr>
        <w:tc>
          <w:tcPr>
            <w:tcW w:w="7660" w:type="dxa"/>
            <w:vAlign w:val="bottom"/>
          </w:tcPr>
          <w:p>
            <w:pPr>
              <w:ind w:left="120"/>
              <w:spacing w:after="0"/>
              <w:rPr>
                <w:sz w:val="20"/>
                <w:szCs w:val="20"/>
                <w:color w:val="auto"/>
              </w:rPr>
            </w:pPr>
            <w:r>
              <w:rPr>
                <w:rFonts w:ascii="Arial" w:cs="Arial" w:eastAsia="Arial" w:hAnsi="Arial"/>
                <w:sz w:val="13"/>
                <w:szCs w:val="13"/>
                <w:color w:val="auto"/>
              </w:rPr>
              <w:t>Credit carry forwards</w:t>
            </w:r>
          </w:p>
        </w:tc>
        <w:tc>
          <w:tcPr>
            <w:tcW w:w="2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19,026</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15,223</w:t>
            </w:r>
          </w:p>
        </w:tc>
      </w:tr>
      <w:tr>
        <w:trPr>
          <w:trHeight w:val="172"/>
        </w:trPr>
        <w:tc>
          <w:tcPr>
            <w:tcW w:w="76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Allowance for credit losses</w:t>
            </w:r>
          </w:p>
        </w:tc>
        <w:tc>
          <w:tcPr>
            <w:tcW w:w="2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6,996</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4,005</w:t>
            </w:r>
          </w:p>
        </w:tc>
      </w:tr>
      <w:tr>
        <w:trPr>
          <w:trHeight w:val="168"/>
        </w:trPr>
        <w:tc>
          <w:tcPr>
            <w:tcW w:w="7660" w:type="dxa"/>
            <w:vAlign w:val="bottom"/>
          </w:tcPr>
          <w:p>
            <w:pPr>
              <w:ind w:left="120"/>
              <w:spacing w:after="0"/>
              <w:rPr>
                <w:sz w:val="20"/>
                <w:szCs w:val="20"/>
                <w:color w:val="auto"/>
              </w:rPr>
            </w:pPr>
            <w:r>
              <w:rPr>
                <w:rFonts w:ascii="Arial" w:cs="Arial" w:eastAsia="Arial" w:hAnsi="Arial"/>
                <w:sz w:val="13"/>
                <w:szCs w:val="13"/>
                <w:color w:val="auto"/>
              </w:rPr>
              <w:t>Accrued liabilities</w:t>
            </w:r>
          </w:p>
        </w:tc>
        <w:tc>
          <w:tcPr>
            <w:tcW w:w="2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103,482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94,769</w:t>
            </w:r>
          </w:p>
        </w:tc>
      </w:tr>
      <w:tr>
        <w:trPr>
          <w:trHeight w:val="172"/>
        </w:trPr>
        <w:tc>
          <w:tcPr>
            <w:tcW w:w="76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Workers’ compensation</w:t>
            </w:r>
          </w:p>
        </w:tc>
        <w:tc>
          <w:tcPr>
            <w:tcW w:w="2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37,681</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36,759</w:t>
            </w:r>
          </w:p>
        </w:tc>
      </w:tr>
      <w:tr>
        <w:trPr>
          <w:trHeight w:val="168"/>
        </w:trPr>
        <w:tc>
          <w:tcPr>
            <w:tcW w:w="7660" w:type="dxa"/>
            <w:vAlign w:val="bottom"/>
          </w:tcPr>
          <w:p>
            <w:pPr>
              <w:ind w:left="120"/>
              <w:spacing w:after="0"/>
              <w:rPr>
                <w:sz w:val="20"/>
                <w:szCs w:val="20"/>
                <w:color w:val="auto"/>
              </w:rPr>
            </w:pPr>
            <w:r>
              <w:rPr>
                <w:rFonts w:ascii="Arial" w:cs="Arial" w:eastAsia="Arial" w:hAnsi="Arial"/>
                <w:sz w:val="13"/>
                <w:szCs w:val="13"/>
                <w:color w:val="auto"/>
              </w:rPr>
              <w:t>Pension and other postretirement benefits</w:t>
            </w:r>
          </w:p>
        </w:tc>
        <w:tc>
          <w:tcPr>
            <w:tcW w:w="2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28,083</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35,899</w:t>
            </w:r>
          </w:p>
        </w:tc>
      </w:tr>
      <w:tr>
        <w:trPr>
          <w:trHeight w:val="172"/>
        </w:trPr>
        <w:tc>
          <w:tcPr>
            <w:tcW w:w="76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Operating lease liabilities</w:t>
            </w:r>
          </w:p>
        </w:tc>
        <w:tc>
          <w:tcPr>
            <w:tcW w:w="2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88,028</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65,906</w:t>
            </w:r>
          </w:p>
        </w:tc>
      </w:tr>
      <w:tr>
        <w:trPr>
          <w:trHeight w:val="168"/>
        </w:trPr>
        <w:tc>
          <w:tcPr>
            <w:tcW w:w="766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Other</w:t>
            </w:r>
          </w:p>
        </w:tc>
        <w:tc>
          <w:tcPr>
            <w:tcW w:w="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10,666</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21,640</w:t>
            </w:r>
          </w:p>
        </w:tc>
      </w:tr>
      <w:tr>
        <w:trPr>
          <w:trHeight w:val="163"/>
        </w:trPr>
        <w:tc>
          <w:tcPr>
            <w:tcW w:w="76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deferred tax assets</w:t>
            </w:r>
          </w:p>
        </w:tc>
        <w:tc>
          <w:tcPr>
            <w:tcW w:w="2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349,882</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333,448</w:t>
            </w:r>
          </w:p>
        </w:tc>
      </w:tr>
      <w:tr>
        <w:trPr>
          <w:trHeight w:val="168"/>
        </w:trPr>
        <w:tc>
          <w:tcPr>
            <w:tcW w:w="7660" w:type="dxa"/>
            <w:vAlign w:val="bottom"/>
            <w:tcBorders>
              <w:bottom w:val="single" w:sz="8" w:color="CCEEFF"/>
            </w:tcBorders>
          </w:tcPr>
          <w:p>
            <w:pPr>
              <w:ind w:left="280"/>
              <w:spacing w:after="0"/>
              <w:rPr>
                <w:sz w:val="20"/>
                <w:szCs w:val="20"/>
                <w:color w:val="auto"/>
              </w:rPr>
            </w:pPr>
            <w:r>
              <w:rPr>
                <w:rFonts w:ascii="Arial" w:cs="Arial" w:eastAsia="Arial" w:hAnsi="Arial"/>
                <w:sz w:val="13"/>
                <w:szCs w:val="13"/>
                <w:color w:val="auto"/>
              </w:rPr>
              <w:t>Valuation allowance</w:t>
            </w:r>
          </w:p>
        </w:tc>
        <w:tc>
          <w:tcPr>
            <w:tcW w:w="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(24,261)</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(32,908)</w:t>
            </w:r>
          </w:p>
        </w:tc>
      </w:tr>
      <w:tr>
        <w:trPr>
          <w:trHeight w:val="160"/>
        </w:trPr>
        <w:tc>
          <w:tcPr>
            <w:tcW w:w="7660" w:type="dxa"/>
            <w:vAlign w:val="bottom"/>
            <w:shd w:val="clear" w:color="auto" w:fill="CCEEFF"/>
          </w:tcPr>
          <w:p>
            <w:pPr>
              <w:ind w:left="440"/>
              <w:spacing w:after="0"/>
              <w:rPr>
                <w:sz w:val="20"/>
                <w:szCs w:val="20"/>
                <w:color w:val="auto"/>
              </w:rPr>
            </w:pPr>
            <w:r>
              <w:rPr>
                <w:rFonts w:ascii="Arial" w:cs="Arial" w:eastAsia="Arial" w:hAnsi="Arial"/>
                <w:sz w:val="13"/>
                <w:szCs w:val="13"/>
                <w:color w:val="auto"/>
              </w:rPr>
              <w:t>Net deferred tax assets</w:t>
            </w:r>
          </w:p>
        </w:tc>
        <w:tc>
          <w:tcPr>
            <w:tcW w:w="260" w:type="dxa"/>
            <w:vAlign w:val="bottom"/>
            <w:tcBorders>
              <w:bottom w:val="single" w:sz="8" w:color="auto"/>
            </w:tcBorders>
            <w:shd w:val="clear" w:color="auto" w:fill="CCEEFF"/>
          </w:tcPr>
          <w:p>
            <w:pPr>
              <w:spacing w:after="0"/>
              <w:rPr>
                <w:sz w:val="13"/>
                <w:szCs w:val="13"/>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325,621</w:t>
            </w:r>
          </w:p>
        </w:tc>
        <w:tc>
          <w:tcPr>
            <w:tcW w:w="10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300,540</w:t>
            </w:r>
          </w:p>
        </w:tc>
      </w:tr>
      <w:tr>
        <w:trPr>
          <w:trHeight w:val="163"/>
        </w:trPr>
        <w:tc>
          <w:tcPr>
            <w:tcW w:w="7660" w:type="dxa"/>
            <w:vAlign w:val="bottom"/>
          </w:tcPr>
          <w:p>
            <w:pPr>
              <w:ind w:left="520"/>
              <w:spacing w:after="0"/>
              <w:rPr>
                <w:sz w:val="20"/>
                <w:szCs w:val="20"/>
                <w:color w:val="auto"/>
              </w:rPr>
            </w:pPr>
            <w:r>
              <w:rPr>
                <w:rFonts w:ascii="Arial" w:cs="Arial" w:eastAsia="Arial" w:hAnsi="Arial"/>
                <w:sz w:val="13"/>
                <w:szCs w:val="13"/>
                <w:color w:val="auto"/>
              </w:rPr>
              <w:t>Net deferred tax liabilities</w:t>
            </w:r>
          </w:p>
        </w:tc>
        <w:tc>
          <w:tcPr>
            <w:tcW w:w="26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w w:val="82"/>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363,871</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color w:val="auto"/>
                <w:w w:val="82"/>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334,360</w:t>
            </w:r>
          </w:p>
        </w:tc>
      </w:tr>
      <w:tr>
        <w:trPr>
          <w:trHeight w:val="20"/>
        </w:trPr>
        <w:tc>
          <w:tcPr>
            <w:tcW w:w="7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color w:val="auto"/>
        </w:rPr>
        <w:t>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Management considers the scheduled reversal of deferred tax liabilities (including the impact of available carry back and carry forward periods), projected future taxable income and tax-planning strategies in making this assessment.</w:t>
      </w:r>
    </w:p>
    <w:p>
      <w:pPr>
        <w:spacing w:after="0" w:line="103"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4"/>
          <w:szCs w:val="14"/>
          <w:color w:val="auto"/>
        </w:rPr>
        <w:t>As of December 26, 2021, the Company believes it has sufficient positive evidence to conclude that realization of its federal, state and foreign net deferred tax assets are more likely than not to be realized. As of December 26, 2021, the Company’s valuation allowance is $24.3 million, of which $7.0 million relates to Moy Park operations, $4.5 million relates to PPL operations, $0.1 million relates to Mexico operations, $11.8 million relates to U.S. foreign tax credits and $0.9 million relates to state net operating losses.</w:t>
      </w:r>
    </w:p>
    <w:p>
      <w:pPr>
        <w:spacing w:after="0" w:line="99"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4"/>
          <w:szCs w:val="14"/>
          <w:color w:val="auto"/>
        </w:rPr>
        <w:t>As of December 26, 2021, the Company had state net operating loss carry forwards of approximately $76.8 million that begin to expire in 2022. The Company also had Mexico net operating loss carry forwards as of December 26, 2021 of approximately $1.7 million that begin to expire in 2028. The Company also had U.K. net operating loss carry forwards as of December 26, 2021 of approximately $250.1 million that may be carried forward indefinitely.</w:t>
      </w:r>
    </w:p>
    <w:p>
      <w:pPr>
        <w:spacing w:after="0" w:line="99" w:lineRule="exact"/>
        <w:rPr>
          <w:sz w:val="20"/>
          <w:szCs w:val="20"/>
          <w:color w:val="auto"/>
        </w:rPr>
      </w:pPr>
    </w:p>
    <w:p>
      <w:pPr>
        <w:ind w:left="520"/>
        <w:spacing w:after="0"/>
        <w:rPr>
          <w:sz w:val="20"/>
          <w:szCs w:val="20"/>
          <w:color w:val="auto"/>
        </w:rPr>
      </w:pPr>
      <w:r>
        <w:rPr>
          <w:rFonts w:ascii="Arial" w:cs="Arial" w:eastAsia="Arial" w:hAnsi="Arial"/>
          <w:sz w:val="14"/>
          <w:szCs w:val="14"/>
          <w:color w:val="auto"/>
        </w:rPr>
        <w:t>As of December 26, 2021, the Company had approximately $6.1 million of state tax credit carry forwards that begin to expire in 2022.</w:t>
      </w:r>
    </w:p>
    <w:p>
      <w:pPr>
        <w:sectPr>
          <w:pgSz w:w="11900" w:h="16838" w:orient="portrait"/>
          <w:cols w:equalWidth="0" w:num="1">
            <w:col w:w="11280"/>
          </w:cols>
          <w:pgMar w:left="300" w:top="129" w:right="319" w:bottom="0" w:gutter="0" w:footer="0" w:header="0"/>
        </w:sectPr>
      </w:pPr>
    </w:p>
    <w:bookmarkStart w:id="71" w:name="page72"/>
    <w:bookmarkEnd w:id="71"/>
    <w:p>
      <w:pPr>
        <w:ind w:left="520"/>
        <w:spacing w:after="0"/>
        <w:rPr>
          <w:sz w:val="20"/>
          <w:szCs w:val="20"/>
          <w:color w:val="auto"/>
        </w:rPr>
      </w:pPr>
      <w:r>
        <w:rPr>
          <w:rFonts w:ascii="Arial" w:cs="Arial" w:eastAsia="Arial" w:hAnsi="Arial"/>
          <w:sz w:val="13"/>
          <w:szCs w:val="13"/>
          <w:color w:val="auto"/>
        </w:rPr>
        <w:t>For the year ended December 26, 2021 and year ended December 27, 2020, there is a tax effect of $(8.2) million and $6.9 million, respectively, reflected in other comprehensive income.</w:t>
      </w:r>
    </w:p>
    <w:p>
      <w:pPr>
        <w:spacing w:after="0" w:line="148" w:lineRule="exact"/>
        <w:rPr>
          <w:sz w:val="20"/>
          <w:szCs w:val="20"/>
          <w:color w:val="auto"/>
        </w:rPr>
      </w:pPr>
    </w:p>
    <w:p>
      <w:pPr>
        <w:jc w:val="both"/>
        <w:ind w:firstLine="509"/>
        <w:spacing w:after="0" w:line="281" w:lineRule="auto"/>
        <w:rPr>
          <w:sz w:val="20"/>
          <w:szCs w:val="20"/>
          <w:color w:val="auto"/>
        </w:rPr>
      </w:pPr>
      <w:r>
        <w:rPr>
          <w:rFonts w:ascii="Arial" w:cs="Arial" w:eastAsia="Arial" w:hAnsi="Arial"/>
          <w:sz w:val="14"/>
          <w:szCs w:val="14"/>
          <w:color w:val="auto"/>
        </w:rPr>
        <w:t>For the years ended December 26, 2021 and December 27, 2020, there are immaterial tax effects reflected in income tax expense due to excess tax benefits and shortfalls related to stock-based compensation. See “Note 1. Business and Summary of Significant Accounting Policies” for additional information.</w:t>
      </w:r>
    </w:p>
    <w:p>
      <w:pPr>
        <w:spacing w:after="0" w:line="9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A reconciliation of the beginning and ending amounts of unrecognized tax benefits is as follows: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7660" w:type="dxa"/>
            <w:vAlign w:val="bottom"/>
          </w:tcPr>
          <w:p>
            <w:pPr>
              <w:spacing w:after="0"/>
              <w:rPr>
                <w:sz w:val="13"/>
                <w:szCs w:val="1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December 26, 2021</w:t>
            </w:r>
          </w:p>
        </w:tc>
        <w:tc>
          <w:tcPr>
            <w:tcW w:w="4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ind w:right="358"/>
              <w:spacing w:after="0"/>
              <w:rPr>
                <w:sz w:val="20"/>
                <w:szCs w:val="20"/>
                <w:color w:val="auto"/>
              </w:rPr>
            </w:pPr>
            <w:r>
              <w:rPr>
                <w:rFonts w:ascii="Arial" w:cs="Arial" w:eastAsia="Arial" w:hAnsi="Arial"/>
                <w:sz w:val="11"/>
                <w:szCs w:val="11"/>
                <w:b w:val="1"/>
                <w:bCs w:val="1"/>
                <w:color w:val="auto"/>
                <w:w w:val="98"/>
              </w:rPr>
              <w:t>December 27, 2020</w:t>
            </w:r>
          </w:p>
        </w:tc>
      </w:tr>
      <w:tr>
        <w:trPr>
          <w:trHeight w:val="127"/>
        </w:trPr>
        <w:tc>
          <w:tcPr>
            <w:tcW w:w="76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40" w:type="dxa"/>
            <w:vAlign w:val="bottom"/>
            <w:gridSpan w:val="3"/>
          </w:tcPr>
          <w:p>
            <w:pPr>
              <w:jc w:val="right"/>
              <w:ind w:right="16"/>
              <w:spacing w:after="0"/>
              <w:rPr>
                <w:sz w:val="20"/>
                <w:szCs w:val="20"/>
                <w:color w:val="auto"/>
              </w:rPr>
            </w:pPr>
            <w:r>
              <w:rPr>
                <w:rFonts w:ascii="Arial" w:cs="Arial" w:eastAsia="Arial" w:hAnsi="Arial"/>
                <w:sz w:val="10"/>
                <w:szCs w:val="10"/>
                <w:b w:val="1"/>
                <w:bCs w:val="1"/>
                <w:color w:val="auto"/>
              </w:rPr>
              <w:t>(In thousands)</w:t>
            </w:r>
          </w:p>
        </w:tc>
        <w:tc>
          <w:tcPr>
            <w:tcW w:w="1420" w:type="dxa"/>
            <w:vAlign w:val="bottom"/>
          </w:tcPr>
          <w:p>
            <w:pPr>
              <w:spacing w:after="0"/>
              <w:rPr>
                <w:sz w:val="11"/>
                <w:szCs w:val="11"/>
                <w:color w:val="auto"/>
              </w:rPr>
            </w:pPr>
          </w:p>
        </w:tc>
      </w:tr>
      <w:tr>
        <w:trPr>
          <w:trHeight w:val="176"/>
        </w:trPr>
        <w:tc>
          <w:tcPr>
            <w:tcW w:w="7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Unrecognized tax benefits, beginning of year</w:t>
            </w:r>
          </w:p>
        </w:tc>
        <w:tc>
          <w:tcPr>
            <w:tcW w:w="1360" w:type="dxa"/>
            <w:vAlign w:val="bottom"/>
            <w:shd w:val="clear" w:color="auto" w:fill="CCEEFF"/>
          </w:tcPr>
          <w:p>
            <w:pPr>
              <w:jc w:val="right"/>
              <w:ind w:right="1219"/>
              <w:spacing w:after="0"/>
              <w:rPr>
                <w:sz w:val="20"/>
                <w:szCs w:val="20"/>
                <w:color w:val="auto"/>
              </w:rPr>
            </w:pPr>
            <w:r>
              <w:rPr>
                <w:rFonts w:ascii="Arial" w:cs="Arial" w:eastAsia="Arial" w:hAnsi="Arial"/>
                <w:sz w:val="13"/>
                <w:szCs w:val="13"/>
                <w:color w:val="auto"/>
                <w:w w:val="82"/>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5"/>
              </w:rPr>
              <w:t>13,271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12,776</w:t>
            </w:r>
          </w:p>
        </w:tc>
      </w:tr>
      <w:tr>
        <w:trPr>
          <w:trHeight w:val="168"/>
        </w:trPr>
        <w:tc>
          <w:tcPr>
            <w:tcW w:w="7660" w:type="dxa"/>
            <w:vAlign w:val="bottom"/>
          </w:tcPr>
          <w:p>
            <w:pPr>
              <w:ind w:left="120"/>
              <w:spacing w:after="0"/>
              <w:rPr>
                <w:sz w:val="20"/>
                <w:szCs w:val="20"/>
                <w:color w:val="auto"/>
              </w:rPr>
            </w:pPr>
            <w:r>
              <w:rPr>
                <w:rFonts w:ascii="Arial" w:cs="Arial" w:eastAsia="Arial" w:hAnsi="Arial"/>
                <w:sz w:val="13"/>
                <w:szCs w:val="13"/>
                <w:color w:val="auto"/>
              </w:rPr>
              <w:t>Increase as a result of tax positions taken during the current year</w:t>
            </w:r>
          </w:p>
        </w:tc>
        <w:tc>
          <w:tcPr>
            <w:tcW w:w="13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6,472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2"/>
        </w:trPr>
        <w:tc>
          <w:tcPr>
            <w:tcW w:w="76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Increase as a result of tax positions taken during prior years</w:t>
            </w:r>
          </w:p>
        </w:tc>
        <w:tc>
          <w:tcPr>
            <w:tcW w:w="136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1,156</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731</w:t>
            </w:r>
          </w:p>
        </w:tc>
      </w:tr>
      <w:tr>
        <w:trPr>
          <w:trHeight w:val="168"/>
        </w:trPr>
        <w:tc>
          <w:tcPr>
            <w:tcW w:w="766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Decrease for lapse in statute of limitations</w:t>
            </w:r>
          </w:p>
        </w:tc>
        <w:tc>
          <w:tcPr>
            <w:tcW w:w="13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(657)</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(236)</w:t>
            </w:r>
          </w:p>
        </w:tc>
      </w:tr>
      <w:tr>
        <w:trPr>
          <w:trHeight w:val="188"/>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Unrecognized tax benefits, end of year</w:t>
            </w:r>
          </w:p>
        </w:tc>
        <w:tc>
          <w:tcPr>
            <w:tcW w:w="1360" w:type="dxa"/>
            <w:vAlign w:val="bottom"/>
            <w:tcBorders>
              <w:bottom w:val="single" w:sz="8" w:color="auto"/>
            </w:tcBorders>
            <w:shd w:val="clear" w:color="auto" w:fill="CCEEFF"/>
          </w:tcPr>
          <w:p>
            <w:pPr>
              <w:jc w:val="right"/>
              <w:ind w:right="1219"/>
              <w:spacing w:after="0"/>
              <w:rPr>
                <w:sz w:val="20"/>
                <w:szCs w:val="20"/>
                <w:color w:val="auto"/>
              </w:rPr>
            </w:pPr>
            <w:r>
              <w:rPr>
                <w:rFonts w:ascii="Arial" w:cs="Arial" w:eastAsia="Arial" w:hAnsi="Arial"/>
                <w:sz w:val="13"/>
                <w:szCs w:val="13"/>
                <w:color w:val="auto"/>
                <w:w w:val="82"/>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5"/>
              </w:rPr>
              <w:t>20,242</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13,271</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jc w:val="both"/>
        <w:ind w:firstLine="509"/>
        <w:spacing w:after="0" w:line="281" w:lineRule="auto"/>
        <w:rPr>
          <w:sz w:val="20"/>
          <w:szCs w:val="20"/>
          <w:color w:val="auto"/>
        </w:rPr>
      </w:pPr>
      <w:r>
        <w:rPr>
          <w:rFonts w:ascii="Arial" w:cs="Arial" w:eastAsia="Arial" w:hAnsi="Arial"/>
          <w:sz w:val="14"/>
          <w:szCs w:val="14"/>
          <w:color w:val="auto"/>
        </w:rPr>
        <w:t>Included in unrecognized tax benefits of $20.2 million as of December 26, 2021, was $7.4 million of tax benefits that, if recognized, would reduce the Company’s effective tax rate. It is not practicable at this time to estimate the amount of unrecognized tax benefits that will change in the next twelve months.</w:t>
      </w:r>
    </w:p>
    <w:p>
      <w:pPr>
        <w:spacing w:after="0" w:line="90" w:lineRule="exact"/>
        <w:rPr>
          <w:sz w:val="20"/>
          <w:szCs w:val="20"/>
          <w:color w:val="auto"/>
        </w:rPr>
      </w:pPr>
    </w:p>
    <w:p>
      <w:pPr>
        <w:jc w:val="both"/>
        <w:ind w:firstLine="509"/>
        <w:spacing w:after="0" w:line="281" w:lineRule="auto"/>
        <w:rPr>
          <w:sz w:val="20"/>
          <w:szCs w:val="20"/>
          <w:color w:val="auto"/>
        </w:rPr>
      </w:pPr>
      <w:r>
        <w:rPr>
          <w:rFonts w:ascii="Arial" w:cs="Arial" w:eastAsia="Arial" w:hAnsi="Arial"/>
          <w:sz w:val="14"/>
          <w:szCs w:val="14"/>
          <w:color w:val="auto"/>
        </w:rPr>
        <w:t>The Company recognizes interest and penalties related to unrecognized tax benefits in its provision for income taxes. As of December 26, 2021, the Company had recorded a liability of $3.2 million for interest and penalties. During 2021, accrued interest and penalty amounts related to uncertain tax positions increased by $0.4 million.</w:t>
      </w:r>
    </w:p>
    <w:p>
      <w:pPr>
        <w:spacing w:after="0" w:line="90"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4"/>
          <w:szCs w:val="14"/>
          <w:color w:val="auto"/>
        </w:rPr>
        <w:t>The Company operates in the U.S. (including multiple state jurisdictions), Puerto Rico and several foreign locations including Mexico, the U.K. and the Republic of Ireland. With few exceptions, the Company is no longer subject to examinations by taxing authorities for years prior to 2017 in U.S. federal, state and local jurisdictions, for years prior to 2011 in Mexico, and for years prior to 2017 in the U.K.</w:t>
      </w:r>
    </w:p>
    <w:p>
      <w:pPr>
        <w:spacing w:after="0" w:line="99" w:lineRule="exact"/>
        <w:rPr>
          <w:sz w:val="20"/>
          <w:szCs w:val="20"/>
          <w:color w:val="auto"/>
        </w:rPr>
      </w:pPr>
    </w:p>
    <w:p>
      <w:pPr>
        <w:jc w:val="both"/>
        <w:ind w:firstLine="509"/>
        <w:spacing w:after="0" w:line="281" w:lineRule="auto"/>
        <w:rPr>
          <w:sz w:val="20"/>
          <w:szCs w:val="20"/>
          <w:color w:val="auto"/>
        </w:rPr>
      </w:pPr>
      <w:r>
        <w:rPr>
          <w:rFonts w:ascii="Arial" w:cs="Arial" w:eastAsia="Arial" w:hAnsi="Arial"/>
          <w:sz w:val="14"/>
          <w:szCs w:val="14"/>
          <w:color w:val="auto"/>
        </w:rPr>
        <w:t>As of July 27, 2020, JBS owns in excess of 80% of the outstanding common stock of Pilgrim’s. JBS USA Holdings has a federal tax election to file a consolidated tax return with subsidiaries in which it holds an ownership of at least 80%.</w:t>
      </w:r>
    </w:p>
    <w:p>
      <w:pPr>
        <w:spacing w:after="0" w:line="90"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4"/>
          <w:szCs w:val="14"/>
          <w:color w:val="auto"/>
        </w:rPr>
        <w:t>The Company has a tax sharing agreement with JBS USA Holdings effective for tax years beginning 2010. The net tax payable for year 2021 of $2.0 million was accrued in 2021 as a capital distribution and an account payable to a related party in our Consolidated Balance Sheet. The tax sharing agreement was updated during 2020 to consider the impact of Pilgrim’s joining the JBS consolidated tax return.</w:t>
      </w:r>
    </w:p>
    <w:p>
      <w:pPr>
        <w:spacing w:after="0" w:line="95"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b w:val="1"/>
          <w:bCs w:val="1"/>
          <w:color w:val="auto"/>
        </w:rPr>
        <w:t>13.</w:t>
      </w:r>
      <w:r>
        <w:rPr>
          <w:sz w:val="20"/>
          <w:szCs w:val="20"/>
          <w:color w:val="auto"/>
        </w:rPr>
        <w:tab/>
      </w:r>
      <w:r>
        <w:rPr>
          <w:rFonts w:ascii="Arial" w:cs="Arial" w:eastAsia="Arial" w:hAnsi="Arial"/>
          <w:sz w:val="13"/>
          <w:szCs w:val="13"/>
          <w:b w:val="1"/>
          <w:bCs w:val="1"/>
          <w:color w:val="auto"/>
        </w:rPr>
        <w:t>DEBT</w:t>
      </w:r>
    </w:p>
    <w:p>
      <w:pPr>
        <w:spacing w:after="0" w:line="14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Long-term debt and other borrowing arrangements, including current notes payable to banks, consisted of the following components: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2" w:name="page73"/>
    <w:bookmarkEnd w:id="7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NOTES TO CONSOLIDATED FINANCIAL STATEMENTS</w:t>
      </w:r>
    </w:p>
    <w:p>
      <w:pPr>
        <w:spacing w:after="0" w:line="318" w:lineRule="exact"/>
        <w:rPr>
          <w:sz w:val="20"/>
          <w:szCs w:val="20"/>
          <w:color w:val="auto"/>
        </w:rPr>
      </w:pPr>
    </w:p>
    <w:tbl>
      <w:tblPr>
        <w:tblLayout w:type="fixed"/>
        <w:tblInd w:w="20" w:type="dxa"/>
        <w:tblCellMar>
          <w:top w:w="0" w:type="dxa"/>
          <w:left w:w="0" w:type="dxa"/>
          <w:bottom w:w="0" w:type="dxa"/>
          <w:right w:w="0" w:type="dxa"/>
        </w:tblCellMar>
      </w:tblPr>
      <w:tr>
        <w:trPr>
          <w:trHeight w:val="158"/>
        </w:trPr>
        <w:tc>
          <w:tcPr>
            <w:tcW w:w="6560" w:type="dxa"/>
            <w:vAlign w:val="bottom"/>
          </w:tcPr>
          <w:p>
            <w:pPr>
              <w:spacing w:after="0"/>
              <w:rPr>
                <w:sz w:val="13"/>
                <w:szCs w:val="13"/>
                <w:color w:val="auto"/>
              </w:rPr>
            </w:pPr>
          </w:p>
        </w:tc>
        <w:tc>
          <w:tcPr>
            <w:tcW w:w="980" w:type="dxa"/>
            <w:vAlign w:val="bottom"/>
            <w:tcBorders>
              <w:top w:val="single" w:sz="8" w:color="auto"/>
              <w:bottom w:val="single" w:sz="8" w:color="auto"/>
            </w:tcBorders>
          </w:tcPr>
          <w:p>
            <w:pPr>
              <w:jc w:val="right"/>
              <w:ind w:right="217"/>
              <w:spacing w:after="0"/>
              <w:rPr>
                <w:sz w:val="20"/>
                <w:szCs w:val="20"/>
                <w:color w:val="auto"/>
              </w:rPr>
            </w:pPr>
            <w:r>
              <w:rPr>
                <w:rFonts w:ascii="Arial" w:cs="Arial" w:eastAsia="Arial" w:hAnsi="Arial"/>
                <w:sz w:val="11"/>
                <w:szCs w:val="11"/>
                <w:b w:val="1"/>
                <w:bCs w:val="1"/>
                <w:color w:val="auto"/>
              </w:rPr>
              <w:t>Maturity</w:t>
            </w:r>
          </w:p>
        </w:tc>
        <w:tc>
          <w:tcPr>
            <w:tcW w:w="10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520" w:type="dxa"/>
            <w:vAlign w:val="bottom"/>
            <w:tcBorders>
              <w:top w:val="single" w:sz="8" w:color="auto"/>
              <w:bottom w:val="single" w:sz="8" w:color="auto"/>
            </w:tcBorders>
          </w:tcPr>
          <w:p>
            <w:pPr>
              <w:jc w:val="right"/>
              <w:ind w:right="357"/>
              <w:spacing w:after="0"/>
              <w:rPr>
                <w:sz w:val="20"/>
                <w:szCs w:val="20"/>
                <w:color w:val="auto"/>
              </w:rPr>
            </w:pPr>
            <w:r>
              <w:rPr>
                <w:rFonts w:ascii="Arial" w:cs="Arial" w:eastAsia="Arial" w:hAnsi="Arial"/>
                <w:sz w:val="11"/>
                <w:szCs w:val="11"/>
                <w:b w:val="1"/>
                <w:bCs w:val="1"/>
                <w:color w:val="auto"/>
              </w:rPr>
              <w:t>December 26, 2021</w:t>
            </w:r>
          </w:p>
        </w:tc>
        <w:tc>
          <w:tcPr>
            <w:tcW w:w="100" w:type="dxa"/>
            <w:vAlign w:val="bottom"/>
            <w:tcBorders>
              <w:bottom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420" w:type="dxa"/>
            <w:vAlign w:val="bottom"/>
            <w:tcBorders>
              <w:top w:val="single" w:sz="8" w:color="auto"/>
              <w:bottom w:val="single" w:sz="8" w:color="auto"/>
            </w:tcBorders>
          </w:tcPr>
          <w:p>
            <w:pPr>
              <w:jc w:val="right"/>
              <w:ind w:right="377"/>
              <w:spacing w:after="0"/>
              <w:rPr>
                <w:sz w:val="20"/>
                <w:szCs w:val="20"/>
                <w:color w:val="auto"/>
              </w:rPr>
            </w:pPr>
            <w:r>
              <w:rPr>
                <w:rFonts w:ascii="Arial" w:cs="Arial" w:eastAsia="Arial" w:hAnsi="Arial"/>
                <w:sz w:val="11"/>
                <w:szCs w:val="11"/>
                <w:b w:val="1"/>
                <w:bCs w:val="1"/>
                <w:color w:val="auto"/>
                <w:w w:val="96"/>
              </w:rPr>
              <w:t>December 27, 2020</w:t>
            </w:r>
          </w:p>
        </w:tc>
        <w:tc>
          <w:tcPr>
            <w:tcW w:w="0" w:type="dxa"/>
            <w:vAlign w:val="bottom"/>
          </w:tcPr>
          <w:p>
            <w:pPr>
              <w:spacing w:after="0"/>
              <w:rPr>
                <w:sz w:val="1"/>
                <w:szCs w:val="1"/>
                <w:color w:val="auto"/>
              </w:rPr>
            </w:pPr>
          </w:p>
        </w:tc>
      </w:tr>
      <w:tr>
        <w:trPr>
          <w:trHeight w:val="133"/>
        </w:trPr>
        <w:tc>
          <w:tcPr>
            <w:tcW w:w="65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960" w:type="dxa"/>
            <w:vAlign w:val="bottom"/>
            <w:gridSpan w:val="3"/>
          </w:tcPr>
          <w:p>
            <w:pPr>
              <w:jc w:val="right"/>
              <w:ind w:right="32"/>
              <w:spacing w:after="0"/>
              <w:rPr>
                <w:sz w:val="20"/>
                <w:szCs w:val="20"/>
                <w:color w:val="auto"/>
              </w:rPr>
            </w:pPr>
            <w:r>
              <w:rPr>
                <w:rFonts w:ascii="Arial" w:cs="Arial" w:eastAsia="Arial" w:hAnsi="Arial"/>
                <w:sz w:val="10"/>
                <w:szCs w:val="10"/>
                <w:b w:val="1"/>
                <w:bCs w:val="1"/>
                <w:color w:val="auto"/>
              </w:rPr>
              <w:t>(In thousands)</w:t>
            </w:r>
          </w:p>
        </w:tc>
        <w:tc>
          <w:tcPr>
            <w:tcW w:w="1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6560" w:type="dxa"/>
            <w:vAlign w:val="bottom"/>
            <w:shd w:val="clear" w:color="auto" w:fill="CCEEFF"/>
          </w:tcPr>
          <w:p>
            <w:pPr>
              <w:spacing w:after="0"/>
              <w:rPr>
                <w:sz w:val="20"/>
                <w:szCs w:val="20"/>
                <w:color w:val="auto"/>
              </w:rPr>
            </w:pPr>
            <w:r>
              <w:rPr>
                <w:rFonts w:ascii="Arial" w:cs="Arial" w:eastAsia="Arial" w:hAnsi="Arial"/>
                <w:sz w:val="13"/>
                <w:szCs w:val="13"/>
                <w:color w:val="auto"/>
              </w:rPr>
              <w:t>Senior notes payable, net of discount of 3.50%</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2032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900,000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232"/>
              <w:spacing w:after="0"/>
              <w:rPr>
                <w:sz w:val="20"/>
                <w:szCs w:val="20"/>
                <w:color w:val="auto"/>
              </w:rPr>
            </w:pPr>
            <w:r>
              <w:rPr>
                <w:rFonts w:ascii="Arial" w:cs="Arial" w:eastAsia="Arial" w:hAnsi="Arial"/>
                <w:sz w:val="10"/>
                <w:szCs w:val="10"/>
                <w:color w:val="auto"/>
                <w:w w:val="71"/>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6560" w:type="dxa"/>
            <w:vAlign w:val="bottom"/>
          </w:tcPr>
          <w:p>
            <w:pPr>
              <w:spacing w:after="0"/>
              <w:rPr>
                <w:sz w:val="20"/>
                <w:szCs w:val="20"/>
                <w:color w:val="auto"/>
              </w:rPr>
            </w:pPr>
            <w:r>
              <w:rPr>
                <w:rFonts w:ascii="Arial" w:cs="Arial" w:eastAsia="Arial" w:hAnsi="Arial"/>
                <w:sz w:val="13"/>
                <w:szCs w:val="13"/>
                <w:color w:val="auto"/>
              </w:rPr>
              <w:t>Senior notes payable, net of discount of 4.25%</w:t>
            </w:r>
          </w:p>
        </w:tc>
        <w:tc>
          <w:tcPr>
            <w:tcW w:w="980" w:type="dxa"/>
            <w:vAlign w:val="bottom"/>
          </w:tcPr>
          <w:p>
            <w:pPr>
              <w:jc w:val="right"/>
              <w:spacing w:after="0"/>
              <w:rPr>
                <w:sz w:val="20"/>
                <w:szCs w:val="20"/>
                <w:color w:val="auto"/>
              </w:rPr>
            </w:pPr>
            <w:r>
              <w:rPr>
                <w:rFonts w:ascii="Arial" w:cs="Arial" w:eastAsia="Arial" w:hAnsi="Arial"/>
                <w:sz w:val="13"/>
                <w:szCs w:val="13"/>
                <w:color w:val="auto"/>
              </w:rPr>
              <w:t>2031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990,691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6560" w:type="dxa"/>
            <w:vAlign w:val="bottom"/>
            <w:shd w:val="clear" w:color="auto" w:fill="CCEEFF"/>
          </w:tcPr>
          <w:p>
            <w:pPr>
              <w:spacing w:after="0"/>
              <w:rPr>
                <w:sz w:val="20"/>
                <w:szCs w:val="20"/>
                <w:color w:val="auto"/>
              </w:rPr>
            </w:pPr>
            <w:r>
              <w:rPr>
                <w:rFonts w:ascii="Arial" w:cs="Arial" w:eastAsia="Arial" w:hAnsi="Arial"/>
                <w:sz w:val="13"/>
                <w:szCs w:val="13"/>
                <w:color w:val="auto"/>
              </w:rPr>
              <w:t>Senior notes payable, net of discount at 5.875%</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2027</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845,866</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845,149</w:t>
            </w:r>
          </w:p>
        </w:tc>
        <w:tc>
          <w:tcPr>
            <w:tcW w:w="0" w:type="dxa"/>
            <w:vAlign w:val="bottom"/>
          </w:tcPr>
          <w:p>
            <w:pPr>
              <w:spacing w:after="0"/>
              <w:rPr>
                <w:sz w:val="1"/>
                <w:szCs w:val="1"/>
                <w:color w:val="auto"/>
              </w:rPr>
            </w:pPr>
          </w:p>
        </w:tc>
      </w:tr>
      <w:tr>
        <w:trPr>
          <w:trHeight w:val="168"/>
        </w:trPr>
        <w:tc>
          <w:tcPr>
            <w:tcW w:w="6560" w:type="dxa"/>
            <w:vAlign w:val="bottom"/>
          </w:tcPr>
          <w:p>
            <w:pPr>
              <w:spacing w:after="0"/>
              <w:rPr>
                <w:sz w:val="20"/>
                <w:szCs w:val="20"/>
                <w:color w:val="auto"/>
              </w:rPr>
            </w:pPr>
            <w:r>
              <w:rPr>
                <w:rFonts w:ascii="Arial" w:cs="Arial" w:eastAsia="Arial" w:hAnsi="Arial"/>
                <w:sz w:val="13"/>
                <w:szCs w:val="13"/>
                <w:color w:val="auto"/>
              </w:rPr>
              <w:t>Senior notes payable, net of premium and discount at 5.75%</w:t>
            </w:r>
          </w:p>
        </w:tc>
        <w:tc>
          <w:tcPr>
            <w:tcW w:w="980" w:type="dxa"/>
            <w:vAlign w:val="bottom"/>
          </w:tcPr>
          <w:p>
            <w:pPr>
              <w:jc w:val="right"/>
              <w:spacing w:after="0"/>
              <w:rPr>
                <w:sz w:val="20"/>
                <w:szCs w:val="20"/>
                <w:color w:val="auto"/>
              </w:rPr>
            </w:pPr>
            <w:r>
              <w:rPr>
                <w:rFonts w:ascii="Arial" w:cs="Arial" w:eastAsia="Arial" w:hAnsi="Arial"/>
                <w:sz w:val="13"/>
                <w:szCs w:val="13"/>
                <w:color w:val="auto"/>
              </w:rPr>
              <w:t>2025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1,001,693</w:t>
            </w:r>
          </w:p>
        </w:tc>
        <w:tc>
          <w:tcPr>
            <w:tcW w:w="0" w:type="dxa"/>
            <w:vAlign w:val="bottom"/>
          </w:tcPr>
          <w:p>
            <w:pPr>
              <w:spacing w:after="0"/>
              <w:rPr>
                <w:sz w:val="1"/>
                <w:szCs w:val="1"/>
                <w:color w:val="auto"/>
              </w:rPr>
            </w:pPr>
          </w:p>
        </w:tc>
      </w:tr>
      <w:tr>
        <w:trPr>
          <w:trHeight w:val="172"/>
        </w:trPr>
        <w:tc>
          <w:tcPr>
            <w:tcW w:w="6560" w:type="dxa"/>
            <w:vAlign w:val="bottom"/>
            <w:shd w:val="clear" w:color="auto" w:fill="CCEEFF"/>
          </w:tcPr>
          <w:p>
            <w:pPr>
              <w:spacing w:after="0"/>
              <w:rPr>
                <w:sz w:val="20"/>
                <w:szCs w:val="20"/>
                <w:color w:val="auto"/>
              </w:rPr>
            </w:pPr>
            <w:r>
              <w:rPr>
                <w:rFonts w:ascii="Arial" w:cs="Arial" w:eastAsia="Arial" w:hAnsi="Arial"/>
                <w:sz w:val="13"/>
                <w:szCs w:val="13"/>
                <w:color w:val="auto"/>
              </w:rPr>
              <w:t>Fifth Amended and Restated U.S. Credit Facility (defined below)</w:t>
            </w: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560" w:type="dxa"/>
            <w:vAlign w:val="bottom"/>
          </w:tcPr>
          <w:p>
            <w:pPr>
              <w:ind w:left="100"/>
              <w:spacing w:after="0"/>
              <w:rPr>
                <w:sz w:val="20"/>
                <w:szCs w:val="20"/>
                <w:color w:val="auto"/>
              </w:rPr>
            </w:pPr>
            <w:r>
              <w:rPr>
                <w:rFonts w:ascii="Arial" w:cs="Arial" w:eastAsia="Arial" w:hAnsi="Arial"/>
                <w:sz w:val="13"/>
                <w:szCs w:val="13"/>
                <w:color w:val="auto"/>
              </w:rPr>
              <w:t>Term note payable at 1.33%</w:t>
            </w:r>
          </w:p>
        </w:tc>
        <w:tc>
          <w:tcPr>
            <w:tcW w:w="980" w:type="dxa"/>
            <w:vAlign w:val="bottom"/>
          </w:tcPr>
          <w:p>
            <w:pPr>
              <w:jc w:val="right"/>
              <w:spacing w:after="0"/>
              <w:rPr>
                <w:sz w:val="20"/>
                <w:szCs w:val="20"/>
                <w:color w:val="auto"/>
              </w:rPr>
            </w:pPr>
            <w:r>
              <w:rPr>
                <w:rFonts w:ascii="Arial" w:cs="Arial" w:eastAsia="Arial" w:hAnsi="Arial"/>
                <w:sz w:val="13"/>
                <w:szCs w:val="13"/>
                <w:color w:val="auto"/>
              </w:rPr>
              <w:t>2026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506,250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65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Revolving note payable at 3.50%</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2026</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6560" w:type="dxa"/>
            <w:vAlign w:val="bottom"/>
          </w:tcPr>
          <w:p>
            <w:pPr>
              <w:spacing w:after="0"/>
              <w:rPr>
                <w:sz w:val="20"/>
                <w:szCs w:val="20"/>
                <w:color w:val="auto"/>
              </w:rPr>
            </w:pPr>
            <w:r>
              <w:rPr>
                <w:rFonts w:ascii="Arial" w:cs="Arial" w:eastAsia="Arial" w:hAnsi="Arial"/>
                <w:sz w:val="13"/>
                <w:szCs w:val="13"/>
                <w:color w:val="auto"/>
              </w:rPr>
              <w:t>Fourth Amended and Restated U.S. Credit Facility (defined below)</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5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Term note payable at 1.33%</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2023</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450,000</w:t>
            </w:r>
          </w:p>
        </w:tc>
        <w:tc>
          <w:tcPr>
            <w:tcW w:w="0" w:type="dxa"/>
            <w:vAlign w:val="bottom"/>
          </w:tcPr>
          <w:p>
            <w:pPr>
              <w:spacing w:after="0"/>
              <w:rPr>
                <w:sz w:val="1"/>
                <w:szCs w:val="1"/>
                <w:color w:val="auto"/>
              </w:rPr>
            </w:pPr>
          </w:p>
        </w:tc>
      </w:tr>
      <w:tr>
        <w:trPr>
          <w:trHeight w:val="168"/>
        </w:trPr>
        <w:tc>
          <w:tcPr>
            <w:tcW w:w="6560" w:type="dxa"/>
            <w:vAlign w:val="bottom"/>
          </w:tcPr>
          <w:p>
            <w:pPr>
              <w:ind w:left="100"/>
              <w:spacing w:after="0"/>
              <w:rPr>
                <w:sz w:val="20"/>
                <w:szCs w:val="20"/>
                <w:color w:val="auto"/>
              </w:rPr>
            </w:pPr>
            <w:r>
              <w:rPr>
                <w:rFonts w:ascii="Arial" w:cs="Arial" w:eastAsia="Arial" w:hAnsi="Arial"/>
                <w:sz w:val="13"/>
                <w:szCs w:val="13"/>
                <w:color w:val="auto"/>
              </w:rPr>
              <w:t>Revolving note payable at 3.50%</w:t>
            </w:r>
          </w:p>
        </w:tc>
        <w:tc>
          <w:tcPr>
            <w:tcW w:w="980" w:type="dxa"/>
            <w:vAlign w:val="bottom"/>
          </w:tcPr>
          <w:p>
            <w:pPr>
              <w:jc w:val="right"/>
              <w:spacing w:after="0"/>
              <w:rPr>
                <w:sz w:val="20"/>
                <w:szCs w:val="20"/>
                <w:color w:val="auto"/>
              </w:rPr>
            </w:pPr>
            <w:r>
              <w:rPr>
                <w:rFonts w:ascii="Arial" w:cs="Arial" w:eastAsia="Arial" w:hAnsi="Arial"/>
                <w:sz w:val="13"/>
                <w:szCs w:val="13"/>
                <w:color w:val="auto"/>
              </w:rPr>
              <w:t>2023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3"/>
        </w:trPr>
        <w:tc>
          <w:tcPr>
            <w:tcW w:w="6560" w:type="dxa"/>
            <w:vAlign w:val="bottom"/>
            <w:shd w:val="clear" w:color="auto" w:fill="CCEEFF"/>
          </w:tcPr>
          <w:p>
            <w:pPr>
              <w:spacing w:after="0" w:line="134" w:lineRule="exact"/>
              <w:rPr>
                <w:sz w:val="20"/>
                <w:szCs w:val="20"/>
                <w:color w:val="auto"/>
              </w:rPr>
            </w:pPr>
            <w:r>
              <w:rPr>
                <w:rFonts w:ascii="Arial" w:cs="Arial" w:eastAsia="Arial" w:hAnsi="Arial"/>
                <w:sz w:val="13"/>
                <w:szCs w:val="13"/>
                <w:color w:val="auto"/>
              </w:rPr>
              <w:t>Moy Park Bank of Ireland Revolving Facility with notes payable at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2023</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1"/>
                <w:szCs w:val="11"/>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6"/>
        </w:trPr>
        <w:tc>
          <w:tcPr>
            <w:tcW w:w="6560" w:type="dxa"/>
            <w:vAlign w:val="bottom"/>
            <w:shd w:val="clear" w:color="auto" w:fill="CCEEFF"/>
          </w:tcPr>
          <w:p>
            <w:pPr>
              <w:ind w:left="160"/>
              <w:spacing w:after="0"/>
              <w:rPr>
                <w:sz w:val="20"/>
                <w:szCs w:val="20"/>
                <w:color w:val="auto"/>
              </w:rPr>
            </w:pPr>
            <w:r>
              <w:rPr>
                <w:rFonts w:ascii="Arial" w:cs="Arial" w:eastAsia="Arial" w:hAnsi="Arial"/>
                <w:sz w:val="13"/>
                <w:szCs w:val="13"/>
                <w:color w:val="auto"/>
              </w:rPr>
              <w:t>LIBOR or EURIBOR plus 1.25% to 2.00%</w:t>
            </w:r>
          </w:p>
        </w:tc>
        <w:tc>
          <w:tcPr>
            <w:tcW w:w="9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20" w:type="dxa"/>
            <w:vAlign w:val="bottom"/>
            <w:gridSpan w:val="2"/>
            <w:vMerge w:val="continue"/>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6560" w:type="dxa"/>
            <w:vAlign w:val="bottom"/>
          </w:tcPr>
          <w:p>
            <w:pPr>
              <w:spacing w:after="0" w:line="131" w:lineRule="exact"/>
              <w:rPr>
                <w:sz w:val="20"/>
                <w:szCs w:val="20"/>
                <w:color w:val="auto"/>
              </w:rPr>
            </w:pPr>
            <w:r>
              <w:rPr>
                <w:rFonts w:ascii="Arial" w:cs="Arial" w:eastAsia="Arial" w:hAnsi="Arial"/>
                <w:sz w:val="13"/>
                <w:szCs w:val="13"/>
                <w:color w:val="auto"/>
              </w:rPr>
              <w:t>Mexico Credit Facility (defined below) with notes payable at</w:t>
            </w:r>
          </w:p>
        </w:tc>
        <w:tc>
          <w:tcPr>
            <w:tcW w:w="980" w:type="dxa"/>
            <w:vAlign w:val="bottom"/>
            <w:vMerge w:val="restart"/>
          </w:tcPr>
          <w:p>
            <w:pPr>
              <w:jc w:val="right"/>
              <w:spacing w:after="0"/>
              <w:rPr>
                <w:sz w:val="20"/>
                <w:szCs w:val="20"/>
                <w:color w:val="auto"/>
              </w:rPr>
            </w:pPr>
            <w:r>
              <w:rPr>
                <w:rFonts w:ascii="Arial" w:cs="Arial" w:eastAsia="Arial" w:hAnsi="Arial"/>
                <w:sz w:val="13"/>
                <w:szCs w:val="13"/>
                <w:color w:val="auto"/>
              </w:rPr>
              <w:t>2023</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1"/>
                <w:szCs w:val="11"/>
                <w:color w:val="auto"/>
              </w:rPr>
            </w:pPr>
          </w:p>
        </w:tc>
        <w:tc>
          <w:tcPr>
            <w:tcW w:w="14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4"/>
        </w:trPr>
        <w:tc>
          <w:tcPr>
            <w:tcW w:w="6560" w:type="dxa"/>
            <w:vAlign w:val="bottom"/>
          </w:tcPr>
          <w:p>
            <w:pPr>
              <w:ind w:left="160"/>
              <w:spacing w:after="0"/>
              <w:rPr>
                <w:sz w:val="20"/>
                <w:szCs w:val="20"/>
                <w:color w:val="auto"/>
              </w:rPr>
            </w:pPr>
            <w:r>
              <w:rPr>
                <w:rFonts w:ascii="Arial" w:cs="Arial" w:eastAsia="Arial" w:hAnsi="Arial"/>
                <w:sz w:val="13"/>
                <w:szCs w:val="13"/>
                <w:color w:val="auto"/>
              </w:rPr>
              <w:t>TIIE Rate plus 1.50%</w:t>
            </w:r>
          </w:p>
        </w:tc>
        <w:tc>
          <w:tcPr>
            <w:tcW w:w="9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2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14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560" w:type="dxa"/>
            <w:vAlign w:val="bottom"/>
            <w:shd w:val="clear" w:color="auto" w:fill="CCEEFF"/>
          </w:tcPr>
          <w:p>
            <w:pPr>
              <w:spacing w:after="0"/>
              <w:rPr>
                <w:sz w:val="20"/>
                <w:szCs w:val="20"/>
                <w:color w:val="auto"/>
              </w:rPr>
            </w:pPr>
            <w:r>
              <w:rPr>
                <w:rFonts w:ascii="Arial" w:cs="Arial" w:eastAsia="Arial" w:hAnsi="Arial"/>
                <w:sz w:val="13"/>
                <w:szCs w:val="13"/>
                <w:color w:val="auto"/>
              </w:rPr>
              <w:t>Secured loans with payables at weighted average of 3.34%</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Various</w:t>
            </w:r>
          </w:p>
        </w:tc>
        <w:tc>
          <w:tcPr>
            <w:tcW w:w="24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w:t>
            </w:r>
          </w:p>
        </w:tc>
        <w:tc>
          <w:tcPr>
            <w:tcW w:w="0" w:type="dxa"/>
            <w:vAlign w:val="bottom"/>
          </w:tcPr>
          <w:p>
            <w:pPr>
              <w:spacing w:after="0"/>
              <w:rPr>
                <w:sz w:val="1"/>
                <w:szCs w:val="1"/>
                <w:color w:val="auto"/>
              </w:rPr>
            </w:pPr>
          </w:p>
        </w:tc>
      </w:tr>
      <w:tr>
        <w:trPr>
          <w:trHeight w:val="168"/>
        </w:trPr>
        <w:tc>
          <w:tcPr>
            <w:tcW w:w="656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Finance lease obligations</w:t>
            </w:r>
          </w:p>
        </w:tc>
        <w:tc>
          <w:tcPr>
            <w:tcW w:w="108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3"/>
                <w:szCs w:val="13"/>
                <w:color w:val="auto"/>
              </w:rPr>
              <w:t>Various</w:t>
            </w:r>
          </w:p>
        </w:tc>
        <w:tc>
          <w:tcPr>
            <w:tcW w:w="2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4,548</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1,664</w:t>
            </w:r>
          </w:p>
        </w:tc>
        <w:tc>
          <w:tcPr>
            <w:tcW w:w="0" w:type="dxa"/>
            <w:vAlign w:val="bottom"/>
          </w:tcPr>
          <w:p>
            <w:pPr>
              <w:spacing w:after="0"/>
              <w:rPr>
                <w:sz w:val="1"/>
                <w:szCs w:val="1"/>
                <w:color w:val="auto"/>
              </w:rPr>
            </w:pPr>
          </w:p>
        </w:tc>
      </w:tr>
      <w:tr>
        <w:trPr>
          <w:trHeight w:val="163"/>
        </w:trPr>
        <w:tc>
          <w:tcPr>
            <w:tcW w:w="6560" w:type="dxa"/>
            <w:vAlign w:val="bottom"/>
            <w:shd w:val="clear" w:color="auto" w:fill="CCEEFF"/>
          </w:tcPr>
          <w:p>
            <w:pPr>
              <w:spacing w:after="0"/>
              <w:rPr>
                <w:sz w:val="20"/>
                <w:szCs w:val="20"/>
                <w:color w:val="auto"/>
              </w:rPr>
            </w:pPr>
            <w:r>
              <w:rPr>
                <w:rFonts w:ascii="Arial" w:cs="Arial" w:eastAsia="Arial" w:hAnsi="Arial"/>
                <w:sz w:val="13"/>
                <w:szCs w:val="13"/>
                <w:color w:val="auto"/>
              </w:rPr>
              <w:t>Long-term debt</w:t>
            </w: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3,247,358</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2,298,544</w:t>
            </w:r>
          </w:p>
        </w:tc>
        <w:tc>
          <w:tcPr>
            <w:tcW w:w="0" w:type="dxa"/>
            <w:vAlign w:val="bottom"/>
          </w:tcPr>
          <w:p>
            <w:pPr>
              <w:spacing w:after="0"/>
              <w:rPr>
                <w:sz w:val="1"/>
                <w:szCs w:val="1"/>
                <w:color w:val="auto"/>
              </w:rPr>
            </w:pPr>
          </w:p>
        </w:tc>
      </w:tr>
      <w:tr>
        <w:trPr>
          <w:trHeight w:val="168"/>
        </w:trPr>
        <w:tc>
          <w:tcPr>
            <w:tcW w:w="656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Less: Current maturities of long-term debt</w:t>
            </w:r>
          </w:p>
        </w:tc>
        <w:tc>
          <w:tcPr>
            <w:tcW w:w="9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(26,246)</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(25,455)</w:t>
            </w:r>
          </w:p>
        </w:tc>
        <w:tc>
          <w:tcPr>
            <w:tcW w:w="0" w:type="dxa"/>
            <w:vAlign w:val="bottom"/>
          </w:tcPr>
          <w:p>
            <w:pPr>
              <w:spacing w:after="0"/>
              <w:rPr>
                <w:sz w:val="1"/>
                <w:szCs w:val="1"/>
                <w:color w:val="auto"/>
              </w:rPr>
            </w:pPr>
          </w:p>
        </w:tc>
      </w:tr>
      <w:tr>
        <w:trPr>
          <w:trHeight w:val="163"/>
        </w:trPr>
        <w:tc>
          <w:tcPr>
            <w:tcW w:w="6560" w:type="dxa"/>
            <w:vAlign w:val="bottom"/>
            <w:shd w:val="clear" w:color="auto" w:fill="CCEEFF"/>
          </w:tcPr>
          <w:p>
            <w:pPr>
              <w:ind w:left="200"/>
              <w:spacing w:after="0"/>
              <w:rPr>
                <w:sz w:val="20"/>
                <w:szCs w:val="20"/>
                <w:color w:val="auto"/>
              </w:rPr>
            </w:pPr>
            <w:r>
              <w:rPr>
                <w:rFonts w:ascii="Arial" w:cs="Arial" w:eastAsia="Arial" w:hAnsi="Arial"/>
                <w:sz w:val="13"/>
                <w:szCs w:val="13"/>
                <w:color w:val="auto"/>
              </w:rPr>
              <w:t>Long-term debt, less current maturities</w:t>
            </w: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3,221,112</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2,273,089</w:t>
            </w:r>
          </w:p>
        </w:tc>
        <w:tc>
          <w:tcPr>
            <w:tcW w:w="0" w:type="dxa"/>
            <w:vAlign w:val="bottom"/>
          </w:tcPr>
          <w:p>
            <w:pPr>
              <w:spacing w:after="0"/>
              <w:rPr>
                <w:sz w:val="1"/>
                <w:szCs w:val="1"/>
                <w:color w:val="auto"/>
              </w:rPr>
            </w:pPr>
          </w:p>
        </w:tc>
      </w:tr>
      <w:tr>
        <w:trPr>
          <w:trHeight w:val="168"/>
        </w:trPr>
        <w:tc>
          <w:tcPr>
            <w:tcW w:w="656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Less: Capitalized financing costs</w:t>
            </w:r>
          </w:p>
        </w:tc>
        <w:tc>
          <w:tcPr>
            <w:tcW w:w="9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(29,951)</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(17,543)</w:t>
            </w:r>
          </w:p>
        </w:tc>
        <w:tc>
          <w:tcPr>
            <w:tcW w:w="0" w:type="dxa"/>
            <w:vAlign w:val="bottom"/>
          </w:tcPr>
          <w:p>
            <w:pPr>
              <w:spacing w:after="0"/>
              <w:rPr>
                <w:sz w:val="1"/>
                <w:szCs w:val="1"/>
                <w:color w:val="auto"/>
              </w:rPr>
            </w:pPr>
          </w:p>
        </w:tc>
      </w:tr>
      <w:tr>
        <w:trPr>
          <w:trHeight w:val="113"/>
        </w:trPr>
        <w:tc>
          <w:tcPr>
            <w:tcW w:w="6560" w:type="dxa"/>
            <w:vAlign w:val="bottom"/>
            <w:shd w:val="clear" w:color="auto" w:fill="CCEEFF"/>
          </w:tcPr>
          <w:p>
            <w:pPr>
              <w:ind w:left="340"/>
              <w:spacing w:after="0" w:line="114" w:lineRule="exact"/>
              <w:rPr>
                <w:sz w:val="20"/>
                <w:szCs w:val="20"/>
                <w:color w:val="auto"/>
              </w:rPr>
            </w:pPr>
            <w:r>
              <w:rPr>
                <w:rFonts w:ascii="Arial" w:cs="Arial" w:eastAsia="Arial" w:hAnsi="Arial"/>
                <w:sz w:val="13"/>
                <w:szCs w:val="13"/>
                <w:color w:val="auto"/>
              </w:rPr>
              <w:t>Long-term debt, less current maturities, net of capitalized</w:t>
            </w:r>
          </w:p>
        </w:tc>
        <w:tc>
          <w:tcPr>
            <w:tcW w:w="9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vMerge w:val="restart"/>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3,191,161</w:t>
            </w:r>
          </w:p>
        </w:tc>
        <w:tc>
          <w:tcPr>
            <w:tcW w:w="100" w:type="dxa"/>
            <w:vAlign w:val="bottom"/>
            <w:shd w:val="clear" w:color="auto" w:fill="CCEEFF"/>
          </w:tcPr>
          <w:p>
            <w:pPr>
              <w:spacing w:after="0"/>
              <w:rPr>
                <w:sz w:val="9"/>
                <w:szCs w:val="9"/>
                <w:color w:val="auto"/>
              </w:rPr>
            </w:pPr>
          </w:p>
        </w:tc>
        <w:tc>
          <w:tcPr>
            <w:tcW w:w="340" w:type="dxa"/>
            <w:vAlign w:val="bottom"/>
            <w:vMerge w:val="restart"/>
            <w:shd w:val="clear" w:color="auto" w:fill="CCEEFF"/>
          </w:tcPr>
          <w:p>
            <w:pPr>
              <w:jc w:val="right"/>
              <w:ind w:right="232"/>
              <w:spacing w:after="0"/>
              <w:rPr>
                <w:sz w:val="20"/>
                <w:szCs w:val="20"/>
                <w:color w:val="auto"/>
              </w:rPr>
            </w:pPr>
            <w:r>
              <w:rPr>
                <w:rFonts w:ascii="Arial" w:cs="Arial" w:eastAsia="Arial" w:hAnsi="Arial"/>
                <w:sz w:val="10"/>
                <w:szCs w:val="10"/>
                <w:color w:val="auto"/>
                <w:w w:val="71"/>
              </w:rPr>
              <w:t>$</w:t>
            </w: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2,255,546</w:t>
            </w:r>
          </w:p>
        </w:tc>
        <w:tc>
          <w:tcPr>
            <w:tcW w:w="0" w:type="dxa"/>
            <w:vAlign w:val="bottom"/>
          </w:tcPr>
          <w:p>
            <w:pPr>
              <w:spacing w:after="0"/>
              <w:rPr>
                <w:sz w:val="1"/>
                <w:szCs w:val="1"/>
                <w:color w:val="auto"/>
              </w:rPr>
            </w:pPr>
          </w:p>
        </w:tc>
      </w:tr>
      <w:tr>
        <w:trPr>
          <w:trHeight w:val="165"/>
        </w:trPr>
        <w:tc>
          <w:tcPr>
            <w:tcW w:w="6560" w:type="dxa"/>
            <w:vAlign w:val="bottom"/>
            <w:tcBorders>
              <w:bottom w:val="single" w:sz="8" w:color="CCEEFF"/>
            </w:tcBorders>
            <w:shd w:val="clear" w:color="auto" w:fill="CCEEFF"/>
          </w:tcPr>
          <w:p>
            <w:pPr>
              <w:ind w:left="340"/>
              <w:spacing w:after="0" w:line="145" w:lineRule="exact"/>
              <w:rPr>
                <w:sz w:val="20"/>
                <w:szCs w:val="20"/>
                <w:color w:val="auto"/>
              </w:rPr>
            </w:pPr>
            <w:r>
              <w:rPr>
                <w:rFonts w:ascii="Arial" w:cs="Arial" w:eastAsia="Arial" w:hAnsi="Arial"/>
                <w:sz w:val="13"/>
                <w:szCs w:val="13"/>
                <w:color w:val="auto"/>
              </w:rPr>
              <w:t>financing costs</w:t>
            </w:r>
          </w:p>
        </w:tc>
        <w:tc>
          <w:tcPr>
            <w:tcW w:w="9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vMerge w:val="continue"/>
            <w:shd w:val="clear" w:color="auto" w:fill="CCEEFF"/>
          </w:tcPr>
          <w:p>
            <w:pPr>
              <w:spacing w:after="0"/>
              <w:rPr>
                <w:sz w:val="14"/>
                <w:szCs w:val="14"/>
                <w:color w:val="auto"/>
              </w:rPr>
            </w:pPr>
          </w:p>
        </w:tc>
        <w:tc>
          <w:tcPr>
            <w:tcW w:w="152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vMerge w:val="continue"/>
            <w:shd w:val="clear" w:color="auto" w:fill="CCEEFF"/>
          </w:tcPr>
          <w:p>
            <w:pPr>
              <w:spacing w:after="0"/>
              <w:rPr>
                <w:sz w:val="14"/>
                <w:szCs w:val="14"/>
                <w:color w:val="auto"/>
              </w:rPr>
            </w:pPr>
          </w:p>
        </w:tc>
        <w:tc>
          <w:tcPr>
            <w:tcW w:w="142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U.S. Senior Notes</w:t>
      </w:r>
    </w:p>
    <w:p>
      <w:pPr>
        <w:spacing w:after="0" w:line="140" w:lineRule="exact"/>
        <w:rPr>
          <w:sz w:val="20"/>
          <w:szCs w:val="20"/>
          <w:color w:val="auto"/>
        </w:rPr>
      </w:pPr>
    </w:p>
    <w:p>
      <w:pPr>
        <w:jc w:val="both"/>
        <w:ind w:firstLine="509"/>
        <w:spacing w:after="0" w:line="258" w:lineRule="auto"/>
        <w:rPr>
          <w:sz w:val="20"/>
          <w:szCs w:val="20"/>
          <w:color w:val="auto"/>
        </w:rPr>
      </w:pPr>
      <w:r>
        <w:rPr>
          <w:rFonts w:ascii="Arial" w:cs="Arial" w:eastAsia="Arial" w:hAnsi="Arial"/>
          <w:sz w:val="14"/>
          <w:szCs w:val="14"/>
          <w:color w:val="auto"/>
        </w:rPr>
        <w:t>On March 11, 2015, the Company completed a sale of $500.0 million aggregate principal amount of its 5.75% senior notes due 2025. On September 29, 2017, the Company completed an add-on offering of $250.0 million of these senior notes. The issuance price of this add-on offering was 102.0%, which created gross proceeds of $255.0 million. The additional $5.0 million will be amortized over the remaining life of the senior notes. On March 7, 2018, the Company completed another add-on offering of $250.0 million of these senior notes (together with the senior notes issued in March 2015 and September 2017, the “Senior Notes due 2025”). The issuance price of this add-on offering was 99.25%, which created gross proceeds of $248.1 million. The $1.9 million discount will be amortized over the remaining life of the senior notes. Each issuance of the Senior Notes due 2025 is treated as a single class for all purposes under the 2015 Indenture (defined below) and have the same terms.</w:t>
      </w:r>
    </w:p>
    <w:p>
      <w:pPr>
        <w:spacing w:after="0" w:line="107"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color w:val="auto"/>
        </w:rPr>
        <w:t>The Senior Notes due 2025 are governed by, and were issued pursuant to, an indenture dated as of March 11, 2015 by and among the Company, its guarantor subsidiaries and Regions Bank, as trustee (the “2015 Indenture”). The 2015 Indenture provides, among other things, that the Senior Notes due 2025 bear interest at a rate of 5.75% per annum from the date of issuance until maturity, payable semiannually in cash in arrears, beginning on September 15, 2015 for the Senior Notes due 2025 that were issued in March 2015 and beginning on March 15, 2018 for the Senior Notes due 2025 that were issued in September 2017 and March 2018.</w:t>
      </w:r>
    </w:p>
    <w:p>
      <w:pPr>
        <w:spacing w:after="0" w:line="103"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4"/>
          <w:szCs w:val="14"/>
          <w:color w:val="auto"/>
        </w:rPr>
        <w:t>On April 8, 2021, the Company announced the early tender results in connection with its previously announced offer to purchase for cash any and all of the $1.0 billion aggregate principal amount of the Senior Notes due 2025. Outstanding principal totaling $896.1 million, representing 89.6% of the Senior Notes due 2025, was validly tendered. On April 14, 2021, the Company redeemed $103.9 million, which represented the remaining outstanding principal balance of the Senior Notes due 2025. Tender and call premium of $21.3 million, capitalized financing costs of $4.6 million, remaining original issue premium of $2.6 million from the add-on offering in September 2017 and remaining original issue discount of $1.1 million from the add-on offering in March 2018 were recognized in earnings during the second quarter of 2021.</w:t>
      </w:r>
    </w:p>
    <w:p>
      <w:pPr>
        <w:spacing w:after="0" w:line="104" w:lineRule="exact"/>
        <w:rPr>
          <w:sz w:val="20"/>
          <w:szCs w:val="20"/>
          <w:color w:val="auto"/>
        </w:rPr>
      </w:pPr>
    </w:p>
    <w:p>
      <w:pPr>
        <w:jc w:val="both"/>
        <w:ind w:firstLine="509"/>
        <w:spacing w:after="0" w:line="321" w:lineRule="auto"/>
        <w:rPr>
          <w:sz w:val="20"/>
          <w:szCs w:val="20"/>
          <w:color w:val="auto"/>
        </w:rPr>
      </w:pPr>
      <w:r>
        <w:rPr>
          <w:rFonts w:ascii="Arial" w:cs="Arial" w:eastAsia="Arial" w:hAnsi="Arial"/>
          <w:sz w:val="13"/>
          <w:szCs w:val="13"/>
          <w:color w:val="auto"/>
        </w:rPr>
        <w:t>On September 29, 2017, the Company completed a sale of $600.0 million aggregate principal amount of its 5.875% senior notes due 2027. On March 7, 2018, the Company completed an add-on offering of $250.0 million of these senior notes (together with the senior notes issued in September 2017, the “Senior Notes due 2027”). The issuance price of this</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3" w:name="page74"/>
    <w:bookmarkEnd w:id="7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NOTES TO CONSOLIDATED FINANCIAL STATEMENTS</w:t>
      </w:r>
    </w:p>
    <w:p>
      <w:pPr>
        <w:spacing w:after="0" w:line="391"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add-on offering was 97.25%, which created gross proceeds of $243.1 million. The $6.9 million discount will be amortized over the remaining life of the Senior Notes due 2027. Each issuance of the Senior Notes due 2027 is treated as a single class for all purposes under the 2017 Indenture (defined below) and have the same terms.</w:t>
      </w:r>
    </w:p>
    <w:p>
      <w:pPr>
        <w:spacing w:after="0" w:line="90"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color w:val="auto"/>
        </w:rPr>
        <w:t>The Senior Notes due 2027 are governed by, and were issued pursuant to, an indenture dated as of September 29, 2017 by and among the Company, its guarantor subsidiaries and Regions Bank, as trustee (the “2017 Indenture”). The 2017 Indenture provides, among other things, that the Senior Notes due 2027 bear interest at a rate of 5.875% per annum from the date of issuance until maturity, payable semiannually in cash in arrears, beginning on March 30, 2018 for the Senior Notes due 2027 that were issued in September 2017 and beginning on March 15, 2018 for the Senior Notes due 2027 that were issued in March 2018.</w:t>
      </w:r>
    </w:p>
    <w:p>
      <w:pPr>
        <w:spacing w:after="0" w:line="103"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color w:val="auto"/>
        </w:rPr>
        <w:t>On April 8, 2021, the Company completed a sale of $1.0 billion aggregate principal amount of its 4.25% sustainability-linked senior notes due 2031 (“Senior Notes due 2031”). The Company used the net proceeds, together with cash on hand, to redeem the Senior Notes due 2025. The issuance price of this offering was 98.994%, which created gross proceeds of $989.9 million. The $10.1 million discount will be amortized over the remaining life of the Senior Notes due 2031. Each issuance of the Senior Notes due 2031 is treated as a single class for all purposes under the April 2021 Indenture (defined below) and have the same terms.</w:t>
      </w:r>
    </w:p>
    <w:p>
      <w:pPr>
        <w:spacing w:after="0" w:line="103"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4"/>
          <w:szCs w:val="14"/>
          <w:color w:val="auto"/>
        </w:rPr>
        <w:t>The Senior Notes due 2031 are governed by, and were issued pursuant to, an indenture dated as of April 8, 2021 by and among the Company, its guarantor subsidiaries and Regions Bank, as trustee (the “April 2021 Indenture”). The April 2021 Indenture provides, among other things, that the Senior Notes due 2031 bear interest at a rate of 4.25% per annum payable semi-annually on April 15 and October 15 of each year, beginning on October 15, 2021. From and including October 15, 2026, the interest rate payable on the notes shall be increased to 4.50% per annum unless the Company has notified the trustee at least 30 days prior to October 15, 2026 that in respect of the year ended December 31, 2025, (1) the Company’s greenhouse gas emissions intensity reduction target of 17.679% by December 31, 2025 from a 2019 baseline (the “Sustainability Performance Target”) has been satisfied and (2) the satisfaction of the Sustainability Performance Target has been confirmed by a qualified provider of third-party assurance or attestation services appointed by the Company to review the Company’s statement of the greenhouse gas emissions intensity in accordance with its customary procedures.</w:t>
      </w:r>
    </w:p>
    <w:p>
      <w:pPr>
        <w:spacing w:after="0" w:line="109" w:lineRule="exact"/>
        <w:rPr>
          <w:sz w:val="20"/>
          <w:szCs w:val="20"/>
          <w:color w:val="auto"/>
        </w:rPr>
      </w:pPr>
    </w:p>
    <w:p>
      <w:pPr>
        <w:jc w:val="both"/>
        <w:ind w:firstLine="509"/>
        <w:spacing w:after="0" w:line="297" w:lineRule="auto"/>
        <w:rPr>
          <w:sz w:val="20"/>
          <w:szCs w:val="20"/>
          <w:color w:val="auto"/>
        </w:rPr>
      </w:pPr>
      <w:r>
        <w:rPr>
          <w:rFonts w:ascii="Arial" w:cs="Arial" w:eastAsia="Arial" w:hAnsi="Arial"/>
          <w:sz w:val="13"/>
          <w:szCs w:val="13"/>
          <w:color w:val="auto"/>
        </w:rPr>
        <w:t>On September 2, 2021, the Company completed a sale of $900.0 million in aggregate principal amount of its 3.50% senior notes due 2032 (“Senior Notes due 2032”). The Company used the proceeds, together with borrowings under the delayed draw term loan under its U.S. Credit Facility, to finance the Kerry Meats and Meals Acquisition and to pay related fees and expenses. Each issuance of the Senior Notes due 2032 is treated as a single class for all purposes under the September 2021 Indenture (defined below) and have the same terms.</w:t>
      </w:r>
    </w:p>
    <w:p>
      <w:pPr>
        <w:spacing w:after="0" w:line="82"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4"/>
          <w:szCs w:val="14"/>
          <w:color w:val="auto"/>
        </w:rPr>
        <w:t>The Senior Notes due 2032 are governed by, and were issued pursuant to, an indenture dated as of September 2, 2021 by and among the Company, its guarantor subsidiaries and Regions Bank, as trustee (the “September 2021 Indenture”). The September 2021 Indenture provides, among other things, that the Senior Notes due 2032 bear interest at a rate of 3.50% per annum payable semi-annually on March 1 and September 1 of each year, beginning on March 1, 2022.</w:t>
      </w:r>
    </w:p>
    <w:p>
      <w:pPr>
        <w:spacing w:after="0" w:line="99"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4"/>
          <w:szCs w:val="14"/>
          <w:color w:val="auto"/>
        </w:rPr>
        <w:t>The Senior Notes due 2025, the Senior Notes due 2027, the Senior Notes due 2031 and the Senior Notes due 2032 were and are each guaranteed on a senior unsecured basis by the Company’s guarantor subsidiaries. In addition, any of the Company’s other existing or future domestic restricted subsidiaries that incur or guarantee any other indebtedness (with limited exceptions) must also guarantee the Senior Notes due 2027 and the Senior Notes due 2031. The Senior Notes due 2025, the Senior Notes due 2027, the Senior Notes due 2031 and the Senior Notes due 2032 and related guarantees were and are unsecured senior obligations of the Company and its guarantor subsidiaries and rank equally with all of the Company’s and its guarantor subsidiaries’ other unsubordinated indebtedness. The Senior Notes due 2027, the 2017 Indenture, the Senior Notes due 2031, the April 2021 Indenture, the Senior Notes due 2032 and the September 2021 Indenture also contain customary covenants and events of default, including failure to pay principal or interest on the Senior Notes due 2027, the Senior Notes due 2031 and the Senior Notes due 2032, respectively, when due, among others.</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U.S. Credit Facility</w:t>
      </w:r>
    </w:p>
    <w:p>
      <w:pPr>
        <w:spacing w:after="0" w:line="140"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4"/>
          <w:szCs w:val="14"/>
          <w:color w:val="auto"/>
        </w:rPr>
        <w:t>On July 20, 2018, the Company, and certain of the Company’s subsidiaries entered into a Fourth Amended and Restated Credit Agreement (the “Fourth U.S. Credit Facility”) with CoBank, ACB, as administrative agent and collateral agent, and the other lenders party thereto. The Fourth U.S. Credit Facility provides for a $750.0 million revolving credit commitment and a term loan commitment of up to $500.0 million (the “Term Loans”). The Company used the proceeds from the term loan commitment under the U.S. Credit Facility, together with cash on hand, to repay the outstanding loans under the Company’s previous credit agreement with Coöperatieve Rabobank U.A., New York Branch, as administrative agent, and the other lenders and financial institutions party thereto. On August 9, 2021, the Company refinanced the Fourth U.S. Credit Facility resulting in</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4" w:name="page75"/>
    <w:bookmarkEnd w:id="7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NOTES TO CONSOLIDATED FINANCIAL STATEMENTS</w:t>
      </w:r>
    </w:p>
    <w:p>
      <w:pPr>
        <w:spacing w:after="0" w:line="391" w:lineRule="exact"/>
        <w:rPr>
          <w:sz w:val="20"/>
          <w:szCs w:val="20"/>
          <w:color w:val="auto"/>
        </w:rPr>
      </w:pPr>
    </w:p>
    <w:p>
      <w:pPr>
        <w:spacing w:after="0"/>
        <w:rPr>
          <w:sz w:val="20"/>
          <w:szCs w:val="20"/>
          <w:color w:val="auto"/>
        </w:rPr>
      </w:pPr>
      <w:r>
        <w:rPr>
          <w:rFonts w:ascii="Arial" w:cs="Arial" w:eastAsia="Arial" w:hAnsi="Arial"/>
          <w:sz w:val="14"/>
          <w:szCs w:val="14"/>
          <w:color w:val="auto"/>
        </w:rPr>
        <w:t>a loss on early extinguishment of debt of $400 thousand from capitalized loan costs recognized as component of interest expense.</w:t>
      </w:r>
    </w:p>
    <w:p>
      <w:pPr>
        <w:spacing w:after="0" w:line="136" w:lineRule="exact"/>
        <w:rPr>
          <w:sz w:val="20"/>
          <w:szCs w:val="20"/>
          <w:color w:val="auto"/>
        </w:rPr>
      </w:pPr>
    </w:p>
    <w:p>
      <w:pPr>
        <w:jc w:val="both"/>
        <w:ind w:firstLine="509"/>
        <w:spacing w:after="0" w:line="258" w:lineRule="auto"/>
        <w:rPr>
          <w:sz w:val="20"/>
          <w:szCs w:val="20"/>
          <w:color w:val="auto"/>
        </w:rPr>
      </w:pPr>
      <w:r>
        <w:rPr>
          <w:rFonts w:ascii="Arial" w:cs="Arial" w:eastAsia="Arial" w:hAnsi="Arial"/>
          <w:sz w:val="14"/>
          <w:szCs w:val="14"/>
          <w:color w:val="auto"/>
        </w:rPr>
        <w:t>On August 9, 2021, the Company, and certain of the Company’s subsidiaries refinanced the Fourth U.S. Credit Facility, entering into a Fifth Amended and Restated Credit Agreement (the “Fifth U.S. Credit Facility”) with CoBank, ACB, as administrative agent and collateral agent, and the other lenders party thereto. The Fifth U.S. Credit Facility provides for an $800.0 million revolving credit commitment and a term loan commitment of up to $700.0 million (the “New Term Loans”), with outstanding borrowings of $506.3 million and a delayed draw commitment of $193.7 million for up to six months from the effective date. The Company used the proceeds of the New Term Loans for refinancing the Fourth U.S. Credit Facility maturing on July 20, 2023, to pay the fees and expenses incurred in connection with the transaction and for general corporate purposes. On February 8, 2022, the Company borrowed the remaining $193.7 million of the delayed draw commitment on the New Term Loans.</w:t>
      </w:r>
    </w:p>
    <w:p>
      <w:pPr>
        <w:spacing w:after="0" w:line="107"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4"/>
          <w:szCs w:val="14"/>
          <w:color w:val="auto"/>
        </w:rPr>
        <w:t>The Fifth U.S. Credit Facility includes an incremental commitment and loan feature that allows the Company, subject to certain conditions, to increase the aggregate revolving loan and term loan commitments. The aggregate amount of incremental commitments and loans shall not exceed the sum of $500.0 million plus the maximum amount that would result in a senior secured leverage ratio, on a pro-forma basis, of not more than 3.00 to 1.00.</w:t>
      </w:r>
    </w:p>
    <w:p>
      <w:pPr>
        <w:spacing w:after="0" w:line="99" w:lineRule="exact"/>
        <w:rPr>
          <w:sz w:val="20"/>
          <w:szCs w:val="20"/>
          <w:color w:val="auto"/>
        </w:rPr>
      </w:pPr>
    </w:p>
    <w:p>
      <w:pPr>
        <w:jc w:val="both"/>
        <w:ind w:firstLine="509"/>
        <w:spacing w:after="0" w:line="296" w:lineRule="auto"/>
        <w:rPr>
          <w:sz w:val="20"/>
          <w:szCs w:val="20"/>
          <w:color w:val="auto"/>
        </w:rPr>
      </w:pPr>
      <w:r>
        <w:rPr>
          <w:rFonts w:ascii="Arial" w:cs="Arial" w:eastAsia="Arial" w:hAnsi="Arial"/>
          <w:sz w:val="13"/>
          <w:szCs w:val="13"/>
          <w:color w:val="auto"/>
        </w:rPr>
        <w:t xml:space="preserve">The revolving loan commitment under the Fifth U.S. Credit Facility matures on August 9, 2026. All principal on the New Term Loans is due at maturity on August 9, 2026. Installments of principal are required to be made, in an amount equal to 1.25% </w:t>
      </w:r>
      <w:r>
        <w:rPr>
          <w:rFonts w:ascii="Arial" w:cs="Arial" w:eastAsia="Arial" w:hAnsi="Arial"/>
          <w:sz w:val="14"/>
          <w:szCs w:val="14"/>
          <w:color w:val="auto"/>
        </w:rPr>
        <w:t>of</w:t>
      </w:r>
      <w:r>
        <w:rPr>
          <w:rFonts w:ascii="Arial" w:cs="Arial" w:eastAsia="Arial" w:hAnsi="Arial"/>
          <w:sz w:val="13"/>
          <w:szCs w:val="13"/>
          <w:color w:val="auto"/>
        </w:rPr>
        <w:t xml:space="preserve"> the original principal amount of the New Term Loans, on a quarterly basis prior to the maturity date of the New Term Loans. As of December 26, 2021, the Company had outstanding letters of credit and available borrowings under the revolving credit commitment of $36.1 million and $763.9 million, respectively.</w:t>
      </w:r>
    </w:p>
    <w:p>
      <w:pPr>
        <w:spacing w:after="0" w:line="80"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4"/>
          <w:szCs w:val="14"/>
          <w:color w:val="auto"/>
        </w:rPr>
        <w:t>The Fifth U.S. Credit Facility includes an $80.0 million sub-limit for swingline loans and a $125.0 million sub-limit for letters of credit. Outstanding borrowings under the revolving loan commitment and the New Term Loans bear interest at a per annum rate, based on Company's senior secured net leverage ratio, equal to (1) in the case of LIBOR loans, between LIBOR plus 1.25% and LIBOR plus 2.75% and (2) in the case of base rate loans, between the base rate plus 0.25% and the base rate plus 1.75%.</w:t>
      </w:r>
    </w:p>
    <w:p>
      <w:pPr>
        <w:spacing w:after="0" w:line="99"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color w:val="auto"/>
        </w:rPr>
        <w:t>The Fifth U.S. Credit Facility contains customary financial and other various covenants for transactions of this type, including restrictions on the Company’s ability to incur additional indebtedness, incur liens, pay dividends, make certain restricted payments, consummate certain asset sales, enter into certain transactions with the Company’s affiliates, or merge, consolidate and/or sell or dispose of all or substantially all of its assets, among other things. The Fifth U.S. Credit Facility requires the Company to comply with a minimum net leverage ratio and a minimum interest coverage ratio.</w:t>
      </w:r>
    </w:p>
    <w:p>
      <w:pPr>
        <w:spacing w:after="0" w:line="103"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color w:val="auto"/>
        </w:rPr>
        <w:t>All obligations under the Fifth U.S. Credit Facility continue to be secured by first priority liens on (1) all present and future personal property of the Company, and certain of the Company’s subsidiaries and the guarantors, including all material domestic and first-tier direct foreign subsidiaries, (2) all present and future shares of capital stock of the borrowers and guarantors, and (3) substantially all of the present and future assets of the Company and the guarantors under the Fifth U.S. Credit Facility. The Company is currently in compliance with the covenants under the Fifth U.S. Credit Facility.</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Moy Park Bank of Ireland Revolving Facility Agreement</w:t>
      </w:r>
    </w:p>
    <w:p>
      <w:pPr>
        <w:spacing w:after="0" w:line="140"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4"/>
          <w:szCs w:val="14"/>
          <w:color w:val="auto"/>
        </w:rPr>
        <w:t>On June 2, 2018, Moy Park Holdings (Europe) Ltd. and its subsidiaries entered into an unsecured multicurrency revolving facility agreement (the “Bank of Ireland Facility Agreement”) with the Governor and Company of the Bank of Ireland, as agent, and the other lenders party thereto. The Bank of Ireland Facility Agreement provides for a multicurrency revolving loan commitment of up to £100.0 million. The multicurrency revolving loan commitments under the Bank of Ireland Facility Agreement mature on June 2, 2023. Outstanding borrowings under the Bank of Ireland Facility Agreement bear interest at a rate per annum equal to the sum of (1) LIBOR or, in relation to any loan in euros, EURIBOR, plus (2) a margin, ranging from 1.25% to 2.00% based on Leverage (as defined in the Bank of Ireland Facility Agreement). All obligations under the Bank of Ireland Facility Agreement are guaranteed by certain of Moy Park’s subsidiaries. As of December 26, 2021, the U.S. dollar-equivalent loan commitment and borrowing availability were both $134.1 million. As of December 26, 2021, there were no outstanding borrowings under the Bank of Ireland Facility Agreement.</w:t>
      </w:r>
    </w:p>
    <w:p>
      <w:pPr>
        <w:spacing w:after="0" w:line="109" w:lineRule="exact"/>
        <w:rPr>
          <w:sz w:val="20"/>
          <w:szCs w:val="20"/>
          <w:color w:val="auto"/>
        </w:rPr>
      </w:pPr>
    </w:p>
    <w:p>
      <w:pPr>
        <w:jc w:val="both"/>
        <w:ind w:firstLine="509"/>
        <w:spacing w:after="0" w:line="288" w:lineRule="auto"/>
        <w:rPr>
          <w:sz w:val="20"/>
          <w:szCs w:val="20"/>
          <w:color w:val="auto"/>
        </w:rPr>
      </w:pPr>
      <w:r>
        <w:rPr>
          <w:rFonts w:ascii="Arial" w:cs="Arial" w:eastAsia="Arial" w:hAnsi="Arial"/>
          <w:sz w:val="13"/>
          <w:szCs w:val="13"/>
          <w:color w:val="auto"/>
        </w:rPr>
        <w:t>The Bank of Ireland Facility Agreement contains representations and warranties, covenants, indemnities and conditions that the Company believes are customary for transactions of this type. Pursuant to the terms of the Bank of Ireland Facility Agreement, Moy Park is required to meet certain financial and other restrictive covenants. Additionally, Moy Park is prohibited from taking certain actions without consent of the lenders, including, without limitation, incurring additional indebtedness, entering into certain mergers or other business combination transactions, permitting liens or other encumbrances on its assets and making restricted payments, including dividends, in each case except as expressly permitted under the Bank of</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5" w:name="page76"/>
    <w:bookmarkEnd w:id="7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NOTES TO CONSOLIDATED FINANCIAL STATEMENTS</w:t>
      </w:r>
    </w:p>
    <w:p>
      <w:pPr>
        <w:spacing w:after="0" w:line="391"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Ireland Facility Agreement. The Bank of Ireland Facility Agreement contains events of default that the Company believes are customary for transactions of this type. If a default occurs, any outstanding obligations under the Bank of Ireland Facility Agreement may be accelerated. As of December 31, 2021, banks in Europe are no longer using LIBOR as the reference rate. They are now using the Sterling Overnight Interbank Average rate.</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Mexico Credit Facility</w:t>
      </w:r>
    </w:p>
    <w:p>
      <w:pPr>
        <w:spacing w:after="0" w:line="140" w:lineRule="exact"/>
        <w:rPr>
          <w:sz w:val="20"/>
          <w:szCs w:val="20"/>
          <w:color w:val="auto"/>
        </w:rPr>
      </w:pPr>
    </w:p>
    <w:p>
      <w:pPr>
        <w:jc w:val="both"/>
        <w:ind w:firstLine="509"/>
        <w:spacing w:after="0" w:line="258" w:lineRule="auto"/>
        <w:rPr>
          <w:sz w:val="20"/>
          <w:szCs w:val="20"/>
          <w:color w:val="auto"/>
        </w:rPr>
      </w:pPr>
      <w:r>
        <w:rPr>
          <w:rFonts w:ascii="Arial" w:cs="Arial" w:eastAsia="Arial" w:hAnsi="Arial"/>
          <w:sz w:val="14"/>
          <w:szCs w:val="14"/>
          <w:color w:val="auto"/>
        </w:rPr>
        <w:t>On December 14, 2018, certain of the Company’s Mexican subsidiaries entered into an unsecured credit agreement (the “Mexico Credit Facility”) with Banco del Bajio, Sociedad Anónima, Institución de Banca Múltiple, as lender. The loan commitment under the Mexico Credit Facility is $1.5 billion Mexican pesos and can be borrowed on a revolving basis. Outstanding borrowings under the Mexico Credit Facility accrue interest at a rate equal to the 28-Day Interbank Equilibrium Interest Rate plus 1.5%. The Mexico Credit Facility contains covenants and defaults that the Company believes are customary for transactions of this type. The Mexico Credit Facility will be used for general corporate and working capital purposes. The Mexico Credit Facility will mature on December 14, 2023. As of December 26, 2021, the U.S. dollar-equivalent of the loan commitment under the Mexico Credit Facility is $72.8 million. As of December 26, 2021, there were no outstanding borrowings under the Mexico Credit Facility.</w:t>
      </w:r>
    </w:p>
    <w:p>
      <w:pPr>
        <w:spacing w:after="0" w:line="103" w:lineRule="exact"/>
        <w:rPr>
          <w:sz w:val="20"/>
          <w:szCs w:val="20"/>
          <w:color w:val="auto"/>
        </w:rPr>
      </w:pPr>
    </w:p>
    <w:p>
      <w:pPr>
        <w:jc w:val="center"/>
        <w:ind w:right="8800" w:firstLine="5"/>
        <w:spacing w:after="0" w:line="520" w:lineRule="auto"/>
        <w:tabs>
          <w:tab w:leader="none" w:pos="318" w:val="left"/>
        </w:tabs>
        <w:numPr>
          <w:ilvl w:val="0"/>
          <w:numId w:val="31"/>
        </w:numPr>
        <w:rPr>
          <w:rFonts w:ascii="Arial" w:cs="Arial" w:eastAsia="Arial" w:hAnsi="Arial"/>
          <w:sz w:val="12"/>
          <w:szCs w:val="12"/>
          <w:b w:val="1"/>
          <w:bCs w:val="1"/>
          <w:color w:val="auto"/>
        </w:rPr>
      </w:pPr>
      <w:r>
        <w:rPr>
          <w:rFonts w:ascii="Arial" w:cs="Arial" w:eastAsia="Arial" w:hAnsi="Arial"/>
          <w:sz w:val="12"/>
          <w:szCs w:val="12"/>
          <w:b w:val="1"/>
          <w:bCs w:val="1"/>
          <w:color w:val="auto"/>
        </w:rPr>
        <w:t>STOCKHOLDERS’ EQUITY Accumulated Other Comprehensive Loss</w:t>
      </w:r>
    </w:p>
    <w:p>
      <w:pPr>
        <w:ind w:left="520"/>
        <w:spacing w:after="0"/>
        <w:rPr>
          <w:rFonts w:ascii="Arial" w:cs="Arial" w:eastAsia="Arial" w:hAnsi="Arial"/>
          <w:sz w:val="12"/>
          <w:szCs w:val="12"/>
          <w:b w:val="1"/>
          <w:bCs w:val="1"/>
          <w:color w:val="auto"/>
        </w:rPr>
      </w:pPr>
      <w:r>
        <w:rPr>
          <w:rFonts w:ascii="Arial" w:cs="Arial" w:eastAsia="Arial" w:hAnsi="Arial"/>
          <w:sz w:val="14"/>
          <w:szCs w:val="14"/>
          <w:color w:val="auto"/>
        </w:rPr>
        <w:t>The following tables provide information regarding the changes in accumulated other comprehensive loss during 2021 and 2020:</w:t>
      </w:r>
    </w:p>
    <w:p>
      <w:pPr>
        <w:sectPr>
          <w:pgSz w:w="11900" w:h="16838" w:orient="portrait"/>
          <w:cols w:equalWidth="0" w:num="1">
            <w:col w:w="11280"/>
          </w:cols>
          <w:pgMar w:left="300" w:top="129"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Balance, beginning of year</w:t>
      </w:r>
    </w:p>
    <w:p>
      <w:pPr>
        <w:spacing w:after="0" w:line="8" w:lineRule="exact"/>
        <w:rPr>
          <w:sz w:val="20"/>
          <w:szCs w:val="20"/>
          <w:color w:val="auto"/>
        </w:rPr>
      </w:pPr>
    </w:p>
    <w:p>
      <w:pPr>
        <w:ind w:left="200"/>
        <w:spacing w:after="0"/>
        <w:rPr>
          <w:sz w:val="20"/>
          <w:szCs w:val="20"/>
          <w:color w:val="auto"/>
        </w:rPr>
      </w:pPr>
      <w:r>
        <w:rPr>
          <w:rFonts w:ascii="Arial" w:cs="Arial" w:eastAsia="Arial" w:hAnsi="Arial"/>
          <w:sz w:val="13"/>
          <w:szCs w:val="13"/>
          <w:color w:val="auto"/>
        </w:rPr>
        <w:t>Other comprehensive income (loss)</w:t>
      </w:r>
    </w:p>
    <w:p>
      <w:pPr>
        <w:ind w:left="360"/>
        <w:spacing w:after="0"/>
        <w:rPr>
          <w:sz w:val="20"/>
          <w:szCs w:val="20"/>
          <w:color w:val="auto"/>
        </w:rPr>
      </w:pPr>
      <w:r>
        <w:rPr>
          <w:rFonts w:ascii="Arial" w:cs="Arial" w:eastAsia="Arial" w:hAnsi="Arial"/>
          <w:sz w:val="13"/>
          <w:szCs w:val="13"/>
          <w:color w:val="auto"/>
        </w:rPr>
        <w:t>before reclassifications</w:t>
      </w:r>
    </w:p>
    <w:p>
      <w:pPr>
        <w:spacing w:after="0" w:line="10" w:lineRule="exact"/>
        <w:rPr>
          <w:sz w:val="20"/>
          <w:szCs w:val="20"/>
          <w:color w:val="auto"/>
        </w:rPr>
      </w:pPr>
    </w:p>
    <w:p>
      <w:pPr>
        <w:ind w:left="360" w:right="1220" w:hanging="158"/>
        <w:spacing w:after="0" w:line="281" w:lineRule="auto"/>
        <w:rPr>
          <w:sz w:val="20"/>
          <w:szCs w:val="20"/>
          <w:color w:val="auto"/>
        </w:rPr>
      </w:pPr>
      <w:r>
        <w:rPr>
          <w:rFonts w:ascii="Arial" w:cs="Arial" w:eastAsia="Arial" w:hAnsi="Arial"/>
          <w:sz w:val="11"/>
          <w:szCs w:val="11"/>
          <w:color w:val="auto"/>
        </w:rPr>
        <w:t>Amounts reclassified from accumulated other comprehensive loss to net income</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3"/>
          <w:szCs w:val="13"/>
          <w:color w:val="auto"/>
        </w:rPr>
        <w:t>Currency translation</w:t>
      </w:r>
    </w:p>
    <w:p>
      <w:pPr>
        <w:spacing w:after="0" w:line="20" w:lineRule="exact"/>
        <w:rPr>
          <w:sz w:val="20"/>
          <w:szCs w:val="20"/>
          <w:color w:val="auto"/>
        </w:rPr>
      </w:pPr>
    </w:p>
    <w:p>
      <w:pPr>
        <w:ind w:left="400"/>
        <w:spacing w:after="0"/>
        <w:rPr>
          <w:sz w:val="20"/>
          <w:szCs w:val="20"/>
          <w:color w:val="auto"/>
        </w:rPr>
      </w:pPr>
      <w:r>
        <w:rPr>
          <w:rFonts w:ascii="Arial" w:cs="Arial" w:eastAsia="Arial" w:hAnsi="Arial"/>
          <w:sz w:val="11"/>
          <w:szCs w:val="11"/>
          <w:color w:val="auto"/>
        </w:rPr>
        <w:t>Net current year other comprehensive</w:t>
      </w:r>
    </w:p>
    <w:p>
      <w:pPr>
        <w:spacing w:after="0" w:line="11" w:lineRule="exact"/>
        <w:rPr>
          <w:sz w:val="20"/>
          <w:szCs w:val="20"/>
          <w:color w:val="auto"/>
        </w:rPr>
      </w:pPr>
    </w:p>
    <w:p>
      <w:pPr>
        <w:ind w:left="540"/>
        <w:spacing w:after="0"/>
        <w:rPr>
          <w:sz w:val="20"/>
          <w:szCs w:val="20"/>
          <w:color w:val="auto"/>
        </w:rPr>
      </w:pPr>
      <w:r>
        <w:rPr>
          <w:rFonts w:ascii="Arial" w:cs="Arial" w:eastAsia="Arial" w:hAnsi="Arial"/>
          <w:sz w:val="13"/>
          <w:szCs w:val="13"/>
          <w:color w:val="auto"/>
        </w:rPr>
        <w:t>income (loss)</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Balance, end of year</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ind w:left="3360"/>
        <w:spacing w:after="0"/>
        <w:rPr>
          <w:sz w:val="20"/>
          <w:szCs w:val="20"/>
          <w:color w:val="auto"/>
        </w:rPr>
      </w:pPr>
      <w:r>
        <w:rPr>
          <w:rFonts w:ascii="Arial" w:cs="Arial" w:eastAsia="Arial" w:hAnsi="Arial"/>
          <w:sz w:val="11"/>
          <w:szCs w:val="11"/>
          <w:b w:val="1"/>
          <w:bCs w:val="1"/>
          <w:color w:val="auto"/>
        </w:rPr>
        <w:t>2021</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05"/>
        </w:trPr>
        <w:tc>
          <w:tcPr>
            <w:tcW w:w="1400" w:type="dxa"/>
            <w:vAlign w:val="bottom"/>
            <w:tcBorders>
              <w:top w:val="single" w:sz="8" w:color="auto"/>
            </w:tcBorders>
            <w:gridSpan w:val="3"/>
            <w:vMerge w:val="restart"/>
          </w:tcPr>
          <w:p>
            <w:pPr>
              <w:jc w:val="center"/>
              <w:ind w:right="100"/>
              <w:spacing w:after="0"/>
              <w:rPr>
                <w:sz w:val="20"/>
                <w:szCs w:val="20"/>
                <w:color w:val="auto"/>
              </w:rPr>
            </w:pPr>
            <w:r>
              <w:rPr>
                <w:rFonts w:ascii="Arial" w:cs="Arial" w:eastAsia="Arial" w:hAnsi="Arial"/>
                <w:sz w:val="11"/>
                <w:szCs w:val="11"/>
                <w:b w:val="1"/>
                <w:bCs w:val="1"/>
                <w:color w:val="auto"/>
                <w:w w:val="90"/>
              </w:rPr>
              <w:t>Gains (Losses) Related to</w:t>
            </w:r>
          </w:p>
        </w:tc>
        <w:tc>
          <w:tcPr>
            <w:tcW w:w="120" w:type="dxa"/>
            <w:vAlign w:val="bottom"/>
            <w:tcBorders>
              <w:top w:val="single" w:sz="8" w:color="auto"/>
            </w:tcBorders>
          </w:tcPr>
          <w:p>
            <w:pPr>
              <w:spacing w:after="0"/>
              <w:rPr>
                <w:sz w:val="9"/>
                <w:szCs w:val="9"/>
                <w:color w:val="auto"/>
              </w:rPr>
            </w:pPr>
          </w:p>
        </w:tc>
        <w:tc>
          <w:tcPr>
            <w:tcW w:w="1300" w:type="dxa"/>
            <w:vAlign w:val="bottom"/>
            <w:tcBorders>
              <w:top w:val="single" w:sz="8" w:color="auto"/>
            </w:tcBorders>
            <w:gridSpan w:val="2"/>
          </w:tcPr>
          <w:p>
            <w:pPr>
              <w:jc w:val="center"/>
              <w:ind w:right="220"/>
              <w:spacing w:after="0" w:line="105" w:lineRule="exact"/>
              <w:rPr>
                <w:sz w:val="20"/>
                <w:szCs w:val="20"/>
                <w:color w:val="auto"/>
              </w:rPr>
            </w:pPr>
            <w:r>
              <w:rPr>
                <w:rFonts w:ascii="Arial" w:cs="Arial" w:eastAsia="Arial" w:hAnsi="Arial"/>
                <w:sz w:val="11"/>
                <w:szCs w:val="11"/>
                <w:b w:val="1"/>
                <w:bCs w:val="1"/>
                <w:color w:val="auto"/>
                <w:w w:val="88"/>
              </w:rPr>
              <w:t>Unrealized Losses on</w:t>
            </w:r>
          </w:p>
        </w:tc>
        <w:tc>
          <w:tcPr>
            <w:tcW w:w="1400" w:type="dxa"/>
            <w:vAlign w:val="bottom"/>
            <w:tcBorders>
              <w:top w:val="single" w:sz="8" w:color="auto"/>
            </w:tcBorders>
            <w:gridSpan w:val="3"/>
            <w:vMerge w:val="restart"/>
          </w:tcPr>
          <w:p>
            <w:pPr>
              <w:jc w:val="center"/>
              <w:ind w:right="80"/>
              <w:spacing w:after="0"/>
              <w:rPr>
                <w:sz w:val="20"/>
                <w:szCs w:val="20"/>
                <w:color w:val="auto"/>
              </w:rPr>
            </w:pPr>
            <w:r>
              <w:rPr>
                <w:rFonts w:ascii="Arial" w:cs="Arial" w:eastAsia="Arial" w:hAnsi="Arial"/>
                <w:sz w:val="11"/>
                <w:szCs w:val="11"/>
                <w:b w:val="1"/>
                <w:bCs w:val="1"/>
                <w:color w:val="auto"/>
                <w:w w:val="88"/>
              </w:rPr>
              <w:t>Losses Related to Pension</w:t>
            </w:r>
          </w:p>
        </w:tc>
        <w:tc>
          <w:tcPr>
            <w:tcW w:w="1420" w:type="dxa"/>
            <w:vAlign w:val="bottom"/>
            <w:tcBorders>
              <w:top w:val="single" w:sz="8" w:color="auto"/>
            </w:tcBorders>
            <w:gridSpan w:val="3"/>
            <w:vMerge w:val="restart"/>
          </w:tcPr>
          <w:p>
            <w:pPr>
              <w:jc w:val="center"/>
              <w:ind w:right="80"/>
              <w:spacing w:after="0"/>
              <w:rPr>
                <w:sz w:val="20"/>
                <w:szCs w:val="20"/>
                <w:color w:val="auto"/>
              </w:rPr>
            </w:pPr>
            <w:r>
              <w:rPr>
                <w:rFonts w:ascii="Arial" w:cs="Arial" w:eastAsia="Arial" w:hAnsi="Arial"/>
                <w:sz w:val="11"/>
                <w:szCs w:val="11"/>
                <w:b w:val="1"/>
                <w:bCs w:val="1"/>
                <w:color w:val="auto"/>
                <w:w w:val="94"/>
              </w:rPr>
              <w:t>Unrealized Holding Gains</w:t>
            </w:r>
          </w:p>
        </w:tc>
        <w:tc>
          <w:tcPr>
            <w:tcW w:w="300" w:type="dxa"/>
            <w:vAlign w:val="bottom"/>
            <w:tcBorders>
              <w:top w:val="single" w:sz="8" w:color="auto"/>
            </w:tcBorders>
          </w:tcPr>
          <w:p>
            <w:pPr>
              <w:spacing w:after="0"/>
              <w:rPr>
                <w:sz w:val="9"/>
                <w:szCs w:val="9"/>
                <w:color w:val="auto"/>
              </w:rPr>
            </w:pPr>
          </w:p>
        </w:tc>
        <w:tc>
          <w:tcPr>
            <w:tcW w:w="100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40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gridSpan w:val="2"/>
          </w:tcPr>
          <w:p>
            <w:pPr>
              <w:jc w:val="center"/>
              <w:ind w:right="200"/>
              <w:spacing w:after="0" w:line="106" w:lineRule="exact"/>
              <w:rPr>
                <w:sz w:val="20"/>
                <w:szCs w:val="20"/>
                <w:color w:val="auto"/>
              </w:rPr>
            </w:pPr>
            <w:r>
              <w:rPr>
                <w:rFonts w:ascii="Arial" w:cs="Arial" w:eastAsia="Arial" w:hAnsi="Arial"/>
                <w:sz w:val="11"/>
                <w:szCs w:val="11"/>
                <w:b w:val="1"/>
                <w:bCs w:val="1"/>
                <w:color w:val="auto"/>
                <w:w w:val="94"/>
              </w:rPr>
              <w:t>Derivative Financial</w:t>
            </w:r>
          </w:p>
        </w:tc>
        <w:tc>
          <w:tcPr>
            <w:tcW w:w="1400" w:type="dxa"/>
            <w:vAlign w:val="bottom"/>
            <w:gridSpan w:val="3"/>
            <w:vMerge w:val="continue"/>
          </w:tcPr>
          <w:p>
            <w:pPr>
              <w:spacing w:after="0"/>
              <w:rPr>
                <w:sz w:val="9"/>
                <w:szCs w:val="9"/>
                <w:color w:val="auto"/>
              </w:rPr>
            </w:pPr>
          </w:p>
        </w:tc>
        <w:tc>
          <w:tcPr>
            <w:tcW w:w="142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40" w:type="dxa"/>
            <w:vAlign w:val="bottom"/>
          </w:tcPr>
          <w:p>
            <w:pPr>
              <w:spacing w:after="0"/>
              <w:rPr>
                <w:sz w:val="9"/>
                <w:szCs w:val="9"/>
                <w:color w:val="auto"/>
              </w:rPr>
            </w:pPr>
          </w:p>
        </w:tc>
        <w:tc>
          <w:tcPr>
            <w:tcW w:w="1260" w:type="dxa"/>
            <w:vAlign w:val="bottom"/>
            <w:gridSpan w:val="2"/>
          </w:tcPr>
          <w:p>
            <w:pPr>
              <w:jc w:val="center"/>
              <w:ind w:right="240"/>
              <w:spacing w:after="0" w:line="106" w:lineRule="exact"/>
              <w:rPr>
                <w:sz w:val="20"/>
                <w:szCs w:val="20"/>
                <w:color w:val="auto"/>
              </w:rPr>
            </w:pPr>
            <w:r>
              <w:rPr>
                <w:rFonts w:ascii="Arial" w:cs="Arial" w:eastAsia="Arial" w:hAnsi="Arial"/>
                <w:sz w:val="11"/>
                <w:szCs w:val="11"/>
                <w:b w:val="1"/>
                <w:bCs w:val="1"/>
                <w:color w:val="auto"/>
                <w:w w:val="93"/>
              </w:rPr>
              <w:t>Foreign Currency</w:t>
            </w:r>
          </w:p>
        </w:tc>
        <w:tc>
          <w:tcPr>
            <w:tcW w:w="1420" w:type="dxa"/>
            <w:vAlign w:val="bottom"/>
            <w:gridSpan w:val="3"/>
          </w:tcPr>
          <w:p>
            <w:pPr>
              <w:jc w:val="center"/>
              <w:ind w:right="80"/>
              <w:spacing w:after="0" w:line="106" w:lineRule="exact"/>
              <w:rPr>
                <w:sz w:val="20"/>
                <w:szCs w:val="20"/>
                <w:color w:val="auto"/>
              </w:rPr>
            </w:pPr>
            <w:r>
              <w:rPr>
                <w:rFonts w:ascii="Arial" w:cs="Arial" w:eastAsia="Arial" w:hAnsi="Arial"/>
                <w:sz w:val="11"/>
                <w:szCs w:val="11"/>
                <w:b w:val="1"/>
                <w:bCs w:val="1"/>
                <w:color w:val="auto"/>
                <w:w w:val="91"/>
              </w:rPr>
              <w:t>Instruments Classified as</w:t>
            </w:r>
          </w:p>
        </w:tc>
        <w:tc>
          <w:tcPr>
            <w:tcW w:w="1400" w:type="dxa"/>
            <w:vAlign w:val="bottom"/>
            <w:gridSpan w:val="3"/>
          </w:tcPr>
          <w:p>
            <w:pPr>
              <w:jc w:val="center"/>
              <w:ind w:right="100"/>
              <w:spacing w:after="0" w:line="106" w:lineRule="exact"/>
              <w:rPr>
                <w:sz w:val="20"/>
                <w:szCs w:val="20"/>
                <w:color w:val="auto"/>
              </w:rPr>
            </w:pPr>
            <w:r>
              <w:rPr>
                <w:rFonts w:ascii="Arial" w:cs="Arial" w:eastAsia="Arial" w:hAnsi="Arial"/>
                <w:sz w:val="11"/>
                <w:szCs w:val="11"/>
                <w:b w:val="1"/>
                <w:bCs w:val="1"/>
                <w:color w:val="auto"/>
                <w:w w:val="94"/>
              </w:rPr>
              <w:t>and Other Postretirement</w:t>
            </w:r>
          </w:p>
        </w:tc>
        <w:tc>
          <w:tcPr>
            <w:tcW w:w="120" w:type="dxa"/>
            <w:vAlign w:val="bottom"/>
          </w:tcPr>
          <w:p>
            <w:pPr>
              <w:spacing w:after="0"/>
              <w:rPr>
                <w:sz w:val="9"/>
                <w:szCs w:val="9"/>
                <w:color w:val="auto"/>
              </w:rPr>
            </w:pPr>
          </w:p>
        </w:tc>
        <w:tc>
          <w:tcPr>
            <w:tcW w:w="1300" w:type="dxa"/>
            <w:vAlign w:val="bottom"/>
            <w:gridSpan w:val="2"/>
          </w:tcPr>
          <w:p>
            <w:pPr>
              <w:jc w:val="center"/>
              <w:ind w:right="200"/>
              <w:spacing w:after="0" w:line="106" w:lineRule="exact"/>
              <w:rPr>
                <w:sz w:val="20"/>
                <w:szCs w:val="20"/>
                <w:color w:val="auto"/>
              </w:rPr>
            </w:pPr>
            <w:r>
              <w:rPr>
                <w:rFonts w:ascii="Arial" w:cs="Arial" w:eastAsia="Arial" w:hAnsi="Arial"/>
                <w:sz w:val="11"/>
                <w:szCs w:val="11"/>
                <w:b w:val="1"/>
                <w:bCs w:val="1"/>
                <w:color w:val="auto"/>
                <w:w w:val="93"/>
              </w:rPr>
              <w:t>on Available-for-Sale</w:t>
            </w:r>
          </w:p>
        </w:tc>
        <w:tc>
          <w:tcPr>
            <w:tcW w:w="300" w:type="dxa"/>
            <w:vAlign w:val="bottom"/>
          </w:tcPr>
          <w:p>
            <w:pPr>
              <w:spacing w:after="0"/>
              <w:rPr>
                <w:sz w:val="9"/>
                <w:szCs w:val="9"/>
                <w:color w:val="auto"/>
              </w:rPr>
            </w:pPr>
          </w:p>
        </w:tc>
        <w:tc>
          <w:tcPr>
            <w:tcW w:w="1000" w:type="dxa"/>
            <w:vAlign w:val="bottom"/>
            <w:vMerge w:val="restart"/>
          </w:tcPr>
          <w:p>
            <w:pPr>
              <w:jc w:val="right"/>
              <w:ind w:right="457"/>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48"/>
        </w:trPr>
        <w:tc>
          <w:tcPr>
            <w:tcW w:w="14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1"/>
                <w:szCs w:val="11"/>
                <w:b w:val="1"/>
                <w:bCs w:val="1"/>
                <w:color w:val="auto"/>
                <w:w w:val="90"/>
              </w:rPr>
              <w:t>Translation</w:t>
            </w:r>
          </w:p>
        </w:tc>
        <w:tc>
          <w:tcPr>
            <w:tcW w:w="12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1"/>
                <w:szCs w:val="11"/>
                <w:b w:val="1"/>
                <w:bCs w:val="1"/>
                <w:color w:val="auto"/>
                <w:w w:val="89"/>
              </w:rPr>
              <w:t>Cash Flow Hedges</w:t>
            </w:r>
          </w:p>
        </w:tc>
        <w:tc>
          <w:tcPr>
            <w:tcW w:w="2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1"/>
                <w:szCs w:val="11"/>
                <w:b w:val="1"/>
                <w:bCs w:val="1"/>
                <w:color w:val="auto"/>
                <w:w w:val="87"/>
              </w:rPr>
              <w:t>Benefits</w:t>
            </w:r>
          </w:p>
        </w:tc>
        <w:tc>
          <w:tcPr>
            <w:tcW w:w="12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1"/>
                <w:szCs w:val="11"/>
                <w:b w:val="1"/>
                <w:bCs w:val="1"/>
                <w:color w:val="auto"/>
                <w:w w:val="91"/>
              </w:rPr>
              <w:t>Securities</w:t>
            </w: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1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89"/>
              </w:rPr>
              <w:t>(In thousands)</w:t>
            </w:r>
          </w:p>
        </w:tc>
        <w:tc>
          <w:tcPr>
            <w:tcW w:w="1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82,782</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(1,191)</w:t>
            </w:r>
          </w:p>
        </w:tc>
        <w:tc>
          <w:tcPr>
            <w:tcW w:w="100" w:type="dxa"/>
            <w:vAlign w:val="bottom"/>
          </w:tcPr>
          <w:p>
            <w:pPr>
              <w:spacing w:after="0"/>
              <w:rPr>
                <w:sz w:val="15"/>
                <w:szCs w:val="15"/>
                <w:color w:val="auto"/>
              </w:rPr>
            </w:pPr>
          </w:p>
        </w:tc>
        <w:tc>
          <w:tcPr>
            <w:tcW w:w="200" w:type="dxa"/>
            <w:vAlign w:val="bottom"/>
          </w:tcPr>
          <w:p>
            <w:pPr>
              <w:jc w:val="right"/>
              <w:ind w:right="60"/>
              <w:spacing w:after="0"/>
              <w:rPr>
                <w:sz w:val="20"/>
                <w:szCs w:val="20"/>
                <w:color w:val="auto"/>
              </w:rPr>
            </w:pPr>
            <w:r>
              <w:rPr>
                <w:rFonts w:ascii="Arial" w:cs="Arial" w:eastAsia="Arial" w:hAnsi="Arial"/>
                <w:sz w:val="13"/>
                <w:szCs w:val="13"/>
                <w:color w:val="auto"/>
                <w:w w:val="82"/>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(102,211)</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300" w:type="dxa"/>
            <w:vAlign w:val="bottom"/>
            <w:gridSpan w:val="2"/>
          </w:tcPr>
          <w:p>
            <w:pPr>
              <w:ind w:left="1020"/>
              <w:spacing w:after="0"/>
              <w:rPr>
                <w:sz w:val="20"/>
                <w:szCs w:val="20"/>
                <w:color w:val="auto"/>
              </w:rPr>
            </w:pPr>
            <w:r>
              <w:rPr>
                <w:rFonts w:ascii="Arial" w:cs="Arial" w:eastAsia="Arial" w:hAnsi="Arial"/>
                <w:sz w:val="13"/>
                <w:szCs w:val="13"/>
                <w:color w:val="auto"/>
              </w:rPr>
              <w:t>—</w:t>
            </w:r>
          </w:p>
        </w:tc>
        <w:tc>
          <w:tcPr>
            <w:tcW w:w="300" w:type="dxa"/>
            <w:vAlign w:val="bottom"/>
          </w:tcPr>
          <w:p>
            <w:pPr>
              <w:jc w:val="right"/>
              <w:ind w:right="156"/>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(20,620)</w:t>
            </w:r>
          </w:p>
        </w:tc>
        <w:tc>
          <w:tcPr>
            <w:tcW w:w="0" w:type="dxa"/>
            <w:vAlign w:val="bottom"/>
          </w:tcPr>
          <w:p>
            <w:pPr>
              <w:spacing w:after="0"/>
              <w:rPr>
                <w:sz w:val="1"/>
                <w:szCs w:val="1"/>
                <w:color w:val="auto"/>
              </w:rPr>
            </w:pPr>
          </w:p>
        </w:tc>
      </w:tr>
      <w:tr>
        <w:trPr>
          <w:trHeight w:val="297"/>
        </w:trPr>
        <w:tc>
          <w:tcPr>
            <w:tcW w:w="1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(55,541)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405</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27,598</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2"/>
          </w:tcPr>
          <w:p>
            <w:pPr>
              <w:ind w:left="102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(27,538)</w:t>
            </w:r>
          </w:p>
        </w:tc>
        <w:tc>
          <w:tcPr>
            <w:tcW w:w="0" w:type="dxa"/>
            <w:vAlign w:val="bottom"/>
          </w:tcPr>
          <w:p>
            <w:pPr>
              <w:spacing w:after="0"/>
              <w:rPr>
                <w:sz w:val="1"/>
                <w:szCs w:val="1"/>
                <w:color w:val="auto"/>
              </w:rPr>
            </w:pPr>
          </w:p>
        </w:tc>
      </w:tr>
      <w:tr>
        <w:trPr>
          <w:trHeight w:val="297"/>
        </w:trPr>
        <w:tc>
          <w:tcPr>
            <w:tcW w:w="140" w:type="dxa"/>
            <w:vAlign w:val="bottom"/>
          </w:tcPr>
          <w:p>
            <w:pPr>
              <w:spacing w:after="0"/>
              <w:rPr>
                <w:sz w:val="24"/>
                <w:szCs w:val="24"/>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(1,594)</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1,740</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2"/>
          </w:tcPr>
          <w:p>
            <w:pPr>
              <w:ind w:left="102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146</w:t>
            </w:r>
          </w:p>
        </w:tc>
        <w:tc>
          <w:tcPr>
            <w:tcW w:w="0" w:type="dxa"/>
            <w:vAlign w:val="bottom"/>
          </w:tcPr>
          <w:p>
            <w:pPr>
              <w:spacing w:after="0"/>
              <w:rPr>
                <w:sz w:val="1"/>
                <w:szCs w:val="1"/>
                <w:color w:val="auto"/>
              </w:rPr>
            </w:pPr>
          </w:p>
        </w:tc>
      </w:tr>
      <w:tr>
        <w:trPr>
          <w:trHeight w:val="172"/>
        </w:trPr>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w:t>
            </w: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ind w:left="10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277"/>
        </w:trPr>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(55,541)</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(1,174)</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29,338</w:t>
            </w: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ind w:left="10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(27,377)</w:t>
            </w:r>
          </w:p>
        </w:tc>
        <w:tc>
          <w:tcPr>
            <w:tcW w:w="0" w:type="dxa"/>
            <w:vAlign w:val="bottom"/>
          </w:tcPr>
          <w:p>
            <w:pPr>
              <w:spacing w:after="0"/>
              <w:rPr>
                <w:sz w:val="1"/>
                <w:szCs w:val="1"/>
                <w:color w:val="auto"/>
              </w:rPr>
            </w:pPr>
          </w:p>
        </w:tc>
      </w:tr>
      <w:tr>
        <w:trPr>
          <w:trHeight w:val="160"/>
        </w:trPr>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27,241</w:t>
            </w:r>
          </w:p>
        </w:tc>
        <w:tc>
          <w:tcPr>
            <w:tcW w:w="1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(2,365)</w:t>
            </w:r>
          </w:p>
        </w:tc>
        <w:tc>
          <w:tcPr>
            <w:tcW w:w="100" w:type="dxa"/>
            <w:vAlign w:val="bottom"/>
          </w:tcPr>
          <w:p>
            <w:pPr>
              <w:spacing w:after="0"/>
              <w:rPr>
                <w:sz w:val="13"/>
                <w:szCs w:val="13"/>
                <w:color w:val="auto"/>
              </w:rPr>
            </w:pPr>
          </w:p>
        </w:tc>
        <w:tc>
          <w:tcPr>
            <w:tcW w:w="200" w:type="dxa"/>
            <w:vAlign w:val="bottom"/>
          </w:tcPr>
          <w:p>
            <w:pPr>
              <w:jc w:val="right"/>
              <w:ind w:right="60"/>
              <w:spacing w:after="0"/>
              <w:rPr>
                <w:sz w:val="20"/>
                <w:szCs w:val="20"/>
                <w:color w:val="auto"/>
              </w:rPr>
            </w:pPr>
            <w:r>
              <w:rPr>
                <w:rFonts w:ascii="Arial" w:cs="Arial" w:eastAsia="Arial" w:hAnsi="Arial"/>
                <w:sz w:val="13"/>
                <w:szCs w:val="13"/>
                <w:color w:val="auto"/>
                <w:w w:val="82"/>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(72,873)</w:t>
            </w:r>
          </w:p>
        </w:tc>
        <w:tc>
          <w:tcPr>
            <w:tcW w:w="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300" w:type="dxa"/>
            <w:vAlign w:val="bottom"/>
            <w:gridSpan w:val="2"/>
          </w:tcPr>
          <w:p>
            <w:pPr>
              <w:ind w:left="1020"/>
              <w:spacing w:after="0"/>
              <w:rPr>
                <w:sz w:val="20"/>
                <w:szCs w:val="20"/>
                <w:color w:val="auto"/>
              </w:rPr>
            </w:pPr>
            <w:r>
              <w:rPr>
                <w:rFonts w:ascii="Arial" w:cs="Arial" w:eastAsia="Arial" w:hAnsi="Arial"/>
                <w:sz w:val="13"/>
                <w:szCs w:val="13"/>
                <w:color w:val="auto"/>
              </w:rPr>
              <w:t>—</w:t>
            </w:r>
          </w:p>
        </w:tc>
        <w:tc>
          <w:tcPr>
            <w:tcW w:w="300" w:type="dxa"/>
            <w:vAlign w:val="bottom"/>
          </w:tcPr>
          <w:p>
            <w:pPr>
              <w:jc w:val="right"/>
              <w:ind w:right="156"/>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(47,997)</w:t>
            </w:r>
          </w:p>
        </w:tc>
        <w:tc>
          <w:tcPr>
            <w:tcW w:w="0" w:type="dxa"/>
            <w:vAlign w:val="bottom"/>
          </w:tcPr>
          <w:p>
            <w:pPr>
              <w:spacing w:after="0"/>
              <w:rPr>
                <w:sz w:val="1"/>
                <w:szCs w:val="1"/>
                <w:color w:val="auto"/>
              </w:rPr>
            </w:pPr>
          </w:p>
        </w:tc>
      </w:tr>
      <w:tr>
        <w:trPr>
          <w:trHeight w:val="20"/>
        </w:trPr>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-2726055</wp:posOffset>
            </wp:positionH>
            <wp:positionV relativeFrom="paragraph">
              <wp:posOffset>-922655</wp:posOffset>
            </wp:positionV>
            <wp:extent cx="7134860" cy="1079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4860" cy="107950"/>
                    </a:xfrm>
                    <a:prstGeom prst="rect">
                      <a:avLst/>
                    </a:prstGeom>
                    <a:noFill/>
                  </pic:spPr>
                </pic:pic>
              </a:graphicData>
            </a:graphic>
          </wp:anchor>
        </w:drawing>
        <w:drawing>
          <wp:anchor simplePos="0" relativeHeight="251657728" behindDoc="1" locked="0" layoutInCell="0" allowOverlap="1">
            <wp:simplePos x="0" y="0"/>
            <wp:positionH relativeFrom="column">
              <wp:posOffset>-2726055</wp:posOffset>
            </wp:positionH>
            <wp:positionV relativeFrom="paragraph">
              <wp:posOffset>-626110</wp:posOffset>
            </wp:positionV>
            <wp:extent cx="7134860" cy="18859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4860" cy="188595"/>
                    </a:xfrm>
                    <a:prstGeom prst="rect">
                      <a:avLst/>
                    </a:prstGeom>
                    <a:noFill/>
                  </pic:spPr>
                </pic:pic>
              </a:graphicData>
            </a:graphic>
          </wp:anchor>
        </w:drawing>
        <w:drawing>
          <wp:anchor simplePos="0" relativeHeight="251657728" behindDoc="1" locked="0" layoutInCell="0" allowOverlap="1">
            <wp:simplePos x="0" y="0"/>
            <wp:positionH relativeFrom="column">
              <wp:posOffset>-2726055</wp:posOffset>
            </wp:positionH>
            <wp:positionV relativeFrom="paragraph">
              <wp:posOffset>-329565</wp:posOffset>
            </wp:positionV>
            <wp:extent cx="7134860" cy="18859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4860" cy="1885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600" w:space="720"/>
            <w:col w:w="6960"/>
          </w:cols>
          <w:pgMar w:left="300" w:top="129" w:right="319" w:bottom="1440" w:gutter="0" w:footer="0" w:header="0"/>
          <w:type w:val="continuous"/>
        </w:sect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86930"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type w:val="continuous"/>
        </w:sectPr>
      </w:pPr>
    </w:p>
    <w:bookmarkStart w:id="76" w:name="page77"/>
    <w:bookmarkEnd w:id="7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NOTES TO CONSOLIDATED FINANCIAL STATEMENTS</w:t>
      </w:r>
    </w:p>
    <w:p>
      <w:pPr>
        <w:spacing w:after="0" w:line="200" w:lineRule="exact"/>
        <w:rPr>
          <w:sz w:val="20"/>
          <w:szCs w:val="20"/>
          <w:color w:val="auto"/>
        </w:rPr>
      </w:pPr>
    </w:p>
    <w:p>
      <w:pPr>
        <w:spacing w:after="0" w:line="206" w:lineRule="exact"/>
        <w:rPr>
          <w:sz w:val="20"/>
          <w:szCs w:val="20"/>
          <w:color w:val="auto"/>
        </w:rPr>
      </w:pPr>
    </w:p>
    <w:p>
      <w:pPr>
        <w:jc w:val="right"/>
        <w:ind w:right="3400"/>
        <w:spacing w:after="0"/>
        <w:rPr>
          <w:sz w:val="20"/>
          <w:szCs w:val="20"/>
          <w:color w:val="auto"/>
        </w:rPr>
      </w:pPr>
      <w:r>
        <w:rPr>
          <w:rFonts w:ascii="Arial" w:cs="Arial" w:eastAsia="Arial" w:hAnsi="Arial"/>
          <w:sz w:val="11"/>
          <w:szCs w:val="11"/>
          <w:b w:val="1"/>
          <w:bCs w:val="1"/>
          <w:color w:val="auto"/>
        </w:rPr>
        <w:t>2020</w:t>
      </w:r>
    </w:p>
    <w:p>
      <w:pPr>
        <w:sectPr>
          <w:pgSz w:w="11900" w:h="16838" w:orient="portrait"/>
          <w:cols w:equalWidth="0" w:num="1">
            <w:col w:w="11280"/>
          </w:cols>
          <w:pgMar w:left="300" w:top="129"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0"/>
        <w:spacing w:after="0"/>
        <w:rPr>
          <w:sz w:val="20"/>
          <w:szCs w:val="20"/>
          <w:color w:val="auto"/>
        </w:rPr>
      </w:pPr>
      <w:r>
        <w:rPr>
          <w:rFonts w:ascii="Arial" w:cs="Arial" w:eastAsia="Arial" w:hAnsi="Arial"/>
          <w:sz w:val="13"/>
          <w:szCs w:val="13"/>
          <w:color w:val="auto"/>
        </w:rPr>
        <w:t>Balance, beginning of year</w:t>
      </w:r>
    </w:p>
    <w:p>
      <w:pPr>
        <w:spacing w:after="0" w:line="8" w:lineRule="exact"/>
        <w:rPr>
          <w:sz w:val="20"/>
          <w:szCs w:val="20"/>
          <w:color w:val="auto"/>
        </w:rPr>
      </w:pPr>
    </w:p>
    <w:p>
      <w:pPr>
        <w:ind w:left="200"/>
        <w:spacing w:after="0"/>
        <w:rPr>
          <w:sz w:val="20"/>
          <w:szCs w:val="20"/>
          <w:color w:val="auto"/>
        </w:rPr>
      </w:pPr>
      <w:r>
        <w:rPr>
          <w:rFonts w:ascii="Arial" w:cs="Arial" w:eastAsia="Arial" w:hAnsi="Arial"/>
          <w:sz w:val="13"/>
          <w:szCs w:val="13"/>
          <w:color w:val="auto"/>
        </w:rPr>
        <w:t>Other comprehensive income (loss)</w:t>
      </w:r>
    </w:p>
    <w:p>
      <w:pPr>
        <w:ind w:left="360"/>
        <w:spacing w:after="0"/>
        <w:rPr>
          <w:sz w:val="20"/>
          <w:szCs w:val="20"/>
          <w:color w:val="auto"/>
        </w:rPr>
      </w:pPr>
      <w:r>
        <w:rPr>
          <w:rFonts w:ascii="Arial" w:cs="Arial" w:eastAsia="Arial" w:hAnsi="Arial"/>
          <w:sz w:val="13"/>
          <w:szCs w:val="13"/>
          <w:color w:val="auto"/>
        </w:rPr>
        <w:t>before reclassifications</w:t>
      </w:r>
    </w:p>
    <w:p>
      <w:pPr>
        <w:spacing w:after="0" w:line="10" w:lineRule="exact"/>
        <w:rPr>
          <w:sz w:val="20"/>
          <w:szCs w:val="20"/>
          <w:color w:val="auto"/>
        </w:rPr>
      </w:pPr>
    </w:p>
    <w:p>
      <w:pPr>
        <w:ind w:left="360" w:right="1200" w:hanging="158"/>
        <w:spacing w:after="0" w:line="281" w:lineRule="auto"/>
        <w:rPr>
          <w:sz w:val="20"/>
          <w:szCs w:val="20"/>
          <w:color w:val="auto"/>
        </w:rPr>
      </w:pPr>
      <w:r>
        <w:rPr>
          <w:rFonts w:ascii="Arial" w:cs="Arial" w:eastAsia="Arial" w:hAnsi="Arial"/>
          <w:sz w:val="11"/>
          <w:szCs w:val="11"/>
          <w:color w:val="auto"/>
        </w:rPr>
        <w:t>Amounts reclassified from accumulated other comprehensive loss to net income</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3"/>
          <w:szCs w:val="13"/>
          <w:color w:val="auto"/>
        </w:rPr>
        <w:t>Currency translation</w:t>
      </w:r>
    </w:p>
    <w:p>
      <w:pPr>
        <w:spacing w:after="0" w:line="20" w:lineRule="exact"/>
        <w:rPr>
          <w:sz w:val="20"/>
          <w:szCs w:val="20"/>
          <w:color w:val="auto"/>
        </w:rPr>
      </w:pPr>
    </w:p>
    <w:p>
      <w:pPr>
        <w:ind w:left="200"/>
        <w:spacing w:after="0"/>
        <w:rPr>
          <w:sz w:val="20"/>
          <w:szCs w:val="20"/>
          <w:color w:val="auto"/>
        </w:rPr>
      </w:pPr>
      <w:r>
        <w:rPr>
          <w:rFonts w:ascii="Arial" w:cs="Arial" w:eastAsia="Arial" w:hAnsi="Arial"/>
          <w:sz w:val="12"/>
          <w:szCs w:val="12"/>
          <w:color w:val="auto"/>
        </w:rPr>
        <w:t>Net current year other comprehensive</w:t>
      </w:r>
    </w:p>
    <w:p>
      <w:pPr>
        <w:ind w:left="360"/>
        <w:spacing w:after="0"/>
        <w:rPr>
          <w:sz w:val="20"/>
          <w:szCs w:val="20"/>
          <w:color w:val="auto"/>
        </w:rPr>
      </w:pPr>
      <w:r>
        <w:rPr>
          <w:rFonts w:ascii="Arial" w:cs="Arial" w:eastAsia="Arial" w:hAnsi="Arial"/>
          <w:sz w:val="13"/>
          <w:szCs w:val="13"/>
          <w:color w:val="auto"/>
        </w:rPr>
        <w:t>income (loss)</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Balance, end of year</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05"/>
        </w:trPr>
        <w:tc>
          <w:tcPr>
            <w:tcW w:w="1400" w:type="dxa"/>
            <w:vAlign w:val="bottom"/>
            <w:tcBorders>
              <w:top w:val="single" w:sz="8" w:color="auto"/>
            </w:tcBorders>
            <w:gridSpan w:val="3"/>
            <w:vMerge w:val="restart"/>
          </w:tcPr>
          <w:p>
            <w:pPr>
              <w:jc w:val="center"/>
              <w:ind w:right="140"/>
              <w:spacing w:after="0"/>
              <w:rPr>
                <w:sz w:val="20"/>
                <w:szCs w:val="20"/>
                <w:color w:val="auto"/>
              </w:rPr>
            </w:pPr>
            <w:r>
              <w:rPr>
                <w:rFonts w:ascii="Arial" w:cs="Arial" w:eastAsia="Arial" w:hAnsi="Arial"/>
                <w:sz w:val="11"/>
                <w:szCs w:val="11"/>
                <w:b w:val="1"/>
                <w:bCs w:val="1"/>
                <w:color w:val="auto"/>
                <w:w w:val="90"/>
              </w:rPr>
              <w:t>Gains (Losses) Related to</w:t>
            </w:r>
          </w:p>
        </w:tc>
        <w:tc>
          <w:tcPr>
            <w:tcW w:w="100" w:type="dxa"/>
            <w:vAlign w:val="bottom"/>
            <w:tcBorders>
              <w:top w:val="single" w:sz="8" w:color="auto"/>
            </w:tcBorders>
          </w:tcPr>
          <w:p>
            <w:pPr>
              <w:spacing w:after="0"/>
              <w:rPr>
                <w:sz w:val="9"/>
                <w:szCs w:val="9"/>
                <w:color w:val="auto"/>
              </w:rPr>
            </w:pPr>
          </w:p>
        </w:tc>
        <w:tc>
          <w:tcPr>
            <w:tcW w:w="1300" w:type="dxa"/>
            <w:vAlign w:val="bottom"/>
            <w:tcBorders>
              <w:top w:val="single" w:sz="8" w:color="auto"/>
            </w:tcBorders>
            <w:gridSpan w:val="2"/>
          </w:tcPr>
          <w:p>
            <w:pPr>
              <w:jc w:val="center"/>
              <w:ind w:right="200"/>
              <w:spacing w:after="0" w:line="105" w:lineRule="exact"/>
              <w:rPr>
                <w:sz w:val="20"/>
                <w:szCs w:val="20"/>
                <w:color w:val="auto"/>
              </w:rPr>
            </w:pPr>
            <w:r>
              <w:rPr>
                <w:rFonts w:ascii="Arial" w:cs="Arial" w:eastAsia="Arial" w:hAnsi="Arial"/>
                <w:sz w:val="11"/>
                <w:szCs w:val="11"/>
                <w:b w:val="1"/>
                <w:bCs w:val="1"/>
                <w:color w:val="auto"/>
                <w:w w:val="90"/>
              </w:rPr>
              <w:t>Unrealized Losses on</w:t>
            </w:r>
          </w:p>
        </w:tc>
        <w:tc>
          <w:tcPr>
            <w:tcW w:w="1420" w:type="dxa"/>
            <w:vAlign w:val="bottom"/>
            <w:tcBorders>
              <w:top w:val="single" w:sz="8" w:color="auto"/>
            </w:tcBorders>
            <w:gridSpan w:val="3"/>
            <w:vMerge w:val="restart"/>
          </w:tcPr>
          <w:p>
            <w:pPr>
              <w:jc w:val="center"/>
              <w:ind w:right="100"/>
              <w:spacing w:after="0"/>
              <w:rPr>
                <w:sz w:val="20"/>
                <w:szCs w:val="20"/>
                <w:color w:val="auto"/>
              </w:rPr>
            </w:pPr>
            <w:r>
              <w:rPr>
                <w:rFonts w:ascii="Arial" w:cs="Arial" w:eastAsia="Arial" w:hAnsi="Arial"/>
                <w:sz w:val="11"/>
                <w:szCs w:val="11"/>
                <w:b w:val="1"/>
                <w:bCs w:val="1"/>
                <w:color w:val="auto"/>
                <w:w w:val="88"/>
              </w:rPr>
              <w:t>Losses Related to Pension</w:t>
            </w:r>
          </w:p>
        </w:tc>
        <w:tc>
          <w:tcPr>
            <w:tcW w:w="1400" w:type="dxa"/>
            <w:vAlign w:val="bottom"/>
            <w:tcBorders>
              <w:top w:val="single" w:sz="8" w:color="auto"/>
            </w:tcBorders>
            <w:gridSpan w:val="3"/>
            <w:vMerge w:val="restart"/>
          </w:tcPr>
          <w:p>
            <w:pPr>
              <w:jc w:val="center"/>
              <w:ind w:right="100"/>
              <w:spacing w:after="0"/>
              <w:rPr>
                <w:sz w:val="20"/>
                <w:szCs w:val="20"/>
                <w:color w:val="auto"/>
              </w:rPr>
            </w:pPr>
            <w:r>
              <w:rPr>
                <w:rFonts w:ascii="Arial" w:cs="Arial" w:eastAsia="Arial" w:hAnsi="Arial"/>
                <w:sz w:val="11"/>
                <w:szCs w:val="11"/>
                <w:b w:val="1"/>
                <w:bCs w:val="1"/>
                <w:color w:val="auto"/>
                <w:w w:val="94"/>
              </w:rPr>
              <w:t>Unrealized Holding Gains</w:t>
            </w:r>
          </w:p>
        </w:tc>
        <w:tc>
          <w:tcPr>
            <w:tcW w:w="32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40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1300" w:type="dxa"/>
            <w:vAlign w:val="bottom"/>
            <w:gridSpan w:val="2"/>
          </w:tcPr>
          <w:p>
            <w:pPr>
              <w:jc w:val="center"/>
              <w:ind w:right="200"/>
              <w:spacing w:after="0" w:line="106" w:lineRule="exact"/>
              <w:rPr>
                <w:sz w:val="20"/>
                <w:szCs w:val="20"/>
                <w:color w:val="auto"/>
              </w:rPr>
            </w:pPr>
            <w:r>
              <w:rPr>
                <w:rFonts w:ascii="Arial" w:cs="Arial" w:eastAsia="Arial" w:hAnsi="Arial"/>
                <w:sz w:val="11"/>
                <w:szCs w:val="11"/>
                <w:b w:val="1"/>
                <w:bCs w:val="1"/>
                <w:color w:val="auto"/>
                <w:w w:val="94"/>
              </w:rPr>
              <w:t>Derivative Financial</w:t>
            </w:r>
          </w:p>
        </w:tc>
        <w:tc>
          <w:tcPr>
            <w:tcW w:w="1420" w:type="dxa"/>
            <w:vAlign w:val="bottom"/>
            <w:gridSpan w:val="3"/>
            <w:vMerge w:val="continue"/>
          </w:tcPr>
          <w:p>
            <w:pPr>
              <w:spacing w:after="0"/>
              <w:rPr>
                <w:sz w:val="9"/>
                <w:szCs w:val="9"/>
                <w:color w:val="auto"/>
              </w:rPr>
            </w:pPr>
          </w:p>
        </w:tc>
        <w:tc>
          <w:tcPr>
            <w:tcW w:w="1400" w:type="dxa"/>
            <w:vAlign w:val="bottom"/>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40" w:type="dxa"/>
            <w:vAlign w:val="bottom"/>
          </w:tcPr>
          <w:p>
            <w:pPr>
              <w:spacing w:after="0"/>
              <w:rPr>
                <w:sz w:val="9"/>
                <w:szCs w:val="9"/>
                <w:color w:val="auto"/>
              </w:rPr>
            </w:pPr>
          </w:p>
        </w:tc>
        <w:tc>
          <w:tcPr>
            <w:tcW w:w="1260" w:type="dxa"/>
            <w:vAlign w:val="bottom"/>
            <w:gridSpan w:val="2"/>
          </w:tcPr>
          <w:p>
            <w:pPr>
              <w:jc w:val="center"/>
              <w:ind w:right="260"/>
              <w:spacing w:after="0" w:line="106" w:lineRule="exact"/>
              <w:rPr>
                <w:sz w:val="20"/>
                <w:szCs w:val="20"/>
                <w:color w:val="auto"/>
              </w:rPr>
            </w:pPr>
            <w:r>
              <w:rPr>
                <w:rFonts w:ascii="Arial" w:cs="Arial" w:eastAsia="Arial" w:hAnsi="Arial"/>
                <w:sz w:val="11"/>
                <w:szCs w:val="11"/>
                <w:b w:val="1"/>
                <w:bCs w:val="1"/>
                <w:color w:val="auto"/>
                <w:w w:val="95"/>
              </w:rPr>
              <w:t>Foreign Currency</w:t>
            </w:r>
          </w:p>
        </w:tc>
        <w:tc>
          <w:tcPr>
            <w:tcW w:w="1400" w:type="dxa"/>
            <w:vAlign w:val="bottom"/>
            <w:gridSpan w:val="3"/>
          </w:tcPr>
          <w:p>
            <w:pPr>
              <w:jc w:val="center"/>
              <w:ind w:right="100"/>
              <w:spacing w:after="0" w:line="106" w:lineRule="exact"/>
              <w:rPr>
                <w:sz w:val="20"/>
                <w:szCs w:val="20"/>
                <w:color w:val="auto"/>
              </w:rPr>
            </w:pPr>
            <w:r>
              <w:rPr>
                <w:rFonts w:ascii="Arial" w:cs="Arial" w:eastAsia="Arial" w:hAnsi="Arial"/>
                <w:sz w:val="11"/>
                <w:szCs w:val="11"/>
                <w:b w:val="1"/>
                <w:bCs w:val="1"/>
                <w:color w:val="auto"/>
                <w:w w:val="91"/>
              </w:rPr>
              <w:t>Instruments Classified as</w:t>
            </w:r>
          </w:p>
        </w:tc>
        <w:tc>
          <w:tcPr>
            <w:tcW w:w="1420" w:type="dxa"/>
            <w:vAlign w:val="bottom"/>
            <w:gridSpan w:val="3"/>
          </w:tcPr>
          <w:p>
            <w:pPr>
              <w:jc w:val="center"/>
              <w:ind w:right="100"/>
              <w:spacing w:after="0" w:line="106" w:lineRule="exact"/>
              <w:rPr>
                <w:sz w:val="20"/>
                <w:szCs w:val="20"/>
                <w:color w:val="auto"/>
              </w:rPr>
            </w:pPr>
            <w:r>
              <w:rPr>
                <w:rFonts w:ascii="Arial" w:cs="Arial" w:eastAsia="Arial" w:hAnsi="Arial"/>
                <w:sz w:val="11"/>
                <w:szCs w:val="11"/>
                <w:b w:val="1"/>
                <w:bCs w:val="1"/>
                <w:color w:val="auto"/>
                <w:w w:val="93"/>
              </w:rPr>
              <w:t>and Other Postretirement</w:t>
            </w:r>
          </w:p>
        </w:tc>
        <w:tc>
          <w:tcPr>
            <w:tcW w:w="100" w:type="dxa"/>
            <w:vAlign w:val="bottom"/>
          </w:tcPr>
          <w:p>
            <w:pPr>
              <w:spacing w:after="0"/>
              <w:rPr>
                <w:sz w:val="9"/>
                <w:szCs w:val="9"/>
                <w:color w:val="auto"/>
              </w:rPr>
            </w:pPr>
          </w:p>
        </w:tc>
        <w:tc>
          <w:tcPr>
            <w:tcW w:w="1300" w:type="dxa"/>
            <w:vAlign w:val="bottom"/>
            <w:gridSpan w:val="2"/>
          </w:tcPr>
          <w:p>
            <w:pPr>
              <w:jc w:val="center"/>
              <w:ind w:right="200"/>
              <w:spacing w:after="0" w:line="106" w:lineRule="exact"/>
              <w:rPr>
                <w:sz w:val="20"/>
                <w:szCs w:val="20"/>
                <w:color w:val="auto"/>
              </w:rPr>
            </w:pPr>
            <w:r>
              <w:rPr>
                <w:rFonts w:ascii="Arial" w:cs="Arial" w:eastAsia="Arial" w:hAnsi="Arial"/>
                <w:sz w:val="11"/>
                <w:szCs w:val="11"/>
                <w:b w:val="1"/>
                <w:bCs w:val="1"/>
                <w:color w:val="auto"/>
                <w:w w:val="93"/>
              </w:rPr>
              <w:t>on Available-for-Sale</w:t>
            </w:r>
          </w:p>
        </w:tc>
        <w:tc>
          <w:tcPr>
            <w:tcW w:w="320" w:type="dxa"/>
            <w:vAlign w:val="bottom"/>
          </w:tcPr>
          <w:p>
            <w:pPr>
              <w:spacing w:after="0"/>
              <w:rPr>
                <w:sz w:val="9"/>
                <w:szCs w:val="9"/>
                <w:color w:val="auto"/>
              </w:rPr>
            </w:pPr>
          </w:p>
        </w:tc>
        <w:tc>
          <w:tcPr>
            <w:tcW w:w="1020" w:type="dxa"/>
            <w:vAlign w:val="bottom"/>
            <w:vMerge w:val="restart"/>
          </w:tcPr>
          <w:p>
            <w:pPr>
              <w:jc w:val="right"/>
              <w:ind w:right="477"/>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48"/>
        </w:trPr>
        <w:tc>
          <w:tcPr>
            <w:tcW w:w="14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1"/>
                <w:szCs w:val="11"/>
                <w:b w:val="1"/>
                <w:bCs w:val="1"/>
                <w:color w:val="auto"/>
                <w:w w:val="94"/>
              </w:rPr>
              <w:t>Translation</w:t>
            </w:r>
          </w:p>
        </w:tc>
        <w:tc>
          <w:tcPr>
            <w:tcW w:w="10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1"/>
                <w:szCs w:val="11"/>
                <w:b w:val="1"/>
                <w:bCs w:val="1"/>
                <w:color w:val="auto"/>
                <w:w w:val="91"/>
              </w:rPr>
              <w:t>Cash Flow Hedges</w:t>
            </w:r>
          </w:p>
        </w:tc>
        <w:tc>
          <w:tcPr>
            <w:tcW w:w="2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1"/>
                <w:szCs w:val="11"/>
                <w:b w:val="1"/>
                <w:bCs w:val="1"/>
                <w:color w:val="auto"/>
                <w:w w:val="92"/>
              </w:rPr>
              <w:t>Benefits</w:t>
            </w:r>
          </w:p>
        </w:tc>
        <w:tc>
          <w:tcPr>
            <w:tcW w:w="10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1"/>
                <w:szCs w:val="11"/>
                <w:b w:val="1"/>
                <w:bCs w:val="1"/>
                <w:color w:val="auto"/>
                <w:w w:val="87"/>
              </w:rPr>
              <w:t>Securities</w:t>
            </w: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1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0" w:type="dxa"/>
            <w:vAlign w:val="bottom"/>
            <w:gridSpan w:val="2"/>
          </w:tcPr>
          <w:p>
            <w:pPr>
              <w:ind w:left="140"/>
              <w:spacing w:after="0"/>
              <w:rPr>
                <w:sz w:val="20"/>
                <w:szCs w:val="20"/>
                <w:color w:val="auto"/>
              </w:rPr>
            </w:pPr>
            <w:r>
              <w:rPr>
                <w:rFonts w:ascii="Arial" w:cs="Arial" w:eastAsia="Arial" w:hAnsi="Arial"/>
                <w:sz w:val="10"/>
                <w:szCs w:val="10"/>
                <w:b w:val="1"/>
                <w:bCs w:val="1"/>
                <w:color w:val="auto"/>
              </w:rPr>
              <w:t>(In thousands)</w:t>
            </w:r>
          </w:p>
        </w:tc>
        <w:tc>
          <w:tcPr>
            <w:tcW w:w="1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(1,108)</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(2,406)</w:t>
            </w:r>
          </w:p>
        </w:tc>
        <w:tc>
          <w:tcPr>
            <w:tcW w:w="100" w:type="dxa"/>
            <w:vAlign w:val="bottom"/>
          </w:tcPr>
          <w:p>
            <w:pPr>
              <w:spacing w:after="0"/>
              <w:rPr>
                <w:sz w:val="15"/>
                <w:szCs w:val="15"/>
                <w:color w:val="auto"/>
              </w:rPr>
            </w:pPr>
          </w:p>
        </w:tc>
        <w:tc>
          <w:tcPr>
            <w:tcW w:w="220" w:type="dxa"/>
            <w:vAlign w:val="bottom"/>
          </w:tcPr>
          <w:p>
            <w:pPr>
              <w:jc w:val="right"/>
              <w:ind w:right="80"/>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(71,615)</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300" w:type="dxa"/>
            <w:vAlign w:val="bottom"/>
            <w:gridSpan w:val="2"/>
          </w:tcPr>
          <w:p>
            <w:pPr>
              <w:jc w:val="center"/>
              <w:ind w:left="818"/>
              <w:spacing w:after="0"/>
              <w:rPr>
                <w:sz w:val="20"/>
                <w:szCs w:val="20"/>
                <w:color w:val="auto"/>
              </w:rPr>
            </w:pPr>
            <w:r>
              <w:rPr>
                <w:rFonts w:ascii="Arial" w:cs="Arial" w:eastAsia="Arial" w:hAnsi="Arial"/>
                <w:sz w:val="13"/>
                <w:szCs w:val="13"/>
                <w:color w:val="auto"/>
              </w:rPr>
              <w:t>—</w:t>
            </w:r>
          </w:p>
        </w:tc>
        <w:tc>
          <w:tcPr>
            <w:tcW w:w="320" w:type="dxa"/>
            <w:vAlign w:val="bottom"/>
          </w:tcPr>
          <w:p>
            <w:pPr>
              <w:jc w:val="right"/>
              <w:ind w:right="176"/>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(75,129)</w:t>
            </w:r>
          </w:p>
        </w:tc>
        <w:tc>
          <w:tcPr>
            <w:tcW w:w="0" w:type="dxa"/>
            <w:vAlign w:val="bottom"/>
          </w:tcPr>
          <w:p>
            <w:pPr>
              <w:spacing w:after="0"/>
              <w:rPr>
                <w:sz w:val="1"/>
                <w:szCs w:val="1"/>
                <w:color w:val="auto"/>
              </w:rPr>
            </w:pPr>
          </w:p>
        </w:tc>
      </w:tr>
      <w:tr>
        <w:trPr>
          <w:trHeight w:val="297"/>
        </w:trPr>
        <w:tc>
          <w:tcPr>
            <w:tcW w:w="1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83,890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3,823</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(31,724)</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jc w:val="center"/>
              <w:ind w:left="918"/>
              <w:spacing w:after="0"/>
              <w:rPr>
                <w:sz w:val="20"/>
                <w:szCs w:val="20"/>
                <w:color w:val="auto"/>
              </w:rPr>
            </w:pPr>
            <w:r>
              <w:rPr>
                <w:rFonts w:ascii="Arial" w:cs="Arial" w:eastAsia="Arial" w:hAnsi="Arial"/>
                <w:sz w:val="13"/>
                <w:szCs w:val="13"/>
                <w:color w:val="auto"/>
                <w:w w:val="96"/>
              </w:rPr>
              <w:t>55</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56,044</w:t>
            </w:r>
          </w:p>
        </w:tc>
        <w:tc>
          <w:tcPr>
            <w:tcW w:w="0" w:type="dxa"/>
            <w:vAlign w:val="bottom"/>
          </w:tcPr>
          <w:p>
            <w:pPr>
              <w:spacing w:after="0"/>
              <w:rPr>
                <w:sz w:val="1"/>
                <w:szCs w:val="1"/>
                <w:color w:val="auto"/>
              </w:rPr>
            </w:pPr>
          </w:p>
        </w:tc>
      </w:tr>
      <w:tr>
        <w:trPr>
          <w:trHeight w:val="297"/>
        </w:trPr>
        <w:tc>
          <w:tcPr>
            <w:tcW w:w="140" w:type="dxa"/>
            <w:vAlign w:val="bottom"/>
          </w:tcPr>
          <w:p>
            <w:pPr>
              <w:spacing w:after="0"/>
              <w:rPr>
                <w:sz w:val="24"/>
                <w:szCs w:val="24"/>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(2,664)</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1,128</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jc w:val="center"/>
              <w:ind w:left="898"/>
              <w:spacing w:after="0"/>
              <w:rPr>
                <w:sz w:val="20"/>
                <w:szCs w:val="20"/>
                <w:color w:val="auto"/>
              </w:rPr>
            </w:pPr>
            <w:r>
              <w:rPr>
                <w:rFonts w:ascii="Arial" w:cs="Arial" w:eastAsia="Arial" w:hAnsi="Arial"/>
                <w:sz w:val="13"/>
                <w:szCs w:val="13"/>
                <w:color w:val="auto"/>
                <w:w w:val="86"/>
              </w:rPr>
              <w:t>(55)</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(1,591)</w:t>
            </w:r>
          </w:p>
        </w:tc>
        <w:tc>
          <w:tcPr>
            <w:tcW w:w="0" w:type="dxa"/>
            <w:vAlign w:val="bottom"/>
          </w:tcPr>
          <w:p>
            <w:pPr>
              <w:spacing w:after="0"/>
              <w:rPr>
                <w:sz w:val="1"/>
                <w:szCs w:val="1"/>
                <w:color w:val="auto"/>
              </w:rPr>
            </w:pPr>
          </w:p>
        </w:tc>
      </w:tr>
      <w:tr>
        <w:trPr>
          <w:trHeight w:val="172"/>
        </w:trPr>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56</w:t>
            </w: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left="918"/>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56</w:t>
            </w:r>
          </w:p>
        </w:tc>
        <w:tc>
          <w:tcPr>
            <w:tcW w:w="0" w:type="dxa"/>
            <w:vAlign w:val="bottom"/>
          </w:tcPr>
          <w:p>
            <w:pPr>
              <w:spacing w:after="0"/>
              <w:rPr>
                <w:sz w:val="1"/>
                <w:szCs w:val="1"/>
                <w:color w:val="auto"/>
              </w:rPr>
            </w:pPr>
          </w:p>
        </w:tc>
      </w:tr>
      <w:tr>
        <w:trPr>
          <w:trHeight w:val="277"/>
        </w:trPr>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83,890</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1,215</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(30,596)</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center"/>
              <w:ind w:left="918"/>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54,509</w:t>
            </w:r>
          </w:p>
        </w:tc>
        <w:tc>
          <w:tcPr>
            <w:tcW w:w="0" w:type="dxa"/>
            <w:vAlign w:val="bottom"/>
          </w:tcPr>
          <w:p>
            <w:pPr>
              <w:spacing w:after="0"/>
              <w:rPr>
                <w:sz w:val="1"/>
                <w:szCs w:val="1"/>
                <w:color w:val="auto"/>
              </w:rPr>
            </w:pPr>
          </w:p>
        </w:tc>
      </w:tr>
      <w:tr>
        <w:trPr>
          <w:trHeight w:val="160"/>
        </w:trPr>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82,782</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(1,191)</w:t>
            </w:r>
          </w:p>
        </w:tc>
        <w:tc>
          <w:tcPr>
            <w:tcW w:w="100" w:type="dxa"/>
            <w:vAlign w:val="bottom"/>
          </w:tcPr>
          <w:p>
            <w:pPr>
              <w:spacing w:after="0"/>
              <w:rPr>
                <w:sz w:val="13"/>
                <w:szCs w:val="13"/>
                <w:color w:val="auto"/>
              </w:rPr>
            </w:pPr>
          </w:p>
        </w:tc>
        <w:tc>
          <w:tcPr>
            <w:tcW w:w="220" w:type="dxa"/>
            <w:vAlign w:val="bottom"/>
          </w:tcPr>
          <w:p>
            <w:pPr>
              <w:jc w:val="right"/>
              <w:ind w:right="80"/>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(102,211)</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300" w:type="dxa"/>
            <w:vAlign w:val="bottom"/>
            <w:gridSpan w:val="2"/>
          </w:tcPr>
          <w:p>
            <w:pPr>
              <w:jc w:val="center"/>
              <w:ind w:left="818"/>
              <w:spacing w:after="0"/>
              <w:rPr>
                <w:sz w:val="20"/>
                <w:szCs w:val="20"/>
                <w:color w:val="auto"/>
              </w:rPr>
            </w:pPr>
            <w:r>
              <w:rPr>
                <w:rFonts w:ascii="Arial" w:cs="Arial" w:eastAsia="Arial" w:hAnsi="Arial"/>
                <w:sz w:val="13"/>
                <w:szCs w:val="13"/>
                <w:color w:val="auto"/>
              </w:rPr>
              <w:t>—</w:t>
            </w:r>
          </w:p>
        </w:tc>
        <w:tc>
          <w:tcPr>
            <w:tcW w:w="320" w:type="dxa"/>
            <w:vAlign w:val="bottom"/>
          </w:tcPr>
          <w:p>
            <w:pPr>
              <w:jc w:val="right"/>
              <w:ind w:right="176"/>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(20,620)</w:t>
            </w:r>
          </w:p>
        </w:tc>
        <w:tc>
          <w:tcPr>
            <w:tcW w:w="0" w:type="dxa"/>
            <w:vAlign w:val="bottom"/>
          </w:tcPr>
          <w:p>
            <w:pPr>
              <w:spacing w:after="0"/>
              <w:rPr>
                <w:sz w:val="1"/>
                <w:szCs w:val="1"/>
                <w:color w:val="auto"/>
              </w:rPr>
            </w:pPr>
          </w:p>
        </w:tc>
      </w:tr>
      <w:tr>
        <w:trPr>
          <w:trHeight w:val="20"/>
        </w:trPr>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-922655</wp:posOffset>
            </wp:positionV>
            <wp:extent cx="7127875" cy="1079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27875" cy="107950"/>
                    </a:xfrm>
                    <a:prstGeom prst="rect">
                      <a:avLst/>
                    </a:prstGeom>
                    <a:noFill/>
                  </pic:spPr>
                </pic:pic>
              </a:graphicData>
            </a:graphic>
          </wp:anchor>
        </w:drawing>
        <w:drawing>
          <wp:anchor simplePos="0" relativeHeight="251657728" behindDoc="1" locked="0" layoutInCell="0" allowOverlap="1">
            <wp:simplePos x="0" y="0"/>
            <wp:positionH relativeFrom="column">
              <wp:posOffset>-2706370</wp:posOffset>
            </wp:positionH>
            <wp:positionV relativeFrom="paragraph">
              <wp:posOffset>-626110</wp:posOffset>
            </wp:positionV>
            <wp:extent cx="7127875" cy="18859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27875" cy="188595"/>
                    </a:xfrm>
                    <a:prstGeom prst="rect">
                      <a:avLst/>
                    </a:prstGeom>
                    <a:noFill/>
                  </pic:spPr>
                </pic:pic>
              </a:graphicData>
            </a:graphic>
          </wp:anchor>
        </w:drawing>
        <w:drawing>
          <wp:anchor simplePos="0" relativeHeight="251657728" behindDoc="1" locked="0" layoutInCell="0" allowOverlap="1">
            <wp:simplePos x="0" y="0"/>
            <wp:positionH relativeFrom="column">
              <wp:posOffset>-2706370</wp:posOffset>
            </wp:positionH>
            <wp:positionV relativeFrom="paragraph">
              <wp:posOffset>-329565</wp:posOffset>
            </wp:positionV>
            <wp:extent cx="7127875" cy="18859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27875" cy="188595"/>
                    </a:xfrm>
                    <a:prstGeom prst="rect">
                      <a:avLst/>
                    </a:prstGeom>
                    <a:noFill/>
                  </pic:spPr>
                </pic:pic>
              </a:graphicData>
            </a:graphic>
          </wp:anchor>
        </w:drawing>
      </w:r>
    </w:p>
    <w:p>
      <w:pPr>
        <w:spacing w:after="0" w:line="92" w:lineRule="exact"/>
        <w:rPr>
          <w:sz w:val="20"/>
          <w:szCs w:val="20"/>
          <w:color w:val="auto"/>
        </w:rPr>
      </w:pPr>
    </w:p>
    <w:p>
      <w:pPr>
        <w:jc w:val="center"/>
        <w:ind w:right="2760"/>
        <w:spacing w:after="0"/>
        <w:rPr>
          <w:sz w:val="20"/>
          <w:szCs w:val="20"/>
          <w:color w:val="auto"/>
        </w:rPr>
      </w:pPr>
      <w:r>
        <w:rPr>
          <w:rFonts w:ascii="Arial" w:cs="Arial" w:eastAsia="Arial" w:hAnsi="Arial"/>
          <w:sz w:val="11"/>
          <w:szCs w:val="11"/>
          <w:b w:val="1"/>
          <w:bCs w:val="1"/>
          <w:color w:val="auto"/>
        </w:rPr>
        <w:t>Amount Reclassified from Accumulated Other Comprehensive</w:t>
      </w:r>
    </w:p>
    <w:p>
      <w:pPr>
        <w:jc w:val="center"/>
        <w:ind w:right="2760"/>
        <w:spacing w:after="0"/>
        <w:rPr>
          <w:sz w:val="20"/>
          <w:szCs w:val="20"/>
          <w:color w:val="auto"/>
        </w:rPr>
      </w:pPr>
      <w:r>
        <w:rPr>
          <w:rFonts w:ascii="Arial" w:cs="Arial" w:eastAsia="Arial" w:hAnsi="Arial"/>
          <w:sz w:val="11"/>
          <w:szCs w:val="11"/>
          <w:b w:val="1"/>
          <w:bCs w:val="1"/>
          <w:color w:val="auto"/>
        </w:rPr>
        <w:t>Loss</w:t>
      </w:r>
      <w:r>
        <w:rPr>
          <w:rFonts w:ascii="Arial" w:cs="Arial" w:eastAsia="Arial" w:hAnsi="Arial"/>
          <w:sz w:val="7"/>
          <w:szCs w:val="7"/>
          <w:b w:val="1"/>
          <w:bCs w:val="1"/>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344805</wp:posOffset>
            </wp:positionH>
            <wp:positionV relativeFrom="paragraph">
              <wp:posOffset>10795</wp:posOffset>
            </wp:positionV>
            <wp:extent cx="2000885" cy="698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000885" cy="6985"/>
                    </a:xfrm>
                    <a:prstGeom prst="rect">
                      <a:avLst/>
                    </a:prstGeom>
                    <a:noFill/>
                  </pic:spPr>
                </pic:pic>
              </a:graphicData>
            </a:graphic>
          </wp:anchor>
        </w:drawing>
      </w:r>
    </w:p>
    <w:p>
      <w:pPr>
        <w:spacing w:after="0" w:line="116" w:lineRule="exact"/>
        <w:rPr>
          <w:sz w:val="20"/>
          <w:szCs w:val="20"/>
          <w:color w:val="auto"/>
        </w:rPr>
      </w:pPr>
    </w:p>
    <w:p>
      <w:pPr>
        <w:sectPr>
          <w:pgSz w:w="11900" w:h="16838" w:orient="portrait"/>
          <w:cols w:equalWidth="0" w:num="2">
            <w:col w:w="3580" w:space="720"/>
            <w:col w:w="6980"/>
          </w:cols>
          <w:pgMar w:left="300" w:top="129" w:right="319" w:bottom="1440" w:gutter="0" w:footer="0" w:header="0"/>
          <w:type w:val="continuous"/>
        </w:sectPr>
      </w:pPr>
    </w:p>
    <w:tbl>
      <w:tblPr>
        <w:tblLayout w:type="fixed"/>
        <w:tblInd w:w="40" w:type="dxa"/>
        <w:tblCellMar>
          <w:top w:w="0" w:type="dxa"/>
          <w:left w:w="0" w:type="dxa"/>
          <w:bottom w:w="0" w:type="dxa"/>
          <w:right w:w="0" w:type="dxa"/>
        </w:tblCellMar>
      </w:tblPr>
      <w:tr>
        <w:trPr>
          <w:trHeight w:val="151"/>
        </w:trPr>
        <w:tc>
          <w:tcPr>
            <w:tcW w:w="4800" w:type="dxa"/>
            <w:vAlign w:val="bottom"/>
            <w:gridSpan w:val="2"/>
          </w:tcPr>
          <w:p>
            <w:pPr>
              <w:ind w:left="700"/>
              <w:spacing w:after="0"/>
              <w:rPr>
                <w:sz w:val="20"/>
                <w:szCs w:val="20"/>
                <w:color w:val="auto"/>
              </w:rPr>
            </w:pPr>
            <w:r>
              <w:rPr>
                <w:rFonts w:ascii="Arial" w:cs="Arial" w:eastAsia="Arial" w:hAnsi="Arial"/>
                <w:sz w:val="11"/>
                <w:szCs w:val="11"/>
                <w:b w:val="1"/>
                <w:bCs w:val="1"/>
                <w:color w:val="auto"/>
              </w:rPr>
              <w:t>Details about Accumulated Other Comprehensive Loss Components</w:t>
            </w:r>
          </w:p>
        </w:tc>
        <w:tc>
          <w:tcPr>
            <w:tcW w:w="360" w:type="dxa"/>
            <w:vAlign w:val="bottom"/>
          </w:tcPr>
          <w:p>
            <w:pPr>
              <w:spacing w:after="0"/>
              <w:rPr>
                <w:sz w:val="13"/>
                <w:szCs w:val="13"/>
                <w:color w:val="auto"/>
              </w:rPr>
            </w:pPr>
          </w:p>
        </w:tc>
        <w:tc>
          <w:tcPr>
            <w:tcW w:w="1180" w:type="dxa"/>
            <w:vAlign w:val="bottom"/>
          </w:tcPr>
          <w:p>
            <w:pPr>
              <w:jc w:val="right"/>
              <w:ind w:right="598"/>
              <w:spacing w:after="0"/>
              <w:rPr>
                <w:sz w:val="20"/>
                <w:szCs w:val="20"/>
                <w:color w:val="auto"/>
              </w:rPr>
            </w:pPr>
            <w:r>
              <w:rPr>
                <w:rFonts w:ascii="Arial" w:cs="Arial" w:eastAsia="Arial" w:hAnsi="Arial"/>
                <w:sz w:val="11"/>
                <w:szCs w:val="11"/>
                <w:b w:val="1"/>
                <w:bCs w:val="1"/>
                <w:color w:val="auto"/>
              </w:rPr>
              <w:t>2021</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80" w:type="dxa"/>
            <w:vAlign w:val="bottom"/>
          </w:tcPr>
          <w:p>
            <w:pPr>
              <w:jc w:val="right"/>
              <w:ind w:right="597"/>
              <w:spacing w:after="0"/>
              <w:rPr>
                <w:sz w:val="20"/>
                <w:szCs w:val="20"/>
                <w:color w:val="auto"/>
              </w:rPr>
            </w:pPr>
            <w:r>
              <w:rPr>
                <w:rFonts w:ascii="Arial" w:cs="Arial" w:eastAsia="Arial" w:hAnsi="Arial"/>
                <w:sz w:val="11"/>
                <w:szCs w:val="11"/>
                <w:b w:val="1"/>
                <w:bCs w:val="1"/>
                <w:color w:val="auto"/>
              </w:rPr>
              <w:t>2020</w:t>
            </w:r>
          </w:p>
        </w:tc>
        <w:tc>
          <w:tcPr>
            <w:tcW w:w="80" w:type="dxa"/>
            <w:vAlign w:val="bottom"/>
          </w:tcPr>
          <w:p>
            <w:pPr>
              <w:spacing w:after="0"/>
              <w:rPr>
                <w:sz w:val="13"/>
                <w:szCs w:val="13"/>
                <w:color w:val="auto"/>
              </w:rPr>
            </w:pPr>
          </w:p>
        </w:tc>
        <w:tc>
          <w:tcPr>
            <w:tcW w:w="3180" w:type="dxa"/>
            <w:vAlign w:val="bottom"/>
          </w:tcPr>
          <w:p>
            <w:pPr>
              <w:ind w:left="120"/>
              <w:spacing w:after="0"/>
              <w:rPr>
                <w:sz w:val="20"/>
                <w:szCs w:val="20"/>
                <w:color w:val="auto"/>
              </w:rPr>
            </w:pPr>
            <w:r>
              <w:rPr>
                <w:rFonts w:ascii="Arial" w:cs="Arial" w:eastAsia="Arial" w:hAnsi="Arial"/>
                <w:sz w:val="11"/>
                <w:szCs w:val="11"/>
                <w:b w:val="1"/>
                <w:bCs w:val="1"/>
                <w:color w:val="auto"/>
                <w:w w:val="95"/>
              </w:rPr>
              <w:t>Affected Line Item in the Consolidated Statements of Income</w:t>
            </w:r>
          </w:p>
        </w:tc>
        <w:tc>
          <w:tcPr>
            <w:tcW w:w="0" w:type="dxa"/>
            <w:vAlign w:val="bottom"/>
          </w:tcPr>
          <w:p>
            <w:pPr>
              <w:spacing w:after="0"/>
              <w:rPr>
                <w:sz w:val="1"/>
                <w:szCs w:val="1"/>
                <w:color w:val="auto"/>
              </w:rPr>
            </w:pPr>
          </w:p>
        </w:tc>
      </w:tr>
      <w:tr>
        <w:trPr>
          <w:trHeight w:val="127"/>
        </w:trPr>
        <w:tc>
          <w:tcPr>
            <w:tcW w:w="47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720" w:type="dxa"/>
            <w:vAlign w:val="bottom"/>
            <w:tcBorders>
              <w:top w:val="single" w:sz="8" w:color="auto"/>
            </w:tcBorders>
            <w:gridSpan w:val="3"/>
          </w:tcPr>
          <w:p>
            <w:pPr>
              <w:jc w:val="right"/>
              <w:ind w:right="136"/>
              <w:spacing w:after="0"/>
              <w:rPr>
                <w:sz w:val="20"/>
                <w:szCs w:val="20"/>
                <w:color w:val="auto"/>
              </w:rPr>
            </w:pPr>
            <w:r>
              <w:rPr>
                <w:rFonts w:ascii="Arial" w:cs="Arial" w:eastAsia="Arial" w:hAnsi="Arial"/>
                <w:sz w:val="10"/>
                <w:szCs w:val="10"/>
                <w:b w:val="1"/>
                <w:bCs w:val="1"/>
                <w:color w:val="auto"/>
              </w:rPr>
              <w:t>(In thousands)</w:t>
            </w:r>
          </w:p>
        </w:tc>
        <w:tc>
          <w:tcPr>
            <w:tcW w:w="10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1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4800" w:type="dxa"/>
            <w:vAlign w:val="bottom"/>
            <w:gridSpan w:val="2"/>
            <w:shd w:val="clear" w:color="auto" w:fill="CCEEFF"/>
          </w:tcPr>
          <w:p>
            <w:pPr>
              <w:ind w:left="20"/>
              <w:spacing w:after="0" w:line="138" w:lineRule="exact"/>
              <w:rPr>
                <w:sz w:val="20"/>
                <w:szCs w:val="20"/>
                <w:color w:val="auto"/>
              </w:rPr>
            </w:pPr>
            <w:r>
              <w:rPr>
                <w:rFonts w:ascii="Arial" w:cs="Arial" w:eastAsia="Arial" w:hAnsi="Arial"/>
                <w:sz w:val="13"/>
                <w:szCs w:val="13"/>
                <w:color w:val="auto"/>
              </w:rPr>
              <w:t>Realized gain on settlement of foreign currency</w:t>
            </w:r>
          </w:p>
        </w:tc>
        <w:tc>
          <w:tcPr>
            <w:tcW w:w="360" w:type="dxa"/>
            <w:vAlign w:val="bottom"/>
            <w:vMerge w:val="restart"/>
            <w:shd w:val="clear" w:color="auto" w:fill="CCEEFF"/>
          </w:tcPr>
          <w:p>
            <w:pPr>
              <w:jc w:val="right"/>
              <w:ind w:right="216"/>
              <w:spacing w:after="0"/>
              <w:rPr>
                <w:sz w:val="20"/>
                <w:szCs w:val="20"/>
                <w:color w:val="auto"/>
              </w:rPr>
            </w:pPr>
            <w:r>
              <w:rPr>
                <w:rFonts w:ascii="Arial" w:cs="Arial" w:eastAsia="Arial" w:hAnsi="Arial"/>
                <w:sz w:val="13"/>
                <w:szCs w:val="13"/>
                <w:color w:val="auto"/>
                <w:w w:val="82"/>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1,359</w:t>
            </w:r>
          </w:p>
        </w:tc>
        <w:tc>
          <w:tcPr>
            <w:tcW w:w="80" w:type="dxa"/>
            <w:vAlign w:val="bottom"/>
            <w:shd w:val="clear" w:color="auto" w:fill="CCEEFF"/>
          </w:tcPr>
          <w:p>
            <w:pPr>
              <w:spacing w:after="0"/>
              <w:rPr>
                <w:sz w:val="11"/>
                <w:szCs w:val="11"/>
                <w:color w:val="auto"/>
              </w:rPr>
            </w:pPr>
          </w:p>
        </w:tc>
        <w:tc>
          <w:tcPr>
            <w:tcW w:w="460" w:type="dxa"/>
            <w:vAlign w:val="bottom"/>
            <w:vMerge w:val="restart"/>
            <w:shd w:val="clear" w:color="auto" w:fill="CCEEFF"/>
          </w:tcPr>
          <w:p>
            <w:pPr>
              <w:jc w:val="right"/>
              <w:ind w:right="316"/>
              <w:spacing w:after="0"/>
              <w:rPr>
                <w:sz w:val="20"/>
                <w:szCs w:val="20"/>
                <w:color w:val="auto"/>
              </w:rPr>
            </w:pPr>
            <w:r>
              <w:rPr>
                <w:rFonts w:ascii="Arial" w:cs="Arial" w:eastAsia="Arial" w:hAnsi="Arial"/>
                <w:sz w:val="13"/>
                <w:szCs w:val="13"/>
                <w:color w:val="auto"/>
                <w:w w:val="82"/>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2,987</w:t>
            </w:r>
          </w:p>
        </w:tc>
        <w:tc>
          <w:tcPr>
            <w:tcW w:w="80" w:type="dxa"/>
            <w:vAlign w:val="bottom"/>
            <w:shd w:val="clear" w:color="auto" w:fill="CCEEFF"/>
          </w:tcPr>
          <w:p>
            <w:pPr>
              <w:spacing w:after="0"/>
              <w:rPr>
                <w:sz w:val="11"/>
                <w:szCs w:val="11"/>
                <w:color w:val="auto"/>
              </w:rPr>
            </w:pPr>
          </w:p>
        </w:tc>
        <w:tc>
          <w:tcPr>
            <w:tcW w:w="318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rPr>
              <w:t>Net sales</w:t>
            </w:r>
          </w:p>
        </w:tc>
        <w:tc>
          <w:tcPr>
            <w:tcW w:w="0" w:type="dxa"/>
            <w:vAlign w:val="bottom"/>
          </w:tcPr>
          <w:p>
            <w:pPr>
              <w:spacing w:after="0"/>
              <w:rPr>
                <w:sz w:val="1"/>
                <w:szCs w:val="1"/>
                <w:color w:val="auto"/>
              </w:rPr>
            </w:pPr>
          </w:p>
        </w:tc>
      </w:tr>
      <w:tr>
        <w:trPr>
          <w:trHeight w:val="166"/>
        </w:trPr>
        <w:tc>
          <w:tcPr>
            <w:tcW w:w="480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derivatives classified as cash flow hedges</w:t>
            </w:r>
          </w:p>
        </w:tc>
        <w:tc>
          <w:tcPr>
            <w:tcW w:w="360" w:type="dxa"/>
            <w:vAlign w:val="bottom"/>
            <w:vMerge w:val="continue"/>
            <w:shd w:val="clear" w:color="auto" w:fill="CCEEFF"/>
          </w:tcPr>
          <w:p>
            <w:pPr>
              <w:spacing w:after="0"/>
              <w:rPr>
                <w:sz w:val="14"/>
                <w:szCs w:val="14"/>
                <w:color w:val="auto"/>
              </w:rPr>
            </w:pPr>
          </w:p>
        </w:tc>
        <w:tc>
          <w:tcPr>
            <w:tcW w:w="11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vMerge w:val="continue"/>
            <w:shd w:val="clear" w:color="auto" w:fill="CCEEFF"/>
          </w:tcPr>
          <w:p>
            <w:pPr>
              <w:spacing w:after="0"/>
              <w:rPr>
                <w:sz w:val="14"/>
                <w:szCs w:val="14"/>
                <w:color w:val="auto"/>
              </w:rPr>
            </w:pPr>
          </w:p>
        </w:tc>
        <w:tc>
          <w:tcPr>
            <w:tcW w:w="10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1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4800" w:type="dxa"/>
            <w:vAlign w:val="bottom"/>
            <w:gridSpan w:val="2"/>
          </w:tcPr>
          <w:p>
            <w:pPr>
              <w:ind w:left="20"/>
              <w:spacing w:after="0" w:line="131" w:lineRule="exact"/>
              <w:rPr>
                <w:sz w:val="20"/>
                <w:szCs w:val="20"/>
                <w:color w:val="auto"/>
              </w:rPr>
            </w:pPr>
            <w:r>
              <w:rPr>
                <w:rFonts w:ascii="Arial" w:cs="Arial" w:eastAsia="Arial" w:hAnsi="Arial"/>
                <w:sz w:val="13"/>
                <w:szCs w:val="13"/>
                <w:color w:val="auto"/>
              </w:rPr>
              <w:t>Realized gain (loss) on settlement of foreign currency</w:t>
            </w:r>
          </w:p>
        </w:tc>
        <w:tc>
          <w:tcPr>
            <w:tcW w:w="360" w:type="dxa"/>
            <w:vAlign w:val="bottom"/>
          </w:tcPr>
          <w:p>
            <w:pPr>
              <w:spacing w:after="0"/>
              <w:rPr>
                <w:sz w:val="11"/>
                <w:szCs w:val="11"/>
                <w:color w:val="auto"/>
              </w:rPr>
            </w:pPr>
          </w:p>
        </w:tc>
        <w:tc>
          <w:tcPr>
            <w:tcW w:w="1180" w:type="dxa"/>
            <w:vAlign w:val="bottom"/>
            <w:vMerge w:val="restart"/>
          </w:tcPr>
          <w:p>
            <w:pPr>
              <w:jc w:val="right"/>
              <w:spacing w:after="0"/>
              <w:rPr>
                <w:sz w:val="20"/>
                <w:szCs w:val="20"/>
                <w:color w:val="auto"/>
              </w:rPr>
            </w:pPr>
            <w:r>
              <w:rPr>
                <w:rFonts w:ascii="Arial" w:cs="Arial" w:eastAsia="Arial" w:hAnsi="Arial"/>
                <w:sz w:val="13"/>
                <w:szCs w:val="13"/>
                <w:color w:val="auto"/>
              </w:rPr>
              <w:t>709</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80" w:type="dxa"/>
            <w:vAlign w:val="bottom"/>
            <w:vMerge w:val="restart"/>
          </w:tcPr>
          <w:p>
            <w:pPr>
              <w:jc w:val="right"/>
              <w:spacing w:after="0"/>
              <w:rPr>
                <w:sz w:val="20"/>
                <w:szCs w:val="20"/>
                <w:color w:val="auto"/>
              </w:rPr>
            </w:pPr>
            <w:r>
              <w:rPr>
                <w:rFonts w:ascii="Arial" w:cs="Arial" w:eastAsia="Arial" w:hAnsi="Arial"/>
                <w:sz w:val="13"/>
                <w:szCs w:val="13"/>
                <w:color w:val="auto"/>
              </w:rPr>
              <w:t>(114)</w:t>
            </w:r>
          </w:p>
        </w:tc>
        <w:tc>
          <w:tcPr>
            <w:tcW w:w="80" w:type="dxa"/>
            <w:vAlign w:val="bottom"/>
          </w:tcPr>
          <w:p>
            <w:pPr>
              <w:spacing w:after="0"/>
              <w:rPr>
                <w:sz w:val="11"/>
                <w:szCs w:val="11"/>
                <w:color w:val="auto"/>
              </w:rPr>
            </w:pPr>
          </w:p>
        </w:tc>
        <w:tc>
          <w:tcPr>
            <w:tcW w:w="3180" w:type="dxa"/>
            <w:vAlign w:val="bottom"/>
            <w:vMerge w:val="restart"/>
          </w:tcPr>
          <w:p>
            <w:pPr>
              <w:ind w:left="20"/>
              <w:spacing w:after="0"/>
              <w:rPr>
                <w:sz w:val="20"/>
                <w:szCs w:val="20"/>
                <w:color w:val="auto"/>
              </w:rPr>
            </w:pPr>
            <w:r>
              <w:rPr>
                <w:rFonts w:ascii="Arial" w:cs="Arial" w:eastAsia="Arial" w:hAnsi="Arial"/>
                <w:sz w:val="13"/>
                <w:szCs w:val="13"/>
                <w:color w:val="auto"/>
              </w:rPr>
              <w:t>Cost of sales</w:t>
            </w:r>
          </w:p>
        </w:tc>
        <w:tc>
          <w:tcPr>
            <w:tcW w:w="0" w:type="dxa"/>
            <w:vAlign w:val="bottom"/>
          </w:tcPr>
          <w:p>
            <w:pPr>
              <w:spacing w:after="0"/>
              <w:rPr>
                <w:sz w:val="1"/>
                <w:szCs w:val="1"/>
                <w:color w:val="auto"/>
              </w:rPr>
            </w:pPr>
          </w:p>
        </w:tc>
      </w:tr>
      <w:tr>
        <w:trPr>
          <w:trHeight w:val="164"/>
        </w:trPr>
        <w:tc>
          <w:tcPr>
            <w:tcW w:w="4800" w:type="dxa"/>
            <w:vAlign w:val="bottom"/>
            <w:gridSpan w:val="2"/>
          </w:tcPr>
          <w:p>
            <w:pPr>
              <w:ind w:left="180"/>
              <w:spacing w:after="0"/>
              <w:rPr>
                <w:sz w:val="20"/>
                <w:szCs w:val="20"/>
                <w:color w:val="auto"/>
              </w:rPr>
            </w:pPr>
            <w:r>
              <w:rPr>
                <w:rFonts w:ascii="Arial" w:cs="Arial" w:eastAsia="Arial" w:hAnsi="Arial"/>
                <w:sz w:val="13"/>
                <w:szCs w:val="13"/>
                <w:color w:val="auto"/>
              </w:rPr>
              <w:t>derivatives classified as cash flow hedges</w:t>
            </w:r>
          </w:p>
        </w:tc>
        <w:tc>
          <w:tcPr>
            <w:tcW w:w="36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800" w:type="dxa"/>
            <w:vAlign w:val="bottom"/>
            <w:gridSpan w:val="2"/>
            <w:shd w:val="clear" w:color="auto" w:fill="CCEEFF"/>
          </w:tcPr>
          <w:p>
            <w:pPr>
              <w:ind w:left="20"/>
              <w:spacing w:after="0" w:line="134" w:lineRule="exact"/>
              <w:rPr>
                <w:sz w:val="20"/>
                <w:szCs w:val="20"/>
                <w:color w:val="auto"/>
              </w:rPr>
            </w:pPr>
            <w:r>
              <w:rPr>
                <w:rFonts w:ascii="Arial" w:cs="Arial" w:eastAsia="Arial" w:hAnsi="Arial"/>
                <w:sz w:val="13"/>
                <w:szCs w:val="13"/>
                <w:color w:val="auto"/>
              </w:rPr>
              <w:t>Realized loss on settlement of interest rate swap</w:t>
            </w:r>
          </w:p>
        </w:tc>
        <w:tc>
          <w:tcPr>
            <w:tcW w:w="360" w:type="dxa"/>
            <w:vAlign w:val="bottom"/>
            <w:shd w:val="clear" w:color="auto" w:fill="CCEEFF"/>
          </w:tcPr>
          <w:p>
            <w:pPr>
              <w:spacing w:after="0"/>
              <w:rPr>
                <w:sz w:val="11"/>
                <w:szCs w:val="11"/>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(631)</w:t>
            </w: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(209)</w:t>
            </w:r>
          </w:p>
        </w:tc>
        <w:tc>
          <w:tcPr>
            <w:tcW w:w="80" w:type="dxa"/>
            <w:vAlign w:val="bottom"/>
            <w:shd w:val="clear" w:color="auto" w:fill="CCEEFF"/>
          </w:tcPr>
          <w:p>
            <w:pPr>
              <w:spacing w:after="0"/>
              <w:rPr>
                <w:sz w:val="11"/>
                <w:szCs w:val="11"/>
                <w:color w:val="auto"/>
              </w:rPr>
            </w:pPr>
          </w:p>
        </w:tc>
        <w:tc>
          <w:tcPr>
            <w:tcW w:w="318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rPr>
              <w:t>Interest expense, net of capitalized interest</w:t>
            </w:r>
          </w:p>
        </w:tc>
        <w:tc>
          <w:tcPr>
            <w:tcW w:w="0" w:type="dxa"/>
            <w:vAlign w:val="bottom"/>
          </w:tcPr>
          <w:p>
            <w:pPr>
              <w:spacing w:after="0"/>
              <w:rPr>
                <w:sz w:val="1"/>
                <w:szCs w:val="1"/>
                <w:color w:val="auto"/>
              </w:rPr>
            </w:pPr>
          </w:p>
        </w:tc>
      </w:tr>
      <w:tr>
        <w:trPr>
          <w:trHeight w:val="166"/>
        </w:trPr>
        <w:tc>
          <w:tcPr>
            <w:tcW w:w="480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derivatives classified as cash flow hedges</w:t>
            </w:r>
          </w:p>
        </w:tc>
        <w:tc>
          <w:tcPr>
            <w:tcW w:w="360" w:type="dxa"/>
            <w:vAlign w:val="bottom"/>
            <w:shd w:val="clear" w:color="auto" w:fill="CCEEFF"/>
          </w:tcPr>
          <w:p>
            <w:pPr>
              <w:spacing w:after="0"/>
              <w:rPr>
                <w:sz w:val="14"/>
                <w:szCs w:val="14"/>
                <w:color w:val="auto"/>
              </w:rPr>
            </w:pPr>
          </w:p>
        </w:tc>
        <w:tc>
          <w:tcPr>
            <w:tcW w:w="11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1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800" w:type="dxa"/>
            <w:vAlign w:val="bottom"/>
            <w:gridSpan w:val="2"/>
          </w:tcPr>
          <w:p>
            <w:pPr>
              <w:ind w:left="20"/>
              <w:spacing w:after="0"/>
              <w:rPr>
                <w:sz w:val="20"/>
                <w:szCs w:val="20"/>
                <w:color w:val="auto"/>
              </w:rPr>
            </w:pPr>
            <w:r>
              <w:rPr>
                <w:rFonts w:ascii="Arial" w:cs="Arial" w:eastAsia="Arial" w:hAnsi="Arial"/>
                <w:sz w:val="13"/>
                <w:szCs w:val="13"/>
                <w:color w:val="auto"/>
              </w:rPr>
              <w:t>Realized gain on sale of securities</w:t>
            </w:r>
          </w:p>
        </w:tc>
        <w:tc>
          <w:tcPr>
            <w:tcW w:w="360" w:type="dxa"/>
            <w:vAlign w:val="bottom"/>
          </w:tcPr>
          <w:p>
            <w:pPr>
              <w:spacing w:after="0"/>
              <w:rPr>
                <w:sz w:val="14"/>
                <w:szCs w:val="14"/>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73</w:t>
            </w:r>
          </w:p>
        </w:tc>
        <w:tc>
          <w:tcPr>
            <w:tcW w:w="80" w:type="dxa"/>
            <w:vAlign w:val="bottom"/>
          </w:tcPr>
          <w:p>
            <w:pPr>
              <w:spacing w:after="0"/>
              <w:rPr>
                <w:sz w:val="14"/>
                <w:szCs w:val="14"/>
                <w:color w:val="auto"/>
              </w:rPr>
            </w:pPr>
          </w:p>
        </w:tc>
        <w:tc>
          <w:tcPr>
            <w:tcW w:w="3180" w:type="dxa"/>
            <w:vAlign w:val="bottom"/>
          </w:tcPr>
          <w:p>
            <w:pPr>
              <w:ind w:left="20"/>
              <w:spacing w:after="0"/>
              <w:rPr>
                <w:sz w:val="20"/>
                <w:szCs w:val="20"/>
                <w:color w:val="auto"/>
              </w:rPr>
            </w:pPr>
            <w:r>
              <w:rPr>
                <w:rFonts w:ascii="Arial" w:cs="Arial" w:eastAsia="Arial" w:hAnsi="Arial"/>
                <w:sz w:val="13"/>
                <w:szCs w:val="13"/>
                <w:color w:val="auto"/>
              </w:rPr>
              <w:t>Interest income</w:t>
            </w:r>
          </w:p>
        </w:tc>
        <w:tc>
          <w:tcPr>
            <w:tcW w:w="0" w:type="dxa"/>
            <w:vAlign w:val="bottom"/>
          </w:tcPr>
          <w:p>
            <w:pPr>
              <w:spacing w:after="0"/>
              <w:rPr>
                <w:sz w:val="1"/>
                <w:szCs w:val="1"/>
                <w:color w:val="auto"/>
              </w:rPr>
            </w:pPr>
          </w:p>
        </w:tc>
      </w:tr>
      <w:tr>
        <w:trPr>
          <w:trHeight w:val="133"/>
        </w:trPr>
        <w:tc>
          <w:tcPr>
            <w:tcW w:w="4800" w:type="dxa"/>
            <w:vAlign w:val="bottom"/>
            <w:gridSpan w:val="2"/>
            <w:shd w:val="clear" w:color="auto" w:fill="CCEEFF"/>
          </w:tcPr>
          <w:p>
            <w:pPr>
              <w:ind w:left="20"/>
              <w:spacing w:after="0" w:line="134" w:lineRule="exact"/>
              <w:rPr>
                <w:sz w:val="20"/>
                <w:szCs w:val="20"/>
                <w:color w:val="auto"/>
              </w:rPr>
            </w:pPr>
            <w:r>
              <w:rPr>
                <w:rFonts w:ascii="Arial" w:cs="Arial" w:eastAsia="Arial" w:hAnsi="Arial"/>
                <w:sz w:val="13"/>
                <w:szCs w:val="13"/>
                <w:color w:val="auto"/>
              </w:rPr>
              <w:t>Amortization of pension and other postretirement</w:t>
            </w:r>
          </w:p>
        </w:tc>
        <w:tc>
          <w:tcPr>
            <w:tcW w:w="360" w:type="dxa"/>
            <w:vAlign w:val="bottom"/>
            <w:shd w:val="clear" w:color="auto" w:fill="CCEEFF"/>
          </w:tcPr>
          <w:p>
            <w:pPr>
              <w:spacing w:after="0"/>
              <w:rPr>
                <w:sz w:val="11"/>
                <w:szCs w:val="11"/>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(2,278)</w:t>
            </w: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(1,503)</w:t>
            </w:r>
          </w:p>
        </w:tc>
        <w:tc>
          <w:tcPr>
            <w:tcW w:w="80" w:type="dxa"/>
            <w:vAlign w:val="bottom"/>
            <w:shd w:val="clear" w:color="auto" w:fill="CCEEFF"/>
          </w:tcPr>
          <w:p>
            <w:pPr>
              <w:spacing w:after="0"/>
              <w:rPr>
                <w:sz w:val="11"/>
                <w:szCs w:val="11"/>
                <w:color w:val="auto"/>
              </w:rPr>
            </w:pPr>
          </w:p>
        </w:tc>
        <w:tc>
          <w:tcPr>
            <w:tcW w:w="318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rPr>
              <w:t>Miscellaneous, net</w:t>
            </w:r>
          </w:p>
        </w:tc>
        <w:tc>
          <w:tcPr>
            <w:tcW w:w="0" w:type="dxa"/>
            <w:vAlign w:val="bottom"/>
          </w:tcPr>
          <w:p>
            <w:pPr>
              <w:spacing w:after="0"/>
              <w:rPr>
                <w:sz w:val="1"/>
                <w:szCs w:val="1"/>
                <w:color w:val="auto"/>
              </w:rPr>
            </w:pPr>
          </w:p>
        </w:tc>
      </w:tr>
      <w:tr>
        <w:trPr>
          <w:trHeight w:val="166"/>
        </w:trPr>
        <w:tc>
          <w:tcPr>
            <w:tcW w:w="4800" w:type="dxa"/>
            <w:vAlign w:val="bottom"/>
            <w:gridSpan w:val="2"/>
            <w:shd w:val="clear" w:color="auto" w:fill="CCEEFF"/>
          </w:tcPr>
          <w:p>
            <w:pPr>
              <w:ind w:left="180"/>
              <w:spacing w:after="0" w:line="166" w:lineRule="exact"/>
              <w:rPr>
                <w:sz w:val="20"/>
                <w:szCs w:val="20"/>
                <w:color w:val="auto"/>
              </w:rPr>
            </w:pPr>
            <w:r>
              <w:rPr>
                <w:rFonts w:ascii="Arial" w:cs="Arial" w:eastAsia="Arial" w:hAnsi="Arial"/>
                <w:sz w:val="13"/>
                <w:szCs w:val="13"/>
                <w:color w:val="auto"/>
              </w:rPr>
              <w:t>plan actuarial losses</w:t>
            </w:r>
            <w:r>
              <w:rPr>
                <w:rFonts w:ascii="Arial" w:cs="Arial" w:eastAsia="Arial" w:hAnsi="Arial"/>
                <w:sz w:val="16"/>
                <w:szCs w:val="16"/>
                <w:color w:val="auto"/>
                <w:vertAlign w:val="superscript"/>
              </w:rPr>
              <w:t>(b)</w:t>
            </w:r>
          </w:p>
        </w:tc>
        <w:tc>
          <w:tcPr>
            <w:tcW w:w="36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1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4800" w:type="dxa"/>
            <w:vAlign w:val="bottom"/>
            <w:gridSpan w:val="2"/>
          </w:tcPr>
          <w:p>
            <w:pPr>
              <w:ind w:left="200"/>
              <w:spacing w:after="0"/>
              <w:rPr>
                <w:sz w:val="20"/>
                <w:szCs w:val="20"/>
                <w:color w:val="auto"/>
              </w:rPr>
            </w:pPr>
            <w:r>
              <w:rPr>
                <w:rFonts w:ascii="Arial" w:cs="Arial" w:eastAsia="Arial" w:hAnsi="Arial"/>
                <w:sz w:val="13"/>
                <w:szCs w:val="13"/>
                <w:color w:val="auto"/>
              </w:rPr>
              <w:t>Total before tax</w:t>
            </w:r>
          </w:p>
        </w:tc>
        <w:tc>
          <w:tcPr>
            <w:tcW w:w="3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(841)</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1,234</w:t>
            </w:r>
          </w:p>
        </w:tc>
        <w:tc>
          <w:tcPr>
            <w:tcW w:w="8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8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Tax expense</w:t>
            </w:r>
          </w:p>
        </w:tc>
        <w:tc>
          <w:tcPr>
            <w:tcW w:w="36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695</w:t>
            </w:r>
          </w:p>
        </w:tc>
        <w:tc>
          <w:tcPr>
            <w:tcW w:w="8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357</w:t>
            </w:r>
          </w:p>
        </w:tc>
        <w:tc>
          <w:tcPr>
            <w:tcW w:w="80" w:type="dxa"/>
            <w:vAlign w:val="bottom"/>
            <w:shd w:val="clear" w:color="auto" w:fill="CCEEFF"/>
          </w:tcPr>
          <w:p>
            <w:pPr>
              <w:spacing w:after="0"/>
              <w:rPr>
                <w:sz w:val="14"/>
                <w:szCs w:val="14"/>
                <w:color w:val="auto"/>
              </w:rPr>
            </w:pPr>
          </w:p>
        </w:tc>
        <w:tc>
          <w:tcPr>
            <w:tcW w:w="3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800" w:type="dxa"/>
            <w:vAlign w:val="bottom"/>
            <w:gridSpan w:val="2"/>
          </w:tcPr>
          <w:p>
            <w:pPr>
              <w:ind w:left="20"/>
              <w:spacing w:after="0"/>
              <w:rPr>
                <w:sz w:val="20"/>
                <w:szCs w:val="20"/>
                <w:color w:val="auto"/>
              </w:rPr>
            </w:pPr>
            <w:r>
              <w:rPr>
                <w:rFonts w:ascii="Arial" w:cs="Arial" w:eastAsia="Arial" w:hAnsi="Arial"/>
                <w:sz w:val="13"/>
                <w:szCs w:val="13"/>
                <w:color w:val="auto"/>
              </w:rPr>
              <w:t>Total reclassification for the period</w:t>
            </w:r>
          </w:p>
        </w:tc>
        <w:tc>
          <w:tcPr>
            <w:tcW w:w="36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color w:val="auto"/>
                <w:w w:val="82"/>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(146)</w:t>
            </w:r>
          </w:p>
        </w:tc>
        <w:tc>
          <w:tcPr>
            <w:tcW w:w="80" w:type="dxa"/>
            <w:vAlign w:val="bottom"/>
          </w:tcPr>
          <w:p>
            <w:pPr>
              <w:spacing w:after="0"/>
              <w:rPr>
                <w:sz w:val="14"/>
                <w:szCs w:val="14"/>
                <w:color w:val="auto"/>
              </w:rPr>
            </w:pPr>
          </w:p>
        </w:tc>
        <w:tc>
          <w:tcPr>
            <w:tcW w:w="46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1,591</w:t>
            </w:r>
          </w:p>
        </w:tc>
        <w:tc>
          <w:tcPr>
            <w:tcW w:w="8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9" w:lineRule="exact"/>
        <w:rPr>
          <w:sz w:val="20"/>
          <w:szCs w:val="20"/>
          <w:color w:val="auto"/>
        </w:rPr>
      </w:pPr>
    </w:p>
    <w:p>
      <w:pPr>
        <w:ind w:left="240" w:hanging="235"/>
        <w:spacing w:after="0"/>
        <w:tabs>
          <w:tab w:leader="none" w:pos="240" w:val="left"/>
        </w:tabs>
        <w:numPr>
          <w:ilvl w:val="0"/>
          <w:numId w:val="32"/>
        </w:numPr>
        <w:rPr>
          <w:rFonts w:ascii="Arial" w:cs="Arial" w:eastAsia="Arial" w:hAnsi="Arial"/>
          <w:sz w:val="11"/>
          <w:szCs w:val="11"/>
          <w:color w:val="auto"/>
        </w:rPr>
      </w:pPr>
      <w:r>
        <w:rPr>
          <w:rFonts w:ascii="Arial" w:cs="Arial" w:eastAsia="Arial" w:hAnsi="Arial"/>
          <w:sz w:val="11"/>
          <w:szCs w:val="11"/>
          <w:color w:val="auto"/>
        </w:rPr>
        <w:t>Positive amounts represent income to the results of operations while amounts in parentheses represent expenses to the results of operations.</w:t>
      </w:r>
    </w:p>
    <w:p>
      <w:pPr>
        <w:spacing w:after="0" w:line="10" w:lineRule="exact"/>
        <w:rPr>
          <w:rFonts w:ascii="Arial" w:cs="Arial" w:eastAsia="Arial" w:hAnsi="Arial"/>
          <w:sz w:val="11"/>
          <w:szCs w:val="11"/>
          <w:color w:val="auto"/>
        </w:rPr>
      </w:pPr>
    </w:p>
    <w:p>
      <w:pPr>
        <w:ind w:left="240" w:hanging="235"/>
        <w:spacing w:after="0"/>
        <w:tabs>
          <w:tab w:leader="none" w:pos="240" w:val="left"/>
        </w:tabs>
        <w:numPr>
          <w:ilvl w:val="0"/>
          <w:numId w:val="32"/>
        </w:numPr>
        <w:rPr>
          <w:rFonts w:ascii="Arial" w:cs="Arial" w:eastAsia="Arial" w:hAnsi="Arial"/>
          <w:sz w:val="11"/>
          <w:szCs w:val="11"/>
          <w:color w:val="auto"/>
        </w:rPr>
      </w:pPr>
      <w:r>
        <w:rPr>
          <w:rFonts w:ascii="Arial" w:cs="Arial" w:eastAsia="Arial" w:hAnsi="Arial"/>
          <w:sz w:val="11"/>
          <w:szCs w:val="11"/>
          <w:color w:val="auto"/>
        </w:rPr>
        <w:t>These accumulated other comprehensive loss components are included in the computation of net periodic pension cost. See “Note 15. Pension and Other Postretirement Benefits.”</w:t>
      </w:r>
    </w:p>
    <w:p>
      <w:pPr>
        <w:spacing w:after="0" w:line="1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Preferred Stock</w:t>
      </w:r>
    </w:p>
    <w:p>
      <w:pPr>
        <w:spacing w:after="0" w:line="14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Company has authorized 50,000,000 shares of $0.01 par value preferred stock, although no shares have been issued and no shares are outstanding.</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Share Repurchase Program and Treasury Stock</w:t>
      </w:r>
    </w:p>
    <w:p>
      <w:pPr>
        <w:spacing w:after="0" w:line="140" w:lineRule="exact"/>
        <w:rPr>
          <w:sz w:val="20"/>
          <w:szCs w:val="20"/>
          <w:color w:val="auto"/>
        </w:rPr>
      </w:pPr>
    </w:p>
    <w:p>
      <w:pPr>
        <w:jc w:val="both"/>
        <w:ind w:firstLine="509"/>
        <w:spacing w:after="0" w:line="297" w:lineRule="auto"/>
        <w:rPr>
          <w:sz w:val="20"/>
          <w:szCs w:val="20"/>
          <w:color w:val="auto"/>
        </w:rPr>
      </w:pPr>
      <w:r>
        <w:rPr>
          <w:rFonts w:ascii="Arial" w:cs="Arial" w:eastAsia="Arial" w:hAnsi="Arial"/>
          <w:sz w:val="13"/>
          <w:szCs w:val="13"/>
          <w:color w:val="auto"/>
        </w:rPr>
        <w:t>On October 31, 2018, the Company’s Board of Directors approved a $200.0 million share repurchase authorization. The Company repurchased shares through open market purchase. As of December 26, 2021, the Company repurchased approximately 6.3 million shares under this program with a market value of approximately $113.4 million. The Company accounted for the shares repurchased using the cost method. The Company currently plans to maintain these shares as treasury stock. This program expired on February 16, 2021.</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Restrictions on Dividends</w:t>
      </w:r>
    </w:p>
    <w:p>
      <w:pPr>
        <w:spacing w:after="0" w:line="140" w:lineRule="exact"/>
        <w:rPr>
          <w:sz w:val="20"/>
          <w:szCs w:val="20"/>
          <w:color w:val="auto"/>
        </w:rPr>
      </w:pPr>
    </w:p>
    <w:p>
      <w:pPr>
        <w:jc w:val="both"/>
        <w:ind w:firstLine="509"/>
        <w:spacing w:after="0" w:line="321" w:lineRule="auto"/>
        <w:rPr>
          <w:sz w:val="20"/>
          <w:szCs w:val="20"/>
          <w:color w:val="auto"/>
        </w:rPr>
      </w:pPr>
      <w:r>
        <w:rPr>
          <w:rFonts w:ascii="Arial" w:cs="Arial" w:eastAsia="Arial" w:hAnsi="Arial"/>
          <w:sz w:val="13"/>
          <w:szCs w:val="13"/>
          <w:color w:val="auto"/>
        </w:rPr>
        <w:t>Both the Fifth U.S. Credit Facility and the indentures governing the Company’s senior notes restrict, but do not prohibit, the Company from declaring dividends. Additionally, Moy Park’s Bank of Ireland Facility Agreement restricts Moy Park’s ability and the ability of certain of Moy Park’s subsidiaries to, among other things, make payments and distributions to the Company.</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type w:val="continuous"/>
        </w:sectPr>
      </w:pPr>
    </w:p>
    <w:bookmarkStart w:id="77" w:name="page78"/>
    <w:bookmarkEnd w:id="7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NOTES TO CONSOLIDATED FINANCIAL STATEMENTS</w:t>
      </w:r>
    </w:p>
    <w:p>
      <w:pPr>
        <w:spacing w:after="0" w:line="387"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b w:val="1"/>
          <w:bCs w:val="1"/>
          <w:color w:val="auto"/>
        </w:rPr>
        <w:t>15.</w:t>
        <w:tab/>
        <w:t>PENSION AND OTHER POSTRETIREMENT BENEFITS</w:t>
      </w:r>
    </w:p>
    <w:p>
      <w:pPr>
        <w:spacing w:after="0" w:line="140" w:lineRule="exact"/>
        <w:rPr>
          <w:sz w:val="20"/>
          <w:szCs w:val="20"/>
          <w:color w:val="auto"/>
        </w:rPr>
      </w:pPr>
    </w:p>
    <w:p>
      <w:pPr>
        <w:jc w:val="both"/>
        <w:ind w:firstLine="509"/>
        <w:spacing w:after="0" w:line="288" w:lineRule="auto"/>
        <w:rPr>
          <w:sz w:val="20"/>
          <w:szCs w:val="20"/>
          <w:color w:val="auto"/>
        </w:rPr>
      </w:pPr>
      <w:r>
        <w:rPr>
          <w:rFonts w:ascii="Arial" w:cs="Arial" w:eastAsia="Arial" w:hAnsi="Arial"/>
          <w:sz w:val="13"/>
          <w:szCs w:val="13"/>
          <w:color w:val="auto"/>
        </w:rPr>
        <w:t>The Company sponsors programs that provide retirement benefits to most of its employees. These programs include qualified defined benefit pension plans such as the Pilgrim’s Pride Retirement Plan for Union Employees (the “Union Plan”) the Pilgrim’s Pride Pension Plan for Legacy Gold Kist Employees (the “GK Pension Plan”), the Tulip Limited Pension Plan and the Geo Adams Group Pension Fund (together, the “U.K. Plans”), nonqualified defined benefit retirement plans, a defined benefit postretirement life insurance plan and defined contribution retirement savings plan. Expenses recognized under all retirement plans totaled $19.2 million, $17.4 million and $19.0 million in 2021, 2020 and 2019, respectively.</w:t>
      </w:r>
    </w:p>
    <w:p>
      <w:pPr>
        <w:spacing w:after="0" w:line="89" w:lineRule="exact"/>
        <w:rPr>
          <w:sz w:val="20"/>
          <w:szCs w:val="20"/>
          <w:color w:val="auto"/>
        </w:rPr>
      </w:pPr>
    </w:p>
    <w:p>
      <w:pPr>
        <w:jc w:val="both"/>
        <w:ind w:firstLine="509"/>
        <w:spacing w:after="0" w:line="281" w:lineRule="auto"/>
        <w:rPr>
          <w:sz w:val="20"/>
          <w:szCs w:val="20"/>
          <w:color w:val="auto"/>
        </w:rPr>
      </w:pPr>
      <w:r>
        <w:rPr>
          <w:rFonts w:ascii="Arial" w:cs="Arial" w:eastAsia="Arial" w:hAnsi="Arial"/>
          <w:sz w:val="14"/>
          <w:szCs w:val="14"/>
          <w:color w:val="auto"/>
        </w:rPr>
        <w:t>The Company used a year-end measurement date of December 26, 2021 for its pension and postretirement benefits plans. Certain disclosures are listed below. Other disclosures are not material to the financial statements.</w:t>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Qualified Defined Benefit Pension Plans</w:t>
      </w:r>
    </w:p>
    <w:p>
      <w:pPr>
        <w:spacing w:after="0" w:line="140"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4"/>
          <w:szCs w:val="14"/>
          <w:color w:val="auto"/>
        </w:rPr>
        <w:t>The Company sponsors four qualified defined benefit pension plans named the Pilgrim’s Pride Retirement Plan for Union Employees (the “Union Plan”), the Pilgrim’s Pride Pension Plan for Legacy Gold Kist Employees (the “GK Pension Plan”), the Tulip Limited Pension Plan (the “Tulip Plan”) and the Geo Adams Group Pension Fund (the “Geo Adams Plan” and, together with the Tulip Plan, the “U.K. Plans”). The Union Plan covers certain locations or work groups within PPC. The GK Pension Plan covers certain eligible U.S. employees who were employed at locations that the Company purchased through its acquisition of Gold Kist in 2007. Participation in the GK Pension Plan was frozen as of February 8, 2007 for all participants with the exception of terminated vested participants who are or may become permanently and totally disabled. The plan was frozen for that group as of March 31, 2007. The U.K. Plans cover certain eligible active and former U.K. employees who were employed at locations that the Company purchased through its acquisition of Tulip in 2019. Participation in the Tulip Plan was frozen as of October 31, 2007 and participation in the Geo Adams Plan was frozen as of September 5, 2018.</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Nonqualified Defined Benefit Pension Plans</w:t>
      </w:r>
    </w:p>
    <w:p>
      <w:pPr>
        <w:spacing w:after="0" w:line="140"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color w:val="auto"/>
        </w:rPr>
        <w:t>The Company sponsors two nonqualified defined benefit retirement plans named the Former Gold Kist Inc. Supplemental Executive Retirement Plan (the “SERP Plan”) and the Former Gold Kist Inc. Directors’ Emeriti Retirement Plan (the “Directors’ Emeriti Plan”). Pilgrim’s Pride assumed sponsorship of the SERP Plan and Directors’ Emeriti Plan through its acquisition of Gold Kist in 2007. The SERP Plan provides benefits on compensation in excess of certain IRC limitations to certain former executives with whom Gold Kist negotiated individual agreements. Benefits under the SERP Plan were frozen as of February 8, 2007. The Directors’ Emeriti Plan provides benefits to former Gold Kist directors.</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Defined Benefit Postretirement Life Insurance Plan</w:t>
      </w:r>
    </w:p>
    <w:p>
      <w:pPr>
        <w:spacing w:after="0" w:line="140" w:lineRule="exact"/>
        <w:rPr>
          <w:sz w:val="20"/>
          <w:szCs w:val="20"/>
          <w:color w:val="auto"/>
        </w:rPr>
      </w:pPr>
    </w:p>
    <w:p>
      <w:pPr>
        <w:jc w:val="both"/>
        <w:ind w:firstLine="509"/>
        <w:spacing w:after="0" w:line="284" w:lineRule="auto"/>
        <w:rPr>
          <w:sz w:val="20"/>
          <w:szCs w:val="20"/>
          <w:color w:val="auto"/>
        </w:rPr>
      </w:pPr>
      <w:r>
        <w:rPr>
          <w:rFonts w:ascii="Arial" w:cs="Arial" w:eastAsia="Arial" w:hAnsi="Arial"/>
          <w:sz w:val="13"/>
          <w:szCs w:val="13"/>
          <w:color w:val="auto"/>
        </w:rPr>
        <w:t>The Company sponsors one defined benefit postretirement life insurance plan named the Gold Kist Inc. Retiree Life Insurance Plan (the “Retiree Life Plan” and together with the Union Plan, the GK Pension Plan, the SERP Plan and the Directors’ Emeriti Plan, the “U.S. Plans”). Pilgrim’s Pride assumed defined benefit postretirement medical and life insurance obligations, including the Retiree Life Plan, through its acquisition of Gold Kist in 2007. In January 2001, Gold Kist began to substantially curtail its programs for active employees. On July 1, 2003, Gold Kist terminated medical coverage for retirees age 65 or older, and only retired employees in the closed group between ages 55 and 65 could continue their coverage at rates above the average cost of the medical insurance plan for active employees. These retired employees all reached the age of 65 in 2012 and liabilities of the postretirement medical plan then ended.</w:t>
      </w:r>
    </w:p>
    <w:p>
      <w:pPr>
        <w:spacing w:after="0" w:line="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Defined Benefit Plans Obligations and Assets</w:t>
      </w:r>
    </w:p>
    <w:p>
      <w:pPr>
        <w:spacing w:after="0" w:line="140" w:lineRule="exact"/>
        <w:rPr>
          <w:sz w:val="20"/>
          <w:szCs w:val="20"/>
          <w:color w:val="auto"/>
        </w:rPr>
      </w:pPr>
    </w:p>
    <w:p>
      <w:pPr>
        <w:ind w:left="520"/>
        <w:spacing w:after="0"/>
        <w:rPr>
          <w:sz w:val="20"/>
          <w:szCs w:val="20"/>
          <w:color w:val="auto"/>
        </w:rPr>
      </w:pPr>
      <w:r>
        <w:rPr>
          <w:rFonts w:ascii="Arial" w:cs="Arial" w:eastAsia="Arial" w:hAnsi="Arial"/>
          <w:sz w:val="13"/>
          <w:szCs w:val="13"/>
          <w:color w:val="auto"/>
        </w:rPr>
        <w:t>The change in benefit obligation, change in fair value of plan assets, funded status and amounts recognized in the Consolidated Balance Sheets for these plans were as follows: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8" w:name="page79"/>
    <w:bookmarkEnd w:id="7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NOTES TO CONSOLIDATED FINANCIAL STATEMENTS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20" w:type="dxa"/>
            <w:vAlign w:val="bottom"/>
          </w:tcPr>
          <w:p>
            <w:pPr>
              <w:spacing w:after="0"/>
              <w:rPr>
                <w:sz w:val="13"/>
                <w:szCs w:val="13"/>
                <w:color w:val="auto"/>
              </w:rPr>
            </w:pPr>
          </w:p>
        </w:tc>
        <w:tc>
          <w:tcPr>
            <w:tcW w:w="5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5"/>
          </w:tcPr>
          <w:p>
            <w:pPr>
              <w:jc w:val="right"/>
              <w:ind w:right="16"/>
              <w:spacing w:after="0"/>
              <w:rPr>
                <w:sz w:val="20"/>
                <w:szCs w:val="20"/>
                <w:color w:val="auto"/>
              </w:rPr>
            </w:pPr>
            <w:r>
              <w:rPr>
                <w:rFonts w:ascii="Arial" w:cs="Arial" w:eastAsia="Arial" w:hAnsi="Arial"/>
                <w:sz w:val="11"/>
                <w:szCs w:val="11"/>
                <w:b w:val="1"/>
                <w:bCs w:val="1"/>
                <w:color w:val="auto"/>
              </w:rPr>
              <w:t>Pension Benefits</w:t>
            </w:r>
          </w:p>
        </w:tc>
        <w:tc>
          <w:tcPr>
            <w:tcW w:w="8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5"/>
          </w:tcPr>
          <w:p>
            <w:pPr>
              <w:ind w:left="600"/>
              <w:spacing w:after="0"/>
              <w:rPr>
                <w:sz w:val="20"/>
                <w:szCs w:val="20"/>
                <w:color w:val="auto"/>
              </w:rPr>
            </w:pPr>
            <w:r>
              <w:rPr>
                <w:rFonts w:ascii="Arial" w:cs="Arial" w:eastAsia="Arial" w:hAnsi="Arial"/>
                <w:sz w:val="11"/>
                <w:szCs w:val="11"/>
                <w:b w:val="1"/>
                <w:bCs w:val="1"/>
                <w:color w:val="auto"/>
              </w:rPr>
              <w:t>Other Benefits</w:t>
            </w:r>
          </w:p>
        </w:tc>
        <w:tc>
          <w:tcPr>
            <w:tcW w:w="8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59"/>
              <w:spacing w:after="0"/>
              <w:rPr>
                <w:sz w:val="20"/>
                <w:szCs w:val="20"/>
                <w:color w:val="auto"/>
              </w:rPr>
            </w:pPr>
            <w:r>
              <w:rPr>
                <w:rFonts w:ascii="Arial" w:cs="Arial" w:eastAsia="Arial" w:hAnsi="Arial"/>
                <w:sz w:val="11"/>
                <w:szCs w:val="11"/>
                <w:b w:val="1"/>
                <w:bCs w:val="1"/>
                <w:color w:val="auto"/>
              </w:rPr>
              <w:t>2021</w:t>
            </w: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59"/>
              <w:spacing w:after="0"/>
              <w:rPr>
                <w:sz w:val="20"/>
                <w:szCs w:val="20"/>
                <w:color w:val="auto"/>
              </w:rPr>
            </w:pPr>
            <w:r>
              <w:rPr>
                <w:rFonts w:ascii="Arial" w:cs="Arial" w:eastAsia="Arial" w:hAnsi="Arial"/>
                <w:sz w:val="11"/>
                <w:szCs w:val="11"/>
                <w:b w:val="1"/>
                <w:bCs w:val="1"/>
                <w:color w:val="auto"/>
              </w:rPr>
              <w:t>2020</w:t>
            </w: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59"/>
              <w:spacing w:after="0"/>
              <w:rPr>
                <w:sz w:val="20"/>
                <w:szCs w:val="20"/>
                <w:color w:val="auto"/>
              </w:rPr>
            </w:pPr>
            <w:r>
              <w:rPr>
                <w:rFonts w:ascii="Arial" w:cs="Arial" w:eastAsia="Arial" w:hAnsi="Arial"/>
                <w:sz w:val="11"/>
                <w:szCs w:val="11"/>
                <w:b w:val="1"/>
                <w:bCs w:val="1"/>
                <w:color w:val="auto"/>
              </w:rPr>
              <w:t>2021</w:t>
            </w:r>
          </w:p>
        </w:tc>
        <w:tc>
          <w:tcPr>
            <w:tcW w:w="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58"/>
              <w:spacing w:after="0"/>
              <w:rPr>
                <w:sz w:val="20"/>
                <w:szCs w:val="20"/>
                <w:color w:val="auto"/>
              </w:rPr>
            </w:pPr>
            <w:r>
              <w:rPr>
                <w:rFonts w:ascii="Arial" w:cs="Arial" w:eastAsia="Arial" w:hAnsi="Arial"/>
                <w:sz w:val="11"/>
                <w:szCs w:val="11"/>
                <w:b w:val="1"/>
                <w:bCs w:val="1"/>
                <w:color w:val="auto"/>
              </w:rPr>
              <w:t>2020</w:t>
            </w: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680" w:type="dxa"/>
            <w:vAlign w:val="bottom"/>
          </w:tcPr>
          <w:p>
            <w:pPr>
              <w:ind w:left="20"/>
              <w:spacing w:after="0"/>
              <w:rPr>
                <w:sz w:val="20"/>
                <w:szCs w:val="20"/>
                <w:color w:val="auto"/>
              </w:rPr>
            </w:pPr>
            <w:r>
              <w:rPr>
                <w:rFonts w:ascii="Arial" w:cs="Arial" w:eastAsia="Arial" w:hAnsi="Arial"/>
                <w:sz w:val="11"/>
                <w:szCs w:val="11"/>
                <w:b w:val="1"/>
                <w:bCs w:val="1"/>
                <w:color w:val="auto"/>
              </w:rPr>
              <w:t>Change in projected benefit obligation:</w:t>
            </w: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380" w:type="dxa"/>
            <w:vAlign w:val="bottom"/>
            <w:gridSpan w:val="5"/>
          </w:tcPr>
          <w:p>
            <w:pPr>
              <w:jc w:val="right"/>
              <w:ind w:right="76"/>
              <w:spacing w:after="0"/>
              <w:rPr>
                <w:sz w:val="20"/>
                <w:szCs w:val="20"/>
                <w:color w:val="auto"/>
              </w:rPr>
            </w:pPr>
            <w:r>
              <w:rPr>
                <w:rFonts w:ascii="Arial" w:cs="Arial" w:eastAsia="Arial" w:hAnsi="Arial"/>
                <w:sz w:val="10"/>
                <w:szCs w:val="10"/>
                <w:b w:val="1"/>
                <w:bCs w:val="1"/>
                <w:color w:val="auto"/>
              </w:rPr>
              <w:t>(In thousands)</w:t>
            </w: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6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Projected benefit obligation, beginning of year</w:t>
            </w:r>
          </w:p>
        </w:tc>
        <w:tc>
          <w:tcPr>
            <w:tcW w:w="320" w:type="dxa"/>
            <w:vAlign w:val="bottom"/>
            <w:gridSpan w:val="2"/>
            <w:shd w:val="clear" w:color="auto" w:fill="CCEEFF"/>
          </w:tcPr>
          <w:p>
            <w:pPr>
              <w:jc w:val="right"/>
              <w:ind w:right="156"/>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404,194</w:t>
            </w:r>
          </w:p>
        </w:tc>
        <w:tc>
          <w:tcPr>
            <w:tcW w:w="20" w:type="dxa"/>
            <w:vAlign w:val="bottom"/>
            <w:shd w:val="clear" w:color="auto" w:fill="CCEEFF"/>
          </w:tcPr>
          <w:p>
            <w:pPr>
              <w:spacing w:after="0"/>
              <w:rPr>
                <w:sz w:val="14"/>
                <w:szCs w:val="14"/>
                <w:color w:val="auto"/>
              </w:rPr>
            </w:pPr>
          </w:p>
        </w:tc>
        <w:tc>
          <w:tcPr>
            <w:tcW w:w="540" w:type="dxa"/>
            <w:vAlign w:val="bottom"/>
            <w:gridSpan w:val="3"/>
            <w:shd w:val="clear" w:color="auto" w:fill="CCEEFF"/>
          </w:tcPr>
          <w:p>
            <w:pPr>
              <w:jc w:val="right"/>
              <w:ind w:right="296"/>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369,066</w:t>
            </w:r>
          </w:p>
        </w:tc>
        <w:tc>
          <w:tcPr>
            <w:tcW w:w="20" w:type="dxa"/>
            <w:vAlign w:val="bottom"/>
            <w:shd w:val="clear" w:color="auto" w:fill="CCEEFF"/>
          </w:tcPr>
          <w:p>
            <w:pPr>
              <w:spacing w:after="0"/>
              <w:rPr>
                <w:sz w:val="14"/>
                <w:szCs w:val="14"/>
                <w:color w:val="auto"/>
              </w:rPr>
            </w:pPr>
          </w:p>
        </w:tc>
        <w:tc>
          <w:tcPr>
            <w:tcW w:w="500" w:type="dxa"/>
            <w:vAlign w:val="bottom"/>
            <w:gridSpan w:val="3"/>
            <w:shd w:val="clear" w:color="auto" w:fill="CCEEFF"/>
          </w:tcPr>
          <w:p>
            <w:pPr>
              <w:jc w:val="right"/>
              <w:ind w:right="256"/>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1,593</w:t>
            </w:r>
          </w:p>
        </w:tc>
        <w:tc>
          <w:tcPr>
            <w:tcW w:w="40" w:type="dxa"/>
            <w:vAlign w:val="bottom"/>
            <w:shd w:val="clear" w:color="auto" w:fill="CCEEFF"/>
          </w:tcPr>
          <w:p>
            <w:pPr>
              <w:spacing w:after="0"/>
              <w:rPr>
                <w:sz w:val="14"/>
                <w:szCs w:val="14"/>
                <w:color w:val="auto"/>
              </w:rPr>
            </w:pPr>
          </w:p>
        </w:tc>
        <w:tc>
          <w:tcPr>
            <w:tcW w:w="500" w:type="dxa"/>
            <w:vAlign w:val="bottom"/>
            <w:gridSpan w:val="3"/>
            <w:shd w:val="clear" w:color="auto" w:fill="CCEEFF"/>
          </w:tcPr>
          <w:p>
            <w:pPr>
              <w:jc w:val="right"/>
              <w:ind w:right="276"/>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1,527</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680" w:type="dxa"/>
            <w:vAlign w:val="bottom"/>
          </w:tcPr>
          <w:p>
            <w:pPr>
              <w:ind w:left="120"/>
              <w:spacing w:after="0"/>
              <w:rPr>
                <w:sz w:val="20"/>
                <w:szCs w:val="20"/>
                <w:color w:val="auto"/>
              </w:rPr>
            </w:pPr>
            <w:r>
              <w:rPr>
                <w:rFonts w:ascii="Arial" w:cs="Arial" w:eastAsia="Arial" w:hAnsi="Arial"/>
                <w:sz w:val="13"/>
                <w:szCs w:val="13"/>
                <w:color w:val="auto"/>
              </w:rPr>
              <w:t>Interest cost</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5,763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8,102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18</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6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Actuarial losses (gains)</w:t>
            </w: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(14,535)</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38,822</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(33)</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680" w:type="dxa"/>
            <w:vAlign w:val="bottom"/>
          </w:tcPr>
          <w:p>
            <w:pPr>
              <w:ind w:left="120"/>
              <w:spacing w:after="0"/>
              <w:rPr>
                <w:sz w:val="20"/>
                <w:szCs w:val="20"/>
                <w:color w:val="auto"/>
              </w:rPr>
            </w:pPr>
            <w:r>
              <w:rPr>
                <w:rFonts w:ascii="Arial" w:cs="Arial" w:eastAsia="Arial" w:hAnsi="Arial"/>
                <w:sz w:val="13"/>
                <w:szCs w:val="13"/>
                <w:color w:val="auto"/>
              </w:rPr>
              <w:t>Benefits paid</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3"/>
                <w:szCs w:val="13"/>
                <w:color w:val="auto"/>
              </w:rPr>
              <w:t>(13,483)</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3"/>
                <w:szCs w:val="13"/>
                <w:color w:val="auto"/>
              </w:rPr>
              <w:t>(13,745)</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6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Curtailments and settlements</w:t>
            </w: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(6,714)</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(8,226)</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(232)</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(60)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680" w:type="dxa"/>
            <w:vAlign w:val="bottom"/>
          </w:tcPr>
          <w:p>
            <w:pPr>
              <w:ind w:left="120"/>
              <w:spacing w:after="0"/>
              <w:rPr>
                <w:sz w:val="20"/>
                <w:szCs w:val="20"/>
                <w:color w:val="auto"/>
              </w:rPr>
            </w:pPr>
            <w:r>
              <w:rPr>
                <w:rFonts w:ascii="Arial" w:cs="Arial" w:eastAsia="Arial" w:hAnsi="Arial"/>
                <w:sz w:val="13"/>
                <w:szCs w:val="13"/>
                <w:color w:val="auto"/>
              </w:rPr>
              <w:t>Prior service cost</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6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Currency translation loss (gain)</w:t>
            </w:r>
          </w:p>
        </w:tc>
        <w:tc>
          <w:tcPr>
            <w:tcW w:w="2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(2,163)</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10,155</w:t>
            </w: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680" w:type="dxa"/>
            <w:vAlign w:val="bottom"/>
          </w:tcPr>
          <w:p>
            <w:pPr>
              <w:ind w:left="280"/>
              <w:spacing w:after="0"/>
              <w:rPr>
                <w:sz w:val="20"/>
                <w:szCs w:val="20"/>
                <w:color w:val="auto"/>
              </w:rPr>
            </w:pPr>
            <w:r>
              <w:rPr>
                <w:rFonts w:ascii="Arial" w:cs="Arial" w:eastAsia="Arial" w:hAnsi="Arial"/>
                <w:sz w:val="13"/>
                <w:szCs w:val="13"/>
                <w:color w:val="auto"/>
              </w:rPr>
              <w:t>Projected benefit obligation, end of year</w:t>
            </w:r>
          </w:p>
        </w:tc>
        <w:tc>
          <w:tcPr>
            <w:tcW w:w="20" w:type="dxa"/>
            <w:vAlign w:val="bottom"/>
          </w:tcPr>
          <w:p>
            <w:pPr>
              <w:spacing w:after="0"/>
              <w:rPr>
                <w:sz w:val="14"/>
                <w:szCs w:val="14"/>
                <w:color w:val="auto"/>
              </w:rPr>
            </w:pPr>
          </w:p>
        </w:tc>
        <w:tc>
          <w:tcPr>
            <w:tcW w:w="30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373,062</w:t>
            </w:r>
          </w:p>
        </w:tc>
        <w:tc>
          <w:tcPr>
            <w:tcW w:w="20" w:type="dxa"/>
            <w:vAlign w:val="bottom"/>
            <w:tcBorders>
              <w:bottom w:val="single" w:sz="8" w:color="auto"/>
            </w:tcBorders>
          </w:tcPr>
          <w:p>
            <w:pPr>
              <w:spacing w:after="0"/>
              <w:rPr>
                <w:sz w:val="14"/>
                <w:szCs w:val="14"/>
                <w:color w:val="auto"/>
              </w:rPr>
            </w:pPr>
          </w:p>
        </w:tc>
        <w:tc>
          <w:tcPr>
            <w:tcW w:w="100" w:type="dxa"/>
            <w:vAlign w:val="bottom"/>
            <w:gridSpan w:val="2"/>
          </w:tcPr>
          <w:p>
            <w:pPr>
              <w:spacing w:after="0"/>
              <w:rPr>
                <w:sz w:val="14"/>
                <w:szCs w:val="14"/>
                <w:color w:val="auto"/>
              </w:rPr>
            </w:pPr>
          </w:p>
        </w:tc>
        <w:tc>
          <w:tcPr>
            <w:tcW w:w="44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color w:val="auto"/>
                <w:w w:val="82"/>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404,194</w:t>
            </w:r>
          </w:p>
        </w:tc>
        <w:tc>
          <w:tcPr>
            <w:tcW w:w="20" w:type="dxa"/>
            <w:vAlign w:val="bottom"/>
            <w:tcBorders>
              <w:bottom w:val="single" w:sz="8" w:color="auto"/>
            </w:tcBorders>
          </w:tcPr>
          <w:p>
            <w:pPr>
              <w:spacing w:after="0"/>
              <w:rPr>
                <w:sz w:val="14"/>
                <w:szCs w:val="14"/>
                <w:color w:val="auto"/>
              </w:rPr>
            </w:pPr>
          </w:p>
        </w:tc>
        <w:tc>
          <w:tcPr>
            <w:tcW w:w="100" w:type="dxa"/>
            <w:vAlign w:val="bottom"/>
            <w:gridSpan w:val="2"/>
          </w:tcPr>
          <w:p>
            <w:pPr>
              <w:spacing w:after="0"/>
              <w:rPr>
                <w:sz w:val="14"/>
                <w:szCs w:val="14"/>
                <w:color w:val="auto"/>
              </w:rPr>
            </w:pPr>
          </w:p>
        </w:tc>
        <w:tc>
          <w:tcPr>
            <w:tcW w:w="40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1,346</w:t>
            </w:r>
          </w:p>
        </w:tc>
        <w:tc>
          <w:tcPr>
            <w:tcW w:w="40" w:type="dxa"/>
            <w:vAlign w:val="bottom"/>
            <w:tcBorders>
              <w:bottom w:val="single" w:sz="8" w:color="auto"/>
            </w:tcBorders>
          </w:tcPr>
          <w:p>
            <w:pPr>
              <w:spacing w:after="0"/>
              <w:rPr>
                <w:sz w:val="14"/>
                <w:szCs w:val="14"/>
                <w:color w:val="auto"/>
              </w:rPr>
            </w:pPr>
          </w:p>
        </w:tc>
        <w:tc>
          <w:tcPr>
            <w:tcW w:w="80" w:type="dxa"/>
            <w:vAlign w:val="bottom"/>
            <w:gridSpan w:val="2"/>
          </w:tcPr>
          <w:p>
            <w:pPr>
              <w:spacing w:after="0"/>
              <w:rPr>
                <w:sz w:val="14"/>
                <w:szCs w:val="14"/>
                <w:color w:val="auto"/>
              </w:rPr>
            </w:pPr>
          </w:p>
        </w:tc>
        <w:tc>
          <w:tcPr>
            <w:tcW w:w="42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1,593</w:t>
            </w: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5"/>
          </w:tcPr>
          <w:p>
            <w:pPr>
              <w:jc w:val="right"/>
              <w:ind w:right="36"/>
              <w:spacing w:after="0"/>
              <w:rPr>
                <w:sz w:val="20"/>
                <w:szCs w:val="20"/>
                <w:color w:val="auto"/>
              </w:rPr>
            </w:pPr>
            <w:r>
              <w:rPr>
                <w:rFonts w:ascii="Arial" w:cs="Arial" w:eastAsia="Arial" w:hAnsi="Arial"/>
                <w:sz w:val="11"/>
                <w:szCs w:val="11"/>
                <w:b w:val="1"/>
                <w:bCs w:val="1"/>
                <w:color w:val="auto"/>
              </w:rPr>
              <w:t>Pension Benefits</w:t>
            </w:r>
          </w:p>
        </w:tc>
        <w:tc>
          <w:tcPr>
            <w:tcW w:w="86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5"/>
          </w:tcPr>
          <w:p>
            <w:pPr>
              <w:jc w:val="right"/>
              <w:ind w:right="56"/>
              <w:spacing w:after="0"/>
              <w:rPr>
                <w:sz w:val="20"/>
                <w:szCs w:val="20"/>
                <w:color w:val="auto"/>
              </w:rPr>
            </w:pPr>
            <w:r>
              <w:rPr>
                <w:rFonts w:ascii="Arial" w:cs="Arial" w:eastAsia="Arial" w:hAnsi="Arial"/>
                <w:sz w:val="11"/>
                <w:szCs w:val="11"/>
                <w:b w:val="1"/>
                <w:bCs w:val="1"/>
                <w:color w:val="auto"/>
              </w:rPr>
              <w:t>Other Benefits</w:t>
            </w:r>
          </w:p>
        </w:tc>
        <w:tc>
          <w:tcPr>
            <w:tcW w:w="8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79"/>
              <w:spacing w:after="0"/>
              <w:rPr>
                <w:sz w:val="20"/>
                <w:szCs w:val="20"/>
                <w:color w:val="auto"/>
              </w:rPr>
            </w:pPr>
            <w:r>
              <w:rPr>
                <w:rFonts w:ascii="Arial" w:cs="Arial" w:eastAsia="Arial" w:hAnsi="Arial"/>
                <w:sz w:val="11"/>
                <w:szCs w:val="11"/>
                <w:b w:val="1"/>
                <w:bCs w:val="1"/>
                <w:color w:val="auto"/>
              </w:rPr>
              <w:t>2021</w:t>
            </w: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79"/>
              <w:spacing w:after="0"/>
              <w:rPr>
                <w:sz w:val="20"/>
                <w:szCs w:val="20"/>
                <w:color w:val="auto"/>
              </w:rPr>
            </w:pPr>
            <w:r>
              <w:rPr>
                <w:rFonts w:ascii="Arial" w:cs="Arial" w:eastAsia="Arial" w:hAnsi="Arial"/>
                <w:sz w:val="11"/>
                <w:szCs w:val="11"/>
                <w:b w:val="1"/>
                <w:bCs w:val="1"/>
                <w:color w:val="auto"/>
              </w:rPr>
              <w:t>2020</w:t>
            </w: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79"/>
              <w:spacing w:after="0"/>
              <w:rPr>
                <w:sz w:val="20"/>
                <w:szCs w:val="20"/>
                <w:color w:val="auto"/>
              </w:rPr>
            </w:pPr>
            <w:r>
              <w:rPr>
                <w:rFonts w:ascii="Arial" w:cs="Arial" w:eastAsia="Arial" w:hAnsi="Arial"/>
                <w:sz w:val="11"/>
                <w:szCs w:val="11"/>
                <w:b w:val="1"/>
                <w:bCs w:val="1"/>
                <w:color w:val="auto"/>
              </w:rPr>
              <w:t>2021</w:t>
            </w:r>
          </w:p>
        </w:tc>
        <w:tc>
          <w:tcPr>
            <w:tcW w:w="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78"/>
              <w:spacing w:after="0"/>
              <w:rPr>
                <w:sz w:val="20"/>
                <w:szCs w:val="20"/>
                <w:color w:val="auto"/>
              </w:rPr>
            </w:pPr>
            <w:r>
              <w:rPr>
                <w:rFonts w:ascii="Arial" w:cs="Arial" w:eastAsia="Arial" w:hAnsi="Arial"/>
                <w:sz w:val="11"/>
                <w:szCs w:val="11"/>
                <w:b w:val="1"/>
                <w:bCs w:val="1"/>
                <w:color w:val="auto"/>
              </w:rPr>
              <w:t>2020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5700" w:type="dxa"/>
            <w:vAlign w:val="bottom"/>
            <w:gridSpan w:val="2"/>
          </w:tcPr>
          <w:p>
            <w:pPr>
              <w:ind w:left="20"/>
              <w:spacing w:after="0"/>
              <w:rPr>
                <w:sz w:val="20"/>
                <w:szCs w:val="20"/>
                <w:color w:val="auto"/>
              </w:rPr>
            </w:pPr>
            <w:r>
              <w:rPr>
                <w:rFonts w:ascii="Arial" w:cs="Arial" w:eastAsia="Arial" w:hAnsi="Arial"/>
                <w:sz w:val="11"/>
                <w:szCs w:val="11"/>
                <w:b w:val="1"/>
                <w:bCs w:val="1"/>
                <w:color w:val="auto"/>
              </w:rPr>
              <w:t>Change in plan assets:</w:t>
            </w: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380" w:type="dxa"/>
            <w:vAlign w:val="bottom"/>
            <w:gridSpan w:val="5"/>
          </w:tcPr>
          <w:p>
            <w:pPr>
              <w:jc w:val="right"/>
              <w:ind w:right="96"/>
              <w:spacing w:after="0"/>
              <w:rPr>
                <w:sz w:val="20"/>
                <w:szCs w:val="20"/>
                <w:color w:val="auto"/>
              </w:rPr>
            </w:pPr>
            <w:r>
              <w:rPr>
                <w:rFonts w:ascii="Arial" w:cs="Arial" w:eastAsia="Arial" w:hAnsi="Arial"/>
                <w:sz w:val="10"/>
                <w:szCs w:val="10"/>
                <w:b w:val="1"/>
                <w:bCs w:val="1"/>
                <w:color w:val="auto"/>
              </w:rPr>
              <w:t>(In thousands)</w:t>
            </w: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56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Fair value of plan assets, beginning of year</w:t>
            </w:r>
          </w:p>
        </w:tc>
        <w:tc>
          <w:tcPr>
            <w:tcW w:w="320" w:type="dxa"/>
            <w:vAlign w:val="bottom"/>
            <w:gridSpan w:val="2"/>
            <w:shd w:val="clear" w:color="auto" w:fill="CCEEFF"/>
          </w:tcPr>
          <w:p>
            <w:pPr>
              <w:jc w:val="right"/>
              <w:ind w:right="196"/>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305,983</w:t>
            </w:r>
          </w:p>
        </w:tc>
        <w:tc>
          <w:tcPr>
            <w:tcW w:w="20" w:type="dxa"/>
            <w:vAlign w:val="bottom"/>
            <w:shd w:val="clear" w:color="auto" w:fill="CCEEFF"/>
          </w:tcPr>
          <w:p>
            <w:pPr>
              <w:spacing w:after="0"/>
              <w:rPr>
                <w:sz w:val="14"/>
                <w:szCs w:val="14"/>
                <w:color w:val="auto"/>
              </w:rPr>
            </w:pPr>
          </w:p>
        </w:tc>
        <w:tc>
          <w:tcPr>
            <w:tcW w:w="540" w:type="dxa"/>
            <w:vAlign w:val="bottom"/>
            <w:gridSpan w:val="3"/>
            <w:shd w:val="clear" w:color="auto" w:fill="CCEEFF"/>
          </w:tcPr>
          <w:p>
            <w:pPr>
              <w:jc w:val="right"/>
              <w:ind w:right="316"/>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294,589</w:t>
            </w:r>
          </w:p>
        </w:tc>
        <w:tc>
          <w:tcPr>
            <w:tcW w:w="20" w:type="dxa"/>
            <w:vAlign w:val="bottom"/>
            <w:shd w:val="clear" w:color="auto" w:fill="CCEEFF"/>
          </w:tcPr>
          <w:p>
            <w:pPr>
              <w:spacing w:after="0"/>
              <w:rPr>
                <w:sz w:val="14"/>
                <w:szCs w:val="14"/>
                <w:color w:val="auto"/>
              </w:rPr>
            </w:pPr>
          </w:p>
        </w:tc>
        <w:tc>
          <w:tcPr>
            <w:tcW w:w="500" w:type="dxa"/>
            <w:vAlign w:val="bottom"/>
            <w:gridSpan w:val="3"/>
            <w:shd w:val="clear" w:color="auto" w:fill="CCEEFF"/>
          </w:tcPr>
          <w:p>
            <w:pPr>
              <w:jc w:val="right"/>
              <w:ind w:right="276"/>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500" w:type="dxa"/>
            <w:vAlign w:val="bottom"/>
            <w:gridSpan w:val="3"/>
            <w:shd w:val="clear" w:color="auto" w:fill="CCEEFF"/>
          </w:tcPr>
          <w:p>
            <w:pPr>
              <w:jc w:val="right"/>
              <w:ind w:right="296"/>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center"/>
              <w:ind w:left="578"/>
              <w:spacing w:after="0"/>
              <w:rPr>
                <w:sz w:val="20"/>
                <w:szCs w:val="20"/>
                <w:color w:val="auto"/>
              </w:rPr>
            </w:pPr>
            <w:r>
              <w:rPr>
                <w:rFonts w:ascii="Arial" w:cs="Arial" w:eastAsia="Arial" w:hAnsi="Arial"/>
                <w:sz w:val="13"/>
                <w:szCs w:val="13"/>
                <w:color w:val="auto"/>
                <w:w w:val="91"/>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680" w:type="dxa"/>
            <w:vAlign w:val="bottom"/>
          </w:tcPr>
          <w:p>
            <w:pPr>
              <w:ind w:left="100"/>
              <w:spacing w:after="0"/>
              <w:rPr>
                <w:sz w:val="20"/>
                <w:szCs w:val="20"/>
                <w:color w:val="auto"/>
              </w:rPr>
            </w:pPr>
            <w:r>
              <w:rPr>
                <w:rFonts w:ascii="Arial" w:cs="Arial" w:eastAsia="Arial" w:hAnsi="Arial"/>
                <w:sz w:val="13"/>
                <w:szCs w:val="13"/>
                <w:color w:val="auto"/>
              </w:rPr>
              <w:t>Actual return on plan assets</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29,126</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12,672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gridSpan w:val="2"/>
          </w:tcPr>
          <w:p>
            <w:pPr>
              <w:jc w:val="center"/>
              <w:ind w:left="558"/>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56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Contributions by employer</w:t>
            </w: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14,393</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14,774</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232</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80" w:type="dxa"/>
            <w:vAlign w:val="bottom"/>
            <w:shd w:val="clear" w:color="auto" w:fill="CCEEFF"/>
          </w:tcPr>
          <w:p>
            <w:pPr>
              <w:jc w:val="center"/>
              <w:ind w:left="578"/>
              <w:spacing w:after="0"/>
              <w:rPr>
                <w:sz w:val="20"/>
                <w:szCs w:val="20"/>
                <w:color w:val="auto"/>
              </w:rPr>
            </w:pPr>
            <w:r>
              <w:rPr>
                <w:rFonts w:ascii="Arial" w:cs="Arial" w:eastAsia="Arial" w:hAnsi="Arial"/>
                <w:sz w:val="13"/>
                <w:szCs w:val="13"/>
                <w:color w:val="auto"/>
                <w:w w:val="82"/>
              </w:rPr>
              <w:t>60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680" w:type="dxa"/>
            <w:vAlign w:val="bottom"/>
          </w:tcPr>
          <w:p>
            <w:pPr>
              <w:ind w:left="100"/>
              <w:spacing w:after="0"/>
              <w:rPr>
                <w:sz w:val="20"/>
                <w:szCs w:val="20"/>
                <w:color w:val="auto"/>
              </w:rPr>
            </w:pPr>
            <w:r>
              <w:rPr>
                <w:rFonts w:ascii="Arial" w:cs="Arial" w:eastAsia="Arial" w:hAnsi="Arial"/>
                <w:sz w:val="13"/>
                <w:szCs w:val="13"/>
                <w:color w:val="auto"/>
              </w:rPr>
              <w:t>Benefits paid</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(13,483)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(13,745)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gridSpan w:val="2"/>
          </w:tcPr>
          <w:p>
            <w:pPr>
              <w:jc w:val="center"/>
              <w:ind w:left="558"/>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56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Curtailments and settlements</w:t>
            </w: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(6,714)</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(8,226)</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80" w:type="dxa"/>
            <w:vAlign w:val="bottom"/>
            <w:shd w:val="clear" w:color="auto" w:fill="CCEEFF"/>
          </w:tcPr>
          <w:p>
            <w:pPr>
              <w:ind w:left="600"/>
              <w:spacing w:after="0"/>
              <w:rPr>
                <w:sz w:val="20"/>
                <w:szCs w:val="20"/>
                <w:color w:val="auto"/>
              </w:rPr>
            </w:pPr>
            <w:r>
              <w:rPr>
                <w:rFonts w:ascii="Arial" w:cs="Arial" w:eastAsia="Arial" w:hAnsi="Arial"/>
                <w:sz w:val="13"/>
                <w:szCs w:val="13"/>
                <w:color w:val="auto"/>
                <w:w w:val="85"/>
              </w:rPr>
              <w:t>(232)</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80" w:type="dxa"/>
            <w:vAlign w:val="bottom"/>
            <w:shd w:val="clear" w:color="auto" w:fill="CCEEFF"/>
          </w:tcPr>
          <w:p>
            <w:pPr>
              <w:jc w:val="center"/>
              <w:ind w:left="558"/>
              <w:spacing w:after="0"/>
              <w:rPr>
                <w:sz w:val="20"/>
                <w:szCs w:val="20"/>
                <w:color w:val="auto"/>
              </w:rPr>
            </w:pPr>
            <w:r>
              <w:rPr>
                <w:rFonts w:ascii="Arial" w:cs="Arial" w:eastAsia="Arial" w:hAnsi="Arial"/>
                <w:sz w:val="13"/>
                <w:szCs w:val="13"/>
                <w:color w:val="auto"/>
                <w:w w:val="94"/>
              </w:rPr>
              <w:t>(60)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680" w:type="dxa"/>
            <w:vAlign w:val="bottom"/>
          </w:tcPr>
          <w:p>
            <w:pPr>
              <w:ind w:left="100"/>
              <w:spacing w:after="0"/>
              <w:rPr>
                <w:sz w:val="20"/>
                <w:szCs w:val="20"/>
                <w:color w:val="auto"/>
              </w:rPr>
            </w:pPr>
            <w:r>
              <w:rPr>
                <w:rFonts w:ascii="Arial" w:cs="Arial" w:eastAsia="Arial" w:hAnsi="Arial"/>
                <w:sz w:val="13"/>
                <w:szCs w:val="13"/>
                <w:color w:val="auto"/>
              </w:rPr>
              <w:t>Expenses paid from assets</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(425)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(715)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gridSpan w:val="2"/>
          </w:tcPr>
          <w:p>
            <w:pPr>
              <w:jc w:val="center"/>
              <w:ind w:left="558"/>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56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Currency translation gain (loss)</w:t>
            </w:r>
          </w:p>
        </w:tc>
        <w:tc>
          <w:tcPr>
            <w:tcW w:w="20" w:type="dxa"/>
            <w:vAlign w:val="bottom"/>
            <w:tcBorders>
              <w:bottom w:val="single" w:sz="8" w:color="auto"/>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(2,471)</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6,634</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center"/>
              <w:ind w:left="578"/>
              <w:spacing w:after="0"/>
              <w:rPr>
                <w:sz w:val="20"/>
                <w:szCs w:val="20"/>
                <w:color w:val="auto"/>
              </w:rPr>
            </w:pPr>
            <w:r>
              <w:rPr>
                <w:rFonts w:ascii="Arial" w:cs="Arial" w:eastAsia="Arial" w:hAnsi="Arial"/>
                <w:sz w:val="13"/>
                <w:szCs w:val="13"/>
                <w:color w:val="auto"/>
                <w:w w:val="91"/>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680" w:type="dxa"/>
            <w:vAlign w:val="bottom"/>
          </w:tcPr>
          <w:p>
            <w:pPr>
              <w:ind w:left="260"/>
              <w:spacing w:after="0"/>
              <w:rPr>
                <w:sz w:val="20"/>
                <w:szCs w:val="20"/>
                <w:color w:val="auto"/>
              </w:rPr>
            </w:pPr>
            <w:r>
              <w:rPr>
                <w:rFonts w:ascii="Arial" w:cs="Arial" w:eastAsia="Arial" w:hAnsi="Arial"/>
                <w:sz w:val="13"/>
                <w:szCs w:val="13"/>
                <w:color w:val="auto"/>
              </w:rPr>
              <w:t>Fair value of plan assets, end of year</w:t>
            </w:r>
          </w:p>
        </w:tc>
        <w:tc>
          <w:tcPr>
            <w:tcW w:w="320" w:type="dxa"/>
            <w:vAlign w:val="bottom"/>
            <w:tcBorders>
              <w:bottom w:val="single" w:sz="8" w:color="auto"/>
            </w:tcBorders>
            <w:gridSpan w:val="2"/>
          </w:tcPr>
          <w:p>
            <w:pPr>
              <w:jc w:val="right"/>
              <w:ind w:right="196"/>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326,409</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Borders>
              <w:bottom w:val="single" w:sz="8" w:color="auto"/>
            </w:tcBorders>
            <w:gridSpan w:val="2"/>
          </w:tcPr>
          <w:p>
            <w:pPr>
              <w:jc w:val="right"/>
              <w:ind w:right="316"/>
              <w:spacing w:after="0"/>
              <w:rPr>
                <w:sz w:val="20"/>
                <w:szCs w:val="20"/>
                <w:color w:val="auto"/>
              </w:rPr>
            </w:pPr>
            <w:r>
              <w:rPr>
                <w:rFonts w:ascii="Arial" w:cs="Arial" w:eastAsia="Arial" w:hAnsi="Arial"/>
                <w:sz w:val="13"/>
                <w:szCs w:val="13"/>
                <w:color w:val="auto"/>
                <w:w w:val="82"/>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305,983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Borders>
              <w:bottom w:val="single" w:sz="8" w:color="auto"/>
            </w:tcBorders>
            <w:gridSpan w:val="2"/>
          </w:tcPr>
          <w:p>
            <w:pPr>
              <w:jc w:val="right"/>
              <w:ind w:right="276"/>
              <w:spacing w:after="0"/>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Borders>
              <w:bottom w:val="single" w:sz="8" w:color="auto"/>
            </w:tcBorders>
            <w:gridSpan w:val="2"/>
          </w:tcPr>
          <w:p>
            <w:pPr>
              <w:jc w:val="right"/>
              <w:ind w:right="296"/>
              <w:spacing w:after="0"/>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auto"/>
            </w:tcBorders>
          </w:tcPr>
          <w:p>
            <w:pPr>
              <w:jc w:val="center"/>
              <w:ind w:left="578"/>
              <w:spacing w:after="0"/>
              <w:rPr>
                <w:sz w:val="20"/>
                <w:szCs w:val="20"/>
                <w:color w:val="auto"/>
              </w:rPr>
            </w:pPr>
            <w:r>
              <w:rPr>
                <w:rFonts w:ascii="Arial" w:cs="Arial" w:eastAsia="Arial" w:hAnsi="Arial"/>
                <w:sz w:val="13"/>
                <w:szCs w:val="13"/>
                <w:color w:val="auto"/>
                <w:w w:val="91"/>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60" w:type="dxa"/>
            <w:vAlign w:val="bottom"/>
            <w:tcBorders>
              <w:bottom w:val="single" w:sz="8" w:color="auto"/>
            </w:tcBorders>
            <w:gridSpan w:val="2"/>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6"/>
        </w:trPr>
        <w:tc>
          <w:tcPr>
            <w:tcW w:w="2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5"/>
          </w:tcPr>
          <w:p>
            <w:pPr>
              <w:jc w:val="right"/>
              <w:ind w:right="16"/>
              <w:spacing w:after="0"/>
              <w:rPr>
                <w:sz w:val="20"/>
                <w:szCs w:val="20"/>
                <w:color w:val="auto"/>
              </w:rPr>
            </w:pPr>
            <w:r>
              <w:rPr>
                <w:rFonts w:ascii="Arial" w:cs="Arial" w:eastAsia="Arial" w:hAnsi="Arial"/>
                <w:sz w:val="11"/>
                <w:szCs w:val="11"/>
                <w:b w:val="1"/>
                <w:bCs w:val="1"/>
                <w:color w:val="auto"/>
              </w:rPr>
              <w:t>Pension Benefits</w:t>
            </w: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5"/>
          </w:tcPr>
          <w:p>
            <w:pPr>
              <w:ind w:left="600"/>
              <w:spacing w:after="0"/>
              <w:rPr>
                <w:sz w:val="20"/>
                <w:szCs w:val="20"/>
                <w:color w:val="auto"/>
              </w:rPr>
            </w:pPr>
            <w:r>
              <w:rPr>
                <w:rFonts w:ascii="Arial" w:cs="Arial" w:eastAsia="Arial" w:hAnsi="Arial"/>
                <w:sz w:val="11"/>
                <w:szCs w:val="11"/>
                <w:b w:val="1"/>
                <w:bCs w:val="1"/>
                <w:color w:val="auto"/>
              </w:rPr>
              <w:t>Other Benefits</w:t>
            </w: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59"/>
              <w:spacing w:after="0"/>
              <w:rPr>
                <w:sz w:val="20"/>
                <w:szCs w:val="20"/>
                <w:color w:val="auto"/>
              </w:rPr>
            </w:pPr>
            <w:r>
              <w:rPr>
                <w:rFonts w:ascii="Arial" w:cs="Arial" w:eastAsia="Arial" w:hAnsi="Arial"/>
                <w:sz w:val="11"/>
                <w:szCs w:val="11"/>
                <w:b w:val="1"/>
                <w:bCs w:val="1"/>
                <w:color w:val="auto"/>
              </w:rPr>
              <w:t>2021</w:t>
            </w: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59"/>
              <w:spacing w:after="0"/>
              <w:rPr>
                <w:sz w:val="20"/>
                <w:szCs w:val="20"/>
                <w:color w:val="auto"/>
              </w:rPr>
            </w:pPr>
            <w:r>
              <w:rPr>
                <w:rFonts w:ascii="Arial" w:cs="Arial" w:eastAsia="Arial" w:hAnsi="Arial"/>
                <w:sz w:val="11"/>
                <w:szCs w:val="11"/>
                <w:b w:val="1"/>
                <w:bCs w:val="1"/>
                <w:color w:val="auto"/>
              </w:rPr>
              <w:t>2020</w:t>
            </w: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59"/>
              <w:spacing w:after="0"/>
              <w:rPr>
                <w:sz w:val="20"/>
                <w:szCs w:val="20"/>
                <w:color w:val="auto"/>
              </w:rPr>
            </w:pPr>
            <w:r>
              <w:rPr>
                <w:rFonts w:ascii="Arial" w:cs="Arial" w:eastAsia="Arial" w:hAnsi="Arial"/>
                <w:sz w:val="11"/>
                <w:szCs w:val="11"/>
                <w:b w:val="1"/>
                <w:bCs w:val="1"/>
                <w:color w:val="auto"/>
              </w:rPr>
              <w:t>2021</w:t>
            </w:r>
          </w:p>
        </w:tc>
        <w:tc>
          <w:tcPr>
            <w:tcW w:w="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58"/>
              <w:spacing w:after="0"/>
              <w:rPr>
                <w:sz w:val="20"/>
                <w:szCs w:val="20"/>
                <w:color w:val="auto"/>
              </w:rPr>
            </w:pPr>
            <w:r>
              <w:rPr>
                <w:rFonts w:ascii="Arial" w:cs="Arial" w:eastAsia="Arial" w:hAnsi="Arial"/>
                <w:sz w:val="11"/>
                <w:szCs w:val="11"/>
                <w:b w:val="1"/>
                <w:bCs w:val="1"/>
                <w:color w:val="auto"/>
              </w:rPr>
              <w:t>2020</w:t>
            </w: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5680" w:type="dxa"/>
            <w:vAlign w:val="bottom"/>
          </w:tcPr>
          <w:p>
            <w:pPr>
              <w:ind w:left="20"/>
              <w:spacing w:after="0"/>
              <w:rPr>
                <w:sz w:val="20"/>
                <w:szCs w:val="20"/>
                <w:color w:val="auto"/>
              </w:rPr>
            </w:pPr>
            <w:r>
              <w:rPr>
                <w:rFonts w:ascii="Arial" w:cs="Arial" w:eastAsia="Arial" w:hAnsi="Arial"/>
                <w:sz w:val="11"/>
                <w:szCs w:val="11"/>
                <w:b w:val="1"/>
                <w:bCs w:val="1"/>
                <w:color w:val="auto"/>
              </w:rPr>
              <w:t>Funded status:</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80" w:type="dxa"/>
            <w:vAlign w:val="bottom"/>
            <w:gridSpan w:val="5"/>
          </w:tcPr>
          <w:p>
            <w:pPr>
              <w:jc w:val="right"/>
              <w:ind w:right="36"/>
              <w:spacing w:after="0"/>
              <w:rPr>
                <w:sz w:val="20"/>
                <w:szCs w:val="20"/>
                <w:color w:val="auto"/>
              </w:rPr>
            </w:pPr>
            <w:r>
              <w:rPr>
                <w:rFonts w:ascii="Arial" w:cs="Arial" w:eastAsia="Arial" w:hAnsi="Arial"/>
                <w:sz w:val="11"/>
                <w:szCs w:val="11"/>
                <w:b w:val="1"/>
                <w:bCs w:val="1"/>
                <w:color w:val="auto"/>
              </w:rPr>
              <w:t>(In thousands)</w:t>
            </w: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6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Unfunded benefit obligation, end of year</w:t>
            </w:r>
          </w:p>
        </w:tc>
        <w:tc>
          <w:tcPr>
            <w:tcW w:w="320" w:type="dxa"/>
            <w:vAlign w:val="bottom"/>
            <w:gridSpan w:val="2"/>
            <w:shd w:val="clear" w:color="auto" w:fill="CCEEFF"/>
          </w:tcPr>
          <w:p>
            <w:pPr>
              <w:jc w:val="right"/>
              <w:ind w:right="156"/>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(46,653)</w:t>
            </w:r>
          </w:p>
        </w:tc>
        <w:tc>
          <w:tcPr>
            <w:tcW w:w="540" w:type="dxa"/>
            <w:vAlign w:val="bottom"/>
            <w:gridSpan w:val="3"/>
            <w:shd w:val="clear" w:color="auto" w:fill="CCEEFF"/>
          </w:tcPr>
          <w:p>
            <w:pPr>
              <w:jc w:val="right"/>
              <w:ind w:right="296"/>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(98,211)</w:t>
            </w:r>
          </w:p>
        </w:tc>
        <w:tc>
          <w:tcPr>
            <w:tcW w:w="20" w:type="dxa"/>
            <w:vAlign w:val="bottom"/>
            <w:shd w:val="clear" w:color="auto" w:fill="CCEEFF"/>
          </w:tcPr>
          <w:p>
            <w:pPr>
              <w:spacing w:after="0"/>
              <w:rPr>
                <w:sz w:val="14"/>
                <w:szCs w:val="14"/>
                <w:color w:val="auto"/>
              </w:rPr>
            </w:pPr>
          </w:p>
        </w:tc>
        <w:tc>
          <w:tcPr>
            <w:tcW w:w="500" w:type="dxa"/>
            <w:vAlign w:val="bottom"/>
            <w:gridSpan w:val="3"/>
            <w:shd w:val="clear" w:color="auto" w:fill="CCEEFF"/>
          </w:tcPr>
          <w:p>
            <w:pPr>
              <w:jc w:val="right"/>
              <w:ind w:right="256"/>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(1,346)</w:t>
            </w:r>
          </w:p>
        </w:tc>
        <w:tc>
          <w:tcPr>
            <w:tcW w:w="500" w:type="dxa"/>
            <w:vAlign w:val="bottom"/>
            <w:gridSpan w:val="3"/>
            <w:shd w:val="clear" w:color="auto" w:fill="CCEEFF"/>
          </w:tcPr>
          <w:p>
            <w:pPr>
              <w:jc w:val="right"/>
              <w:ind w:right="276"/>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(1,593)</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5"/>
          </w:tcPr>
          <w:p>
            <w:pPr>
              <w:jc w:val="right"/>
              <w:ind w:right="16"/>
              <w:spacing w:after="0"/>
              <w:rPr>
                <w:sz w:val="20"/>
                <w:szCs w:val="20"/>
                <w:color w:val="auto"/>
              </w:rPr>
            </w:pPr>
            <w:r>
              <w:rPr>
                <w:rFonts w:ascii="Arial" w:cs="Arial" w:eastAsia="Arial" w:hAnsi="Arial"/>
                <w:sz w:val="11"/>
                <w:szCs w:val="11"/>
                <w:b w:val="1"/>
                <w:bCs w:val="1"/>
                <w:color w:val="auto"/>
              </w:rPr>
              <w:t>Pension Benefits</w:t>
            </w: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5"/>
          </w:tcPr>
          <w:p>
            <w:pPr>
              <w:ind w:left="600"/>
              <w:spacing w:after="0"/>
              <w:rPr>
                <w:sz w:val="20"/>
                <w:szCs w:val="20"/>
                <w:color w:val="auto"/>
              </w:rPr>
            </w:pPr>
            <w:r>
              <w:rPr>
                <w:rFonts w:ascii="Arial" w:cs="Arial" w:eastAsia="Arial" w:hAnsi="Arial"/>
                <w:sz w:val="11"/>
                <w:szCs w:val="11"/>
                <w:b w:val="1"/>
                <w:bCs w:val="1"/>
                <w:color w:val="auto"/>
              </w:rPr>
              <w:t>Other Benefits</w:t>
            </w: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59"/>
              <w:spacing w:after="0"/>
              <w:rPr>
                <w:sz w:val="20"/>
                <w:szCs w:val="20"/>
                <w:color w:val="auto"/>
              </w:rPr>
            </w:pPr>
            <w:r>
              <w:rPr>
                <w:rFonts w:ascii="Arial" w:cs="Arial" w:eastAsia="Arial" w:hAnsi="Arial"/>
                <w:sz w:val="11"/>
                <w:szCs w:val="11"/>
                <w:b w:val="1"/>
                <w:bCs w:val="1"/>
                <w:color w:val="auto"/>
              </w:rPr>
              <w:t>2021</w:t>
            </w: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59"/>
              <w:spacing w:after="0"/>
              <w:rPr>
                <w:sz w:val="20"/>
                <w:szCs w:val="20"/>
                <w:color w:val="auto"/>
              </w:rPr>
            </w:pPr>
            <w:r>
              <w:rPr>
                <w:rFonts w:ascii="Arial" w:cs="Arial" w:eastAsia="Arial" w:hAnsi="Arial"/>
                <w:sz w:val="11"/>
                <w:szCs w:val="11"/>
                <w:b w:val="1"/>
                <w:bCs w:val="1"/>
                <w:color w:val="auto"/>
              </w:rPr>
              <w:t>2020</w:t>
            </w: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59"/>
              <w:spacing w:after="0"/>
              <w:rPr>
                <w:sz w:val="20"/>
                <w:szCs w:val="20"/>
                <w:color w:val="auto"/>
              </w:rPr>
            </w:pPr>
            <w:r>
              <w:rPr>
                <w:rFonts w:ascii="Arial" w:cs="Arial" w:eastAsia="Arial" w:hAnsi="Arial"/>
                <w:sz w:val="11"/>
                <w:szCs w:val="11"/>
                <w:b w:val="1"/>
                <w:bCs w:val="1"/>
                <w:color w:val="auto"/>
              </w:rPr>
              <w:t>2021</w:t>
            </w:r>
          </w:p>
        </w:tc>
        <w:tc>
          <w:tcPr>
            <w:tcW w:w="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58"/>
              <w:spacing w:after="0"/>
              <w:rPr>
                <w:sz w:val="20"/>
                <w:szCs w:val="20"/>
                <w:color w:val="auto"/>
              </w:rPr>
            </w:pPr>
            <w:r>
              <w:rPr>
                <w:rFonts w:ascii="Arial" w:cs="Arial" w:eastAsia="Arial" w:hAnsi="Arial"/>
                <w:sz w:val="11"/>
                <w:szCs w:val="11"/>
                <w:b w:val="1"/>
                <w:bCs w:val="1"/>
                <w:color w:val="auto"/>
              </w:rPr>
              <w:t>2020</w:t>
            </w: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5680" w:type="dxa"/>
            <w:vAlign w:val="bottom"/>
          </w:tcPr>
          <w:p>
            <w:pPr>
              <w:ind w:left="20"/>
              <w:spacing w:after="0"/>
              <w:rPr>
                <w:sz w:val="20"/>
                <w:szCs w:val="20"/>
                <w:color w:val="auto"/>
              </w:rPr>
            </w:pPr>
            <w:r>
              <w:rPr>
                <w:rFonts w:ascii="Arial" w:cs="Arial" w:eastAsia="Arial" w:hAnsi="Arial"/>
                <w:sz w:val="11"/>
                <w:szCs w:val="11"/>
                <w:b w:val="1"/>
                <w:bCs w:val="1"/>
                <w:color w:val="auto"/>
              </w:rPr>
              <w:t>Amounts recognized in the Consolidated Balance Sheets as of end of year:</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80" w:type="dxa"/>
            <w:vAlign w:val="bottom"/>
            <w:gridSpan w:val="5"/>
          </w:tcPr>
          <w:p>
            <w:pPr>
              <w:jc w:val="right"/>
              <w:ind w:right="36"/>
              <w:spacing w:after="0"/>
              <w:rPr>
                <w:sz w:val="20"/>
                <w:szCs w:val="20"/>
                <w:color w:val="auto"/>
              </w:rPr>
            </w:pPr>
            <w:r>
              <w:rPr>
                <w:rFonts w:ascii="Arial" w:cs="Arial" w:eastAsia="Arial" w:hAnsi="Arial"/>
                <w:sz w:val="11"/>
                <w:szCs w:val="11"/>
                <w:b w:val="1"/>
                <w:bCs w:val="1"/>
                <w:color w:val="auto"/>
              </w:rPr>
              <w:t>(In thousands)</w:t>
            </w: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6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Current liabilities</w:t>
            </w:r>
          </w:p>
        </w:tc>
        <w:tc>
          <w:tcPr>
            <w:tcW w:w="320" w:type="dxa"/>
            <w:vAlign w:val="bottom"/>
            <w:gridSpan w:val="2"/>
            <w:shd w:val="clear" w:color="auto" w:fill="CCEEFF"/>
          </w:tcPr>
          <w:p>
            <w:pPr>
              <w:jc w:val="right"/>
              <w:ind w:right="156"/>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(6,063)</w:t>
            </w:r>
          </w:p>
        </w:tc>
        <w:tc>
          <w:tcPr>
            <w:tcW w:w="540" w:type="dxa"/>
            <w:vAlign w:val="bottom"/>
            <w:gridSpan w:val="3"/>
            <w:shd w:val="clear" w:color="auto" w:fill="CCEEFF"/>
          </w:tcPr>
          <w:p>
            <w:pPr>
              <w:jc w:val="right"/>
              <w:ind w:right="296"/>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(7,510)</w:t>
            </w:r>
          </w:p>
        </w:tc>
        <w:tc>
          <w:tcPr>
            <w:tcW w:w="500" w:type="dxa"/>
            <w:vAlign w:val="bottom"/>
            <w:gridSpan w:val="3"/>
            <w:shd w:val="clear" w:color="auto" w:fill="CCEEFF"/>
          </w:tcPr>
          <w:p>
            <w:pPr>
              <w:jc w:val="right"/>
              <w:ind w:right="256"/>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(157)</w:t>
            </w:r>
          </w:p>
        </w:tc>
        <w:tc>
          <w:tcPr>
            <w:tcW w:w="500" w:type="dxa"/>
            <w:vAlign w:val="bottom"/>
            <w:gridSpan w:val="3"/>
            <w:shd w:val="clear" w:color="auto" w:fill="CCEEFF"/>
          </w:tcPr>
          <w:p>
            <w:pPr>
              <w:jc w:val="right"/>
              <w:ind w:right="276"/>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(169)</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68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Long-term liabilities</w:t>
            </w:r>
          </w:p>
        </w:tc>
        <w:tc>
          <w:tcPr>
            <w:tcW w:w="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(40,590)</w:t>
            </w: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(90,701)</w:t>
            </w: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color w:val="auto"/>
              </w:rPr>
              <w:t>(1,189)</w:t>
            </w: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(1,424)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680" w:type="dxa"/>
            <w:vAlign w:val="bottom"/>
            <w:tcBorders>
              <w:bottom w:val="single" w:sz="8" w:color="CCEEFF"/>
            </w:tcBorders>
            <w:shd w:val="clear" w:color="auto" w:fill="CCEEFF"/>
          </w:tcPr>
          <w:p>
            <w:pPr>
              <w:ind w:left="440"/>
              <w:spacing w:after="0" w:line="148" w:lineRule="exact"/>
              <w:rPr>
                <w:sz w:val="20"/>
                <w:szCs w:val="20"/>
                <w:color w:val="auto"/>
              </w:rPr>
            </w:pPr>
            <w:r>
              <w:rPr>
                <w:rFonts w:ascii="Arial" w:cs="Arial" w:eastAsia="Arial" w:hAnsi="Arial"/>
                <w:sz w:val="13"/>
                <w:szCs w:val="13"/>
                <w:color w:val="auto"/>
              </w:rPr>
              <w:t>Recognized liabilities</w:t>
            </w:r>
          </w:p>
        </w:tc>
        <w:tc>
          <w:tcPr>
            <w:tcW w:w="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(46,653)</w:t>
            </w:r>
          </w:p>
        </w:tc>
        <w:tc>
          <w:tcPr>
            <w:tcW w:w="100" w:type="dxa"/>
            <w:vAlign w:val="bottom"/>
            <w:tcBorders>
              <w:bottom w:val="single" w:sz="8" w:color="CCEEFF"/>
            </w:tcBorders>
            <w:gridSpan w:val="2"/>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color w:val="auto"/>
                <w:w w:val="82"/>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(98,211)</w:t>
            </w: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CCEEFF"/>
            </w:tcBorders>
            <w:gridSpan w:val="2"/>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(1,346)</w:t>
            </w:r>
          </w:p>
        </w:tc>
        <w:tc>
          <w:tcPr>
            <w:tcW w:w="80" w:type="dxa"/>
            <w:vAlign w:val="bottom"/>
            <w:tcBorders>
              <w:bottom w:val="single" w:sz="8" w:color="CCEEFF"/>
            </w:tcBorders>
            <w:gridSpan w:val="2"/>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(1,593)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5"/>
          </w:tcPr>
          <w:p>
            <w:pPr>
              <w:jc w:val="right"/>
              <w:ind w:right="16"/>
              <w:spacing w:after="0"/>
              <w:rPr>
                <w:sz w:val="20"/>
                <w:szCs w:val="20"/>
                <w:color w:val="auto"/>
              </w:rPr>
            </w:pPr>
            <w:r>
              <w:rPr>
                <w:rFonts w:ascii="Arial" w:cs="Arial" w:eastAsia="Arial" w:hAnsi="Arial"/>
                <w:sz w:val="11"/>
                <w:szCs w:val="11"/>
                <w:b w:val="1"/>
                <w:bCs w:val="1"/>
                <w:color w:val="auto"/>
              </w:rPr>
              <w:t>Pension Benefits</w:t>
            </w:r>
          </w:p>
        </w:tc>
        <w:tc>
          <w:tcPr>
            <w:tcW w:w="8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5"/>
          </w:tcPr>
          <w:p>
            <w:pPr>
              <w:ind w:left="600"/>
              <w:spacing w:after="0"/>
              <w:rPr>
                <w:sz w:val="20"/>
                <w:szCs w:val="20"/>
                <w:color w:val="auto"/>
              </w:rPr>
            </w:pPr>
            <w:r>
              <w:rPr>
                <w:rFonts w:ascii="Arial" w:cs="Arial" w:eastAsia="Arial" w:hAnsi="Arial"/>
                <w:sz w:val="11"/>
                <w:szCs w:val="11"/>
                <w:b w:val="1"/>
                <w:bCs w:val="1"/>
                <w:color w:val="auto"/>
              </w:rPr>
              <w:t>Other Benefits</w:t>
            </w:r>
          </w:p>
        </w:tc>
        <w:tc>
          <w:tcPr>
            <w:tcW w:w="8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59"/>
              <w:spacing w:after="0"/>
              <w:rPr>
                <w:sz w:val="20"/>
                <w:szCs w:val="20"/>
                <w:color w:val="auto"/>
              </w:rPr>
            </w:pPr>
            <w:r>
              <w:rPr>
                <w:rFonts w:ascii="Arial" w:cs="Arial" w:eastAsia="Arial" w:hAnsi="Arial"/>
                <w:sz w:val="11"/>
                <w:szCs w:val="11"/>
                <w:b w:val="1"/>
                <w:bCs w:val="1"/>
                <w:color w:val="auto"/>
              </w:rPr>
              <w:t>2021</w:t>
            </w: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59"/>
              <w:spacing w:after="0"/>
              <w:rPr>
                <w:sz w:val="20"/>
                <w:szCs w:val="20"/>
                <w:color w:val="auto"/>
              </w:rPr>
            </w:pPr>
            <w:r>
              <w:rPr>
                <w:rFonts w:ascii="Arial" w:cs="Arial" w:eastAsia="Arial" w:hAnsi="Arial"/>
                <w:sz w:val="11"/>
                <w:szCs w:val="11"/>
                <w:b w:val="1"/>
                <w:bCs w:val="1"/>
                <w:color w:val="auto"/>
              </w:rPr>
              <w:t>2020</w:t>
            </w: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59"/>
              <w:spacing w:after="0"/>
              <w:rPr>
                <w:sz w:val="20"/>
                <w:szCs w:val="20"/>
                <w:color w:val="auto"/>
              </w:rPr>
            </w:pPr>
            <w:r>
              <w:rPr>
                <w:rFonts w:ascii="Arial" w:cs="Arial" w:eastAsia="Arial" w:hAnsi="Arial"/>
                <w:sz w:val="11"/>
                <w:szCs w:val="11"/>
                <w:b w:val="1"/>
                <w:bCs w:val="1"/>
                <w:color w:val="auto"/>
              </w:rPr>
              <w:t>2021</w:t>
            </w:r>
          </w:p>
        </w:tc>
        <w:tc>
          <w:tcPr>
            <w:tcW w:w="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58"/>
              <w:spacing w:after="0"/>
              <w:rPr>
                <w:sz w:val="20"/>
                <w:szCs w:val="20"/>
                <w:color w:val="auto"/>
              </w:rPr>
            </w:pPr>
            <w:r>
              <w:rPr>
                <w:rFonts w:ascii="Arial" w:cs="Arial" w:eastAsia="Arial" w:hAnsi="Arial"/>
                <w:sz w:val="11"/>
                <w:szCs w:val="11"/>
                <w:b w:val="1"/>
                <w:bCs w:val="1"/>
                <w:color w:val="auto"/>
              </w:rPr>
              <w:t>2020</w:t>
            </w: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5680" w:type="dxa"/>
            <w:vAlign w:val="bottom"/>
          </w:tcPr>
          <w:p>
            <w:pPr>
              <w:ind w:left="20"/>
              <w:spacing w:after="0" w:line="88" w:lineRule="exact"/>
              <w:rPr>
                <w:sz w:val="20"/>
                <w:szCs w:val="20"/>
                <w:color w:val="auto"/>
              </w:rPr>
            </w:pPr>
            <w:r>
              <w:rPr>
                <w:rFonts w:ascii="Arial" w:cs="Arial" w:eastAsia="Arial" w:hAnsi="Arial"/>
                <w:sz w:val="10"/>
                <w:szCs w:val="10"/>
                <w:b w:val="1"/>
                <w:bCs w:val="1"/>
                <w:color w:val="auto"/>
              </w:rPr>
              <w:t>Amounts recognized in accumulated other</w:t>
            </w:r>
          </w:p>
        </w:tc>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9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380" w:type="dxa"/>
            <w:vAlign w:val="bottom"/>
            <w:gridSpan w:val="5"/>
            <w:vMerge w:val="restart"/>
          </w:tcPr>
          <w:p>
            <w:pPr>
              <w:jc w:val="right"/>
              <w:ind w:right="36"/>
              <w:spacing w:after="0"/>
              <w:rPr>
                <w:sz w:val="20"/>
                <w:szCs w:val="20"/>
                <w:color w:val="auto"/>
              </w:rPr>
            </w:pPr>
            <w:r>
              <w:rPr>
                <w:rFonts w:ascii="Arial" w:cs="Arial" w:eastAsia="Arial" w:hAnsi="Arial"/>
                <w:sz w:val="11"/>
                <w:szCs w:val="11"/>
                <w:b w:val="1"/>
                <w:bCs w:val="1"/>
                <w:color w:val="auto"/>
              </w:rPr>
              <w:t>(In thousands)</w:t>
            </w:r>
          </w:p>
        </w:tc>
        <w:tc>
          <w:tcPr>
            <w:tcW w:w="8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80" w:type="dxa"/>
            <w:vAlign w:val="bottom"/>
          </w:tcPr>
          <w:p>
            <w:pPr>
              <w:ind w:left="100"/>
              <w:spacing w:after="0"/>
              <w:rPr>
                <w:sz w:val="20"/>
                <w:szCs w:val="20"/>
                <w:color w:val="auto"/>
              </w:rPr>
            </w:pPr>
            <w:r>
              <w:rPr>
                <w:rFonts w:ascii="Arial" w:cs="Arial" w:eastAsia="Arial" w:hAnsi="Arial"/>
                <w:sz w:val="11"/>
                <w:szCs w:val="11"/>
                <w:b w:val="1"/>
                <w:bCs w:val="1"/>
                <w:color w:val="auto"/>
              </w:rPr>
              <w:t>comprehensive loss at end of year:</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80" w:type="dxa"/>
            <w:vAlign w:val="bottom"/>
            <w:gridSpan w:val="5"/>
            <w:vMerge w:val="continue"/>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6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Net actuarial loss</w:t>
            </w:r>
          </w:p>
        </w:tc>
        <w:tc>
          <w:tcPr>
            <w:tcW w:w="320" w:type="dxa"/>
            <w:vAlign w:val="bottom"/>
            <w:gridSpan w:val="2"/>
            <w:shd w:val="clear" w:color="auto" w:fill="CCEEFF"/>
          </w:tcPr>
          <w:p>
            <w:pPr>
              <w:jc w:val="right"/>
              <w:ind w:right="156"/>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58,143</w:t>
            </w:r>
          </w:p>
        </w:tc>
        <w:tc>
          <w:tcPr>
            <w:tcW w:w="20" w:type="dxa"/>
            <w:vAlign w:val="bottom"/>
            <w:shd w:val="clear" w:color="auto" w:fill="CCEEFF"/>
          </w:tcPr>
          <w:p>
            <w:pPr>
              <w:spacing w:after="0"/>
              <w:rPr>
                <w:sz w:val="14"/>
                <w:szCs w:val="14"/>
                <w:color w:val="auto"/>
              </w:rPr>
            </w:pPr>
          </w:p>
        </w:tc>
        <w:tc>
          <w:tcPr>
            <w:tcW w:w="540" w:type="dxa"/>
            <w:vAlign w:val="bottom"/>
            <w:gridSpan w:val="3"/>
            <w:shd w:val="clear" w:color="auto" w:fill="CCEEFF"/>
          </w:tcPr>
          <w:p>
            <w:pPr>
              <w:jc w:val="right"/>
              <w:ind w:right="296"/>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95,522</w:t>
            </w:r>
          </w:p>
        </w:tc>
        <w:tc>
          <w:tcPr>
            <w:tcW w:w="20" w:type="dxa"/>
            <w:vAlign w:val="bottom"/>
            <w:shd w:val="clear" w:color="auto" w:fill="CCEEFF"/>
          </w:tcPr>
          <w:p>
            <w:pPr>
              <w:spacing w:after="0"/>
              <w:rPr>
                <w:sz w:val="14"/>
                <w:szCs w:val="14"/>
                <w:color w:val="auto"/>
              </w:rPr>
            </w:pPr>
          </w:p>
        </w:tc>
        <w:tc>
          <w:tcPr>
            <w:tcW w:w="500" w:type="dxa"/>
            <w:vAlign w:val="bottom"/>
            <w:gridSpan w:val="3"/>
            <w:shd w:val="clear" w:color="auto" w:fill="CCEEFF"/>
          </w:tcPr>
          <w:p>
            <w:pPr>
              <w:jc w:val="right"/>
              <w:ind w:right="256"/>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w:t>
            </w:r>
          </w:p>
        </w:tc>
        <w:tc>
          <w:tcPr>
            <w:tcW w:w="40" w:type="dxa"/>
            <w:vAlign w:val="bottom"/>
            <w:shd w:val="clear" w:color="auto" w:fill="CCEEFF"/>
          </w:tcPr>
          <w:p>
            <w:pPr>
              <w:spacing w:after="0"/>
              <w:rPr>
                <w:sz w:val="14"/>
                <w:szCs w:val="14"/>
                <w:color w:val="auto"/>
              </w:rPr>
            </w:pPr>
          </w:p>
        </w:tc>
        <w:tc>
          <w:tcPr>
            <w:tcW w:w="500" w:type="dxa"/>
            <w:vAlign w:val="bottom"/>
            <w:gridSpan w:val="3"/>
            <w:shd w:val="clear" w:color="auto" w:fill="CCEEFF"/>
          </w:tcPr>
          <w:p>
            <w:pPr>
              <w:jc w:val="right"/>
              <w:ind w:right="276"/>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174</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4"/>
          <w:szCs w:val="14"/>
          <w:color w:val="auto"/>
        </w:rPr>
        <w:t>The accumulated benefit obligation for the Company’s defined benefit pension plans was $373.1 million and $404.2 million as of December 26, 2021 and December 27, 2020, respectively. Each of the Company’s defined benefit pension plans had accumulated benefit obligations that exceeded the fair value of plan assets as of December 26, 2021 and December 27, 2020. As of December 26, 2021, the weighted average duration of our defined benefit obligation is 18.1 years.</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Net Periodic Benefit Costs</w:t>
      </w:r>
    </w:p>
    <w:p>
      <w:pPr>
        <w:spacing w:after="0" w:line="14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Net benefit costs include the following components: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9" w:name="page80"/>
    <w:bookmarkEnd w:id="7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NOTES TO CONSOLIDATED FINANCIAL STATEMENTS</w:t>
      </w:r>
    </w:p>
    <w:p>
      <w:pPr>
        <w:spacing w:after="0" w:line="200" w:lineRule="exact"/>
        <w:rPr>
          <w:sz w:val="20"/>
          <w:szCs w:val="20"/>
          <w:color w:val="auto"/>
        </w:rPr>
      </w:pPr>
    </w:p>
    <w:p>
      <w:pPr>
        <w:spacing w:after="0" w:line="206" w:lineRule="exact"/>
        <w:rPr>
          <w:sz w:val="20"/>
          <w:szCs w:val="20"/>
          <w:color w:val="auto"/>
        </w:rPr>
      </w:pPr>
    </w:p>
    <w:tbl>
      <w:tblPr>
        <w:tblLayout w:type="fixed"/>
        <w:tblInd w:w="40" w:type="dxa"/>
        <w:tblCellMar>
          <w:top w:w="0" w:type="dxa"/>
          <w:left w:w="0" w:type="dxa"/>
          <w:bottom w:w="0" w:type="dxa"/>
          <w:right w:w="0" w:type="dxa"/>
        </w:tblCellMar>
      </w:tblPr>
      <w:tr>
        <w:trPr>
          <w:trHeight w:val="151"/>
        </w:trPr>
        <w:tc>
          <w:tcPr>
            <w:tcW w:w="352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2"/>
          </w:tcPr>
          <w:p>
            <w:pPr>
              <w:ind w:left="60"/>
              <w:spacing w:after="0"/>
              <w:rPr>
                <w:sz w:val="20"/>
                <w:szCs w:val="20"/>
                <w:color w:val="auto"/>
              </w:rPr>
            </w:pPr>
            <w:r>
              <w:rPr>
                <w:rFonts w:ascii="Arial" w:cs="Arial" w:eastAsia="Arial" w:hAnsi="Arial"/>
                <w:sz w:val="11"/>
                <w:szCs w:val="11"/>
                <w:b w:val="1"/>
                <w:bCs w:val="1"/>
                <w:color w:val="auto"/>
              </w:rPr>
              <w:t>Pension Benefits</w:t>
            </w: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2"/>
          </w:tcPr>
          <w:p>
            <w:pPr>
              <w:ind w:left="100"/>
              <w:spacing w:after="0"/>
              <w:rPr>
                <w:sz w:val="20"/>
                <w:szCs w:val="20"/>
                <w:color w:val="auto"/>
              </w:rPr>
            </w:pPr>
            <w:r>
              <w:rPr>
                <w:rFonts w:ascii="Arial" w:cs="Arial" w:eastAsia="Arial" w:hAnsi="Arial"/>
                <w:sz w:val="11"/>
                <w:szCs w:val="11"/>
                <w:b w:val="1"/>
                <w:bCs w:val="1"/>
                <w:color w:val="auto"/>
              </w:rPr>
              <w:t>Other Benefits</w:t>
            </w: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r>
      <w:tr>
        <w:trPr>
          <w:trHeight w:val="142"/>
        </w:trPr>
        <w:tc>
          <w:tcPr>
            <w:tcW w:w="3520" w:type="dxa"/>
            <w:vAlign w:val="bottom"/>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2021</w:t>
            </w:r>
          </w:p>
        </w:tc>
        <w:tc>
          <w:tcPr>
            <w:tcW w:w="4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18"/>
              <w:spacing w:after="0"/>
              <w:rPr>
                <w:sz w:val="20"/>
                <w:szCs w:val="20"/>
                <w:color w:val="auto"/>
              </w:rPr>
            </w:pPr>
            <w:r>
              <w:rPr>
                <w:rFonts w:ascii="Arial" w:cs="Arial" w:eastAsia="Arial" w:hAnsi="Arial"/>
                <w:sz w:val="11"/>
                <w:szCs w:val="11"/>
                <w:b w:val="1"/>
                <w:bCs w:val="1"/>
                <w:color w:val="auto"/>
              </w:rPr>
              <w:t>2020</w:t>
            </w:r>
          </w:p>
        </w:tc>
        <w:tc>
          <w:tcPr>
            <w:tcW w:w="1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19"/>
              <w:spacing w:after="0"/>
              <w:rPr>
                <w:sz w:val="20"/>
                <w:szCs w:val="20"/>
                <w:color w:val="auto"/>
              </w:rPr>
            </w:pPr>
            <w:r>
              <w:rPr>
                <w:rFonts w:ascii="Arial" w:cs="Arial" w:eastAsia="Arial" w:hAnsi="Arial"/>
                <w:sz w:val="11"/>
                <w:szCs w:val="11"/>
                <w:b w:val="1"/>
                <w:bCs w:val="1"/>
                <w:color w:val="auto"/>
              </w:rPr>
              <w:t>2019</w:t>
            </w: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99"/>
              <w:spacing w:after="0"/>
              <w:rPr>
                <w:sz w:val="20"/>
                <w:szCs w:val="20"/>
                <w:color w:val="auto"/>
              </w:rPr>
            </w:pPr>
            <w:r>
              <w:rPr>
                <w:rFonts w:ascii="Arial" w:cs="Arial" w:eastAsia="Arial" w:hAnsi="Arial"/>
                <w:sz w:val="11"/>
                <w:szCs w:val="11"/>
                <w:b w:val="1"/>
                <w:bCs w:val="1"/>
                <w:color w:val="auto"/>
              </w:rPr>
              <w:t>2021</w:t>
            </w:r>
          </w:p>
        </w:tc>
        <w:tc>
          <w:tcPr>
            <w:tcW w:w="3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18"/>
              <w:spacing w:after="0"/>
              <w:rPr>
                <w:sz w:val="20"/>
                <w:szCs w:val="20"/>
                <w:color w:val="auto"/>
              </w:rPr>
            </w:pPr>
            <w:r>
              <w:rPr>
                <w:rFonts w:ascii="Arial" w:cs="Arial" w:eastAsia="Arial" w:hAnsi="Arial"/>
                <w:sz w:val="11"/>
                <w:szCs w:val="11"/>
                <w:b w:val="1"/>
                <w:bCs w:val="1"/>
                <w:color w:val="auto"/>
              </w:rPr>
              <w:t>2020</w:t>
            </w:r>
          </w:p>
        </w:tc>
        <w:tc>
          <w:tcPr>
            <w:tcW w:w="1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17"/>
              <w:spacing w:after="0"/>
              <w:rPr>
                <w:sz w:val="20"/>
                <w:szCs w:val="20"/>
                <w:color w:val="auto"/>
              </w:rPr>
            </w:pPr>
            <w:r>
              <w:rPr>
                <w:rFonts w:ascii="Arial" w:cs="Arial" w:eastAsia="Arial" w:hAnsi="Arial"/>
                <w:sz w:val="11"/>
                <w:szCs w:val="11"/>
                <w:b w:val="1"/>
                <w:bCs w:val="1"/>
                <w:color w:val="auto"/>
              </w:rPr>
              <w:t>2019</w:t>
            </w:r>
          </w:p>
        </w:tc>
      </w:tr>
      <w:tr>
        <w:trPr>
          <w:trHeight w:val="124"/>
        </w:trPr>
        <w:tc>
          <w:tcPr>
            <w:tcW w:w="35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80" w:type="dxa"/>
            <w:vAlign w:val="bottom"/>
            <w:gridSpan w:val="3"/>
          </w:tcPr>
          <w:p>
            <w:pPr>
              <w:jc w:val="right"/>
              <w:ind w:right="539"/>
              <w:spacing w:after="0"/>
              <w:rPr>
                <w:sz w:val="20"/>
                <w:szCs w:val="20"/>
                <w:color w:val="auto"/>
              </w:rPr>
            </w:pPr>
            <w:r>
              <w:rPr>
                <w:rFonts w:ascii="Arial" w:cs="Arial" w:eastAsia="Arial" w:hAnsi="Arial"/>
                <w:sz w:val="10"/>
                <w:szCs w:val="10"/>
                <w:b w:val="1"/>
                <w:bCs w:val="1"/>
                <w:color w:val="auto"/>
              </w:rPr>
              <w:t>(In thousands)</w:t>
            </w: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Pr>
          <w:p>
            <w:pPr>
              <w:spacing w:after="0"/>
              <w:rPr>
                <w:sz w:val="10"/>
                <w:szCs w:val="10"/>
                <w:color w:val="auto"/>
              </w:rPr>
            </w:pPr>
          </w:p>
        </w:tc>
      </w:tr>
      <w:tr>
        <w:trPr>
          <w:trHeight w:val="176"/>
        </w:trPr>
        <w:tc>
          <w:tcPr>
            <w:tcW w:w="3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Interest cost</w:t>
            </w:r>
          </w:p>
        </w:tc>
        <w:tc>
          <w:tcPr>
            <w:tcW w:w="740" w:type="dxa"/>
            <w:vAlign w:val="bottom"/>
            <w:shd w:val="clear" w:color="auto" w:fill="CCEEFF"/>
          </w:tcPr>
          <w:p>
            <w:pPr>
              <w:jc w:val="right"/>
              <w:ind w:right="599"/>
              <w:spacing w:after="0"/>
              <w:rPr>
                <w:sz w:val="20"/>
                <w:szCs w:val="20"/>
                <w:color w:val="auto"/>
              </w:rPr>
            </w:pPr>
            <w:r>
              <w:rPr>
                <w:rFonts w:ascii="Arial" w:cs="Arial" w:eastAsia="Arial" w:hAnsi="Arial"/>
                <w:sz w:val="13"/>
                <w:szCs w:val="13"/>
                <w:color w:val="auto"/>
                <w:w w:val="82"/>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5,763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8,102</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6,673</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719"/>
              <w:spacing w:after="0"/>
              <w:rPr>
                <w:sz w:val="20"/>
                <w:szCs w:val="20"/>
                <w:color w:val="auto"/>
              </w:rPr>
            </w:pPr>
            <w:r>
              <w:rPr>
                <w:rFonts w:ascii="Arial" w:cs="Arial" w:eastAsia="Arial" w:hAnsi="Arial"/>
                <w:sz w:val="13"/>
                <w:szCs w:val="13"/>
                <w:color w:val="auto"/>
                <w:w w:val="82"/>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w:t>
            </w:r>
          </w:p>
        </w:tc>
      </w:tr>
      <w:tr>
        <w:trPr>
          <w:trHeight w:val="168"/>
        </w:trPr>
        <w:tc>
          <w:tcPr>
            <w:tcW w:w="3520" w:type="dxa"/>
            <w:vAlign w:val="bottom"/>
          </w:tcPr>
          <w:p>
            <w:pPr>
              <w:ind w:left="20"/>
              <w:spacing w:after="0"/>
              <w:rPr>
                <w:sz w:val="20"/>
                <w:szCs w:val="20"/>
                <w:color w:val="auto"/>
              </w:rPr>
            </w:pPr>
            <w:r>
              <w:rPr>
                <w:rFonts w:ascii="Arial" w:cs="Arial" w:eastAsia="Arial" w:hAnsi="Arial"/>
                <w:sz w:val="13"/>
                <w:szCs w:val="13"/>
                <w:color w:val="auto"/>
              </w:rPr>
              <w:t>Estimated return on plan assets</w:t>
            </w:r>
          </w:p>
        </w:tc>
        <w:tc>
          <w:tcPr>
            <w:tcW w:w="7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w w:val="86"/>
              </w:rPr>
              <w:t>(10,562)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(13,071)</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(6,921)</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2"/>
        </w:trPr>
        <w:tc>
          <w:tcPr>
            <w:tcW w:w="3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Settlement loss</w:t>
            </w:r>
          </w:p>
        </w:tc>
        <w:tc>
          <w:tcPr>
            <w:tcW w:w="74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2,313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3,371</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3,538</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r>
      <w:tr>
        <w:trPr>
          <w:trHeight w:val="168"/>
        </w:trPr>
        <w:tc>
          <w:tcPr>
            <w:tcW w:w="3520" w:type="dxa"/>
            <w:vAlign w:val="bottom"/>
          </w:tcPr>
          <w:p>
            <w:pPr>
              <w:ind w:left="20"/>
              <w:spacing w:after="0"/>
              <w:rPr>
                <w:sz w:val="20"/>
                <w:szCs w:val="20"/>
                <w:color w:val="auto"/>
              </w:rPr>
            </w:pPr>
            <w:r>
              <w:rPr>
                <w:rFonts w:ascii="Arial" w:cs="Arial" w:eastAsia="Arial" w:hAnsi="Arial"/>
                <w:sz w:val="13"/>
                <w:szCs w:val="13"/>
                <w:color w:val="auto"/>
              </w:rPr>
              <w:t>Expenses paid from assets</w:t>
            </w:r>
          </w:p>
        </w:tc>
        <w:tc>
          <w:tcPr>
            <w:tcW w:w="7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425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735</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(62)</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2"/>
        </w:trPr>
        <w:tc>
          <w:tcPr>
            <w:tcW w:w="3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Amortization of net loss</w:t>
            </w:r>
          </w:p>
        </w:tc>
        <w:tc>
          <w:tcPr>
            <w:tcW w:w="74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2,257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1,503</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1,313</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3520" w:type="dxa"/>
            <w:vAlign w:val="bottom"/>
          </w:tcPr>
          <w:p>
            <w:pPr>
              <w:ind w:left="20"/>
              <w:spacing w:after="0"/>
              <w:rPr>
                <w:sz w:val="20"/>
                <w:szCs w:val="20"/>
                <w:color w:val="auto"/>
              </w:rPr>
            </w:pPr>
            <w:r>
              <w:rPr>
                <w:rFonts w:ascii="Arial" w:cs="Arial" w:eastAsia="Arial" w:hAnsi="Arial"/>
                <w:sz w:val="13"/>
                <w:szCs w:val="13"/>
                <w:color w:val="auto"/>
              </w:rPr>
              <w:t>Amortization of past service cost</w:t>
            </w:r>
          </w:p>
        </w:tc>
        <w:tc>
          <w:tcPr>
            <w:tcW w:w="7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60" w:type="dxa"/>
            <w:vAlign w:val="bottom"/>
          </w:tcPr>
          <w:p>
            <w:pPr>
              <w:spacing w:after="0"/>
              <w:rPr>
                <w:sz w:val="14"/>
                <w:szCs w:val="14"/>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8"/>
        </w:trPr>
        <w:tc>
          <w:tcPr>
            <w:tcW w:w="352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Net cost</w:t>
            </w:r>
          </w:p>
        </w:tc>
        <w:tc>
          <w:tcPr>
            <w:tcW w:w="740" w:type="dxa"/>
            <w:vAlign w:val="bottom"/>
            <w:tcBorders>
              <w:top w:val="single" w:sz="8" w:color="auto"/>
              <w:bottom w:val="single" w:sz="8" w:color="auto"/>
            </w:tcBorders>
            <w:shd w:val="clear" w:color="auto" w:fill="CCEEFF"/>
          </w:tcPr>
          <w:p>
            <w:pPr>
              <w:jc w:val="right"/>
              <w:ind w:right="599"/>
              <w:spacing w:after="0"/>
              <w:rPr>
                <w:sz w:val="20"/>
                <w:szCs w:val="20"/>
                <w:color w:val="auto"/>
              </w:rPr>
            </w:pPr>
            <w:r>
              <w:rPr>
                <w:rFonts w:ascii="Arial" w:cs="Arial" w:eastAsia="Arial" w:hAnsi="Arial"/>
                <w:sz w:val="13"/>
                <w:szCs w:val="13"/>
                <w:color w:val="auto"/>
                <w:w w:val="82"/>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215</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640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4,541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ind w:right="719"/>
              <w:spacing w:after="0"/>
              <w:rPr>
                <w:sz w:val="20"/>
                <w:szCs w:val="20"/>
                <w:color w:val="auto"/>
              </w:rPr>
            </w:pPr>
            <w:r>
              <w:rPr>
                <w:rFonts w:ascii="Arial" w:cs="Arial" w:eastAsia="Arial" w:hAnsi="Arial"/>
                <w:sz w:val="13"/>
                <w:szCs w:val="13"/>
                <w:color w:val="auto"/>
                <w:w w:val="82"/>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43</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59</w:t>
            </w: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Economic Assumptions</w:t>
      </w:r>
    </w:p>
    <w:p>
      <w:pPr>
        <w:spacing w:after="0" w:line="14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weighted average assumptions used in determining pension and other postretirement plan information were as follows: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388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2"/>
          </w:tcPr>
          <w:p>
            <w:pPr>
              <w:ind w:left="180"/>
              <w:spacing w:after="0"/>
              <w:rPr>
                <w:sz w:val="20"/>
                <w:szCs w:val="20"/>
                <w:color w:val="auto"/>
              </w:rPr>
            </w:pPr>
            <w:r>
              <w:rPr>
                <w:rFonts w:ascii="Arial" w:cs="Arial" w:eastAsia="Arial" w:hAnsi="Arial"/>
                <w:sz w:val="11"/>
                <w:szCs w:val="11"/>
                <w:b w:val="1"/>
                <w:bCs w:val="1"/>
                <w:color w:val="auto"/>
              </w:rPr>
              <w:t>Pension Benefits</w:t>
            </w:r>
          </w:p>
        </w:tc>
        <w:tc>
          <w:tcPr>
            <w:tcW w:w="11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2"/>
          </w:tcPr>
          <w:p>
            <w:pPr>
              <w:ind w:left="220"/>
              <w:spacing w:after="0"/>
              <w:rPr>
                <w:sz w:val="20"/>
                <w:szCs w:val="20"/>
                <w:color w:val="auto"/>
              </w:rPr>
            </w:pPr>
            <w:r>
              <w:rPr>
                <w:rFonts w:ascii="Arial" w:cs="Arial" w:eastAsia="Arial" w:hAnsi="Arial"/>
                <w:sz w:val="11"/>
                <w:szCs w:val="11"/>
                <w:b w:val="1"/>
                <w:bCs w:val="1"/>
                <w:color w:val="auto"/>
              </w:rPr>
              <w:t>Other Benefits</w:t>
            </w:r>
          </w:p>
        </w:tc>
        <w:tc>
          <w:tcPr>
            <w:tcW w:w="1160" w:type="dxa"/>
            <w:vAlign w:val="bottom"/>
            <w:tcBorders>
              <w:bottom w:val="single" w:sz="8" w:color="auto"/>
            </w:tcBorders>
          </w:tcPr>
          <w:p>
            <w:pPr>
              <w:spacing w:after="0"/>
              <w:rPr>
                <w:sz w:val="13"/>
                <w:szCs w:val="13"/>
                <w:color w:val="auto"/>
              </w:rPr>
            </w:pPr>
          </w:p>
        </w:tc>
      </w:tr>
      <w:tr>
        <w:trPr>
          <w:trHeight w:val="142"/>
        </w:trPr>
        <w:tc>
          <w:tcPr>
            <w:tcW w:w="388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2021</w:t>
            </w:r>
          </w:p>
        </w:tc>
        <w:tc>
          <w:tcPr>
            <w:tcW w:w="42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160" w:type="dxa"/>
            <w:vAlign w:val="bottom"/>
            <w:tcBorders>
              <w:bottom w:val="single" w:sz="8" w:color="auto"/>
            </w:tcBorders>
          </w:tcPr>
          <w:p>
            <w:pPr>
              <w:jc w:val="right"/>
              <w:ind w:right="399"/>
              <w:spacing w:after="0"/>
              <w:rPr>
                <w:sz w:val="20"/>
                <w:szCs w:val="20"/>
                <w:color w:val="auto"/>
              </w:rPr>
            </w:pPr>
            <w:r>
              <w:rPr>
                <w:rFonts w:ascii="Arial" w:cs="Arial" w:eastAsia="Arial" w:hAnsi="Arial"/>
                <w:sz w:val="11"/>
                <w:szCs w:val="11"/>
                <w:b w:val="1"/>
                <w:bCs w:val="1"/>
                <w:color w:val="auto"/>
              </w:rPr>
              <w:t>2020</w:t>
            </w:r>
          </w:p>
        </w:tc>
        <w:tc>
          <w:tcPr>
            <w:tcW w:w="100" w:type="dxa"/>
            <w:vAlign w:val="bottom"/>
            <w:tcBorders>
              <w:bottom w:val="single" w:sz="8" w:color="CCEEFF"/>
            </w:tcBorders>
          </w:tcPr>
          <w:p>
            <w:pPr>
              <w:spacing w:after="0"/>
              <w:rPr>
                <w:sz w:val="12"/>
                <w:szCs w:val="12"/>
                <w:color w:val="auto"/>
              </w:rPr>
            </w:pPr>
          </w:p>
        </w:tc>
        <w:tc>
          <w:tcPr>
            <w:tcW w:w="1140" w:type="dxa"/>
            <w:vAlign w:val="bottom"/>
            <w:tcBorders>
              <w:bottom w:val="single" w:sz="8" w:color="auto"/>
            </w:tcBorders>
          </w:tcPr>
          <w:p>
            <w:pPr>
              <w:jc w:val="right"/>
              <w:ind w:right="398"/>
              <w:spacing w:after="0"/>
              <w:rPr>
                <w:sz w:val="20"/>
                <w:szCs w:val="20"/>
                <w:color w:val="auto"/>
              </w:rPr>
            </w:pPr>
            <w:r>
              <w:rPr>
                <w:rFonts w:ascii="Arial" w:cs="Arial" w:eastAsia="Arial" w:hAnsi="Arial"/>
                <w:sz w:val="11"/>
                <w:szCs w:val="11"/>
                <w:b w:val="1"/>
                <w:bCs w:val="1"/>
                <w:color w:val="auto"/>
              </w:rPr>
              <w:t>2019</w:t>
            </w:r>
          </w:p>
        </w:tc>
        <w:tc>
          <w:tcPr>
            <w:tcW w:w="100" w:type="dxa"/>
            <w:vAlign w:val="bottom"/>
            <w:tcBorders>
              <w:bottom w:val="single" w:sz="8" w:color="CCEEFF"/>
            </w:tcBorders>
          </w:tcPr>
          <w:p>
            <w:pPr>
              <w:spacing w:after="0"/>
              <w:rPr>
                <w:sz w:val="12"/>
                <w:szCs w:val="12"/>
                <w:color w:val="auto"/>
              </w:rPr>
            </w:pPr>
          </w:p>
        </w:tc>
        <w:tc>
          <w:tcPr>
            <w:tcW w:w="1140" w:type="dxa"/>
            <w:vAlign w:val="bottom"/>
            <w:tcBorders>
              <w:bottom w:val="single" w:sz="8" w:color="auto"/>
            </w:tcBorders>
          </w:tcPr>
          <w:p>
            <w:pPr>
              <w:jc w:val="right"/>
              <w:ind w:right="398"/>
              <w:spacing w:after="0"/>
              <w:rPr>
                <w:sz w:val="20"/>
                <w:szCs w:val="20"/>
                <w:color w:val="auto"/>
              </w:rPr>
            </w:pPr>
            <w:r>
              <w:rPr>
                <w:rFonts w:ascii="Arial" w:cs="Arial" w:eastAsia="Arial" w:hAnsi="Arial"/>
                <w:sz w:val="11"/>
                <w:szCs w:val="11"/>
                <w:b w:val="1"/>
                <w:bCs w:val="1"/>
                <w:color w:val="auto"/>
              </w:rPr>
              <w:t>2021</w:t>
            </w:r>
          </w:p>
        </w:tc>
        <w:tc>
          <w:tcPr>
            <w:tcW w:w="100" w:type="dxa"/>
            <w:vAlign w:val="bottom"/>
            <w:tcBorders>
              <w:bottom w:val="single" w:sz="8" w:color="CCEEFF"/>
            </w:tcBorders>
          </w:tcPr>
          <w:p>
            <w:pPr>
              <w:spacing w:after="0"/>
              <w:rPr>
                <w:sz w:val="12"/>
                <w:szCs w:val="12"/>
                <w:color w:val="auto"/>
              </w:rPr>
            </w:pPr>
          </w:p>
        </w:tc>
        <w:tc>
          <w:tcPr>
            <w:tcW w:w="1140" w:type="dxa"/>
            <w:vAlign w:val="bottom"/>
            <w:tcBorders>
              <w:bottom w:val="single" w:sz="8" w:color="auto"/>
            </w:tcBorders>
          </w:tcPr>
          <w:p>
            <w:pPr>
              <w:jc w:val="right"/>
              <w:ind w:right="399"/>
              <w:spacing w:after="0"/>
              <w:rPr>
                <w:sz w:val="20"/>
                <w:szCs w:val="20"/>
                <w:color w:val="auto"/>
              </w:rPr>
            </w:pPr>
            <w:r>
              <w:rPr>
                <w:rFonts w:ascii="Arial" w:cs="Arial" w:eastAsia="Arial" w:hAnsi="Arial"/>
                <w:sz w:val="11"/>
                <w:szCs w:val="11"/>
                <w:b w:val="1"/>
                <w:bCs w:val="1"/>
                <w:color w:val="auto"/>
              </w:rPr>
              <w:t>2020</w:t>
            </w:r>
          </w:p>
        </w:tc>
        <w:tc>
          <w:tcPr>
            <w:tcW w:w="100" w:type="dxa"/>
            <w:vAlign w:val="bottom"/>
            <w:tcBorders>
              <w:bottom w:val="single" w:sz="8" w:color="CCEEFF"/>
            </w:tcBorders>
          </w:tcPr>
          <w:p>
            <w:pPr>
              <w:spacing w:after="0"/>
              <w:rPr>
                <w:sz w:val="12"/>
                <w:szCs w:val="12"/>
                <w:color w:val="auto"/>
              </w:rPr>
            </w:pPr>
          </w:p>
        </w:tc>
        <w:tc>
          <w:tcPr>
            <w:tcW w:w="1160" w:type="dxa"/>
            <w:vAlign w:val="bottom"/>
            <w:tcBorders>
              <w:bottom w:val="single" w:sz="8" w:color="auto"/>
            </w:tcBorders>
          </w:tcPr>
          <w:p>
            <w:pPr>
              <w:jc w:val="right"/>
              <w:ind w:right="398"/>
              <w:spacing w:after="0"/>
              <w:rPr>
                <w:sz w:val="20"/>
                <w:szCs w:val="20"/>
                <w:color w:val="auto"/>
              </w:rPr>
            </w:pPr>
            <w:r>
              <w:rPr>
                <w:rFonts w:ascii="Arial" w:cs="Arial" w:eastAsia="Arial" w:hAnsi="Arial"/>
                <w:sz w:val="11"/>
                <w:szCs w:val="11"/>
                <w:b w:val="1"/>
                <w:bCs w:val="1"/>
                <w:color w:val="auto"/>
              </w:rPr>
              <w:t>2019</w:t>
            </w:r>
          </w:p>
        </w:tc>
      </w:tr>
      <w:tr>
        <w:trPr>
          <w:trHeight w:val="151"/>
        </w:trPr>
        <w:tc>
          <w:tcPr>
            <w:tcW w:w="3880" w:type="dxa"/>
            <w:vAlign w:val="bottom"/>
            <w:shd w:val="clear" w:color="auto" w:fill="CCEEFF"/>
          </w:tcPr>
          <w:p>
            <w:pPr>
              <w:ind w:left="20"/>
              <w:spacing w:after="0" w:line="146" w:lineRule="exact"/>
              <w:rPr>
                <w:sz w:val="20"/>
                <w:szCs w:val="20"/>
                <w:color w:val="auto"/>
              </w:rPr>
            </w:pPr>
            <w:r>
              <w:rPr>
                <w:rFonts w:ascii="Arial" w:cs="Arial" w:eastAsia="Arial" w:hAnsi="Arial"/>
                <w:sz w:val="13"/>
                <w:szCs w:val="13"/>
                <w:b w:val="1"/>
                <w:bCs w:val="1"/>
                <w:color w:val="auto"/>
              </w:rPr>
              <w:t>Benefit obligation:</w:t>
            </w:r>
          </w:p>
        </w:tc>
        <w:tc>
          <w:tcPr>
            <w:tcW w:w="7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r>
      <w:tr>
        <w:trPr>
          <w:trHeight w:val="168"/>
        </w:trPr>
        <w:tc>
          <w:tcPr>
            <w:tcW w:w="4620" w:type="dxa"/>
            <w:vAlign w:val="bottom"/>
            <w:gridSpan w:val="2"/>
          </w:tcPr>
          <w:p>
            <w:pPr>
              <w:ind w:left="120"/>
              <w:spacing w:after="0"/>
              <w:rPr>
                <w:sz w:val="20"/>
                <w:szCs w:val="20"/>
                <w:color w:val="auto"/>
              </w:rPr>
            </w:pPr>
            <w:r>
              <w:rPr>
                <w:rFonts w:ascii="Arial" w:cs="Arial" w:eastAsia="Arial" w:hAnsi="Arial"/>
                <w:sz w:val="13"/>
                <w:szCs w:val="13"/>
                <w:color w:val="auto"/>
              </w:rPr>
              <w:t>Discount rate</w:t>
            </w:r>
          </w:p>
        </w:tc>
        <w:tc>
          <w:tcPr>
            <w:tcW w:w="420" w:type="dxa"/>
            <w:vAlign w:val="bottom"/>
          </w:tcPr>
          <w:p>
            <w:pPr>
              <w:jc w:val="right"/>
              <w:spacing w:after="0"/>
              <w:rPr>
                <w:sz w:val="20"/>
                <w:szCs w:val="20"/>
                <w:color w:val="auto"/>
              </w:rPr>
            </w:pPr>
            <w:r>
              <w:rPr>
                <w:rFonts w:ascii="Arial" w:cs="Arial" w:eastAsia="Arial" w:hAnsi="Arial"/>
                <w:sz w:val="13"/>
                <w:szCs w:val="13"/>
                <w:color w:val="auto"/>
                <w:w w:val="93"/>
              </w:rPr>
              <w:t>2.23 %</w:t>
            </w:r>
          </w:p>
        </w:tc>
        <w:tc>
          <w:tcPr>
            <w:tcW w:w="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1.83 %</w:t>
            </w:r>
          </w:p>
        </w:tc>
        <w:tc>
          <w:tcPr>
            <w:tcW w:w="1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2.56 %</w:t>
            </w:r>
          </w:p>
        </w:tc>
        <w:tc>
          <w:tcPr>
            <w:tcW w:w="1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2.38 %</w:t>
            </w:r>
          </w:p>
        </w:tc>
        <w:tc>
          <w:tcPr>
            <w:tcW w:w="1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1.80 %</w:t>
            </w:r>
          </w:p>
        </w:tc>
        <w:tc>
          <w:tcPr>
            <w:tcW w:w="1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2.77 %</w:t>
            </w:r>
          </w:p>
        </w:tc>
      </w:tr>
      <w:tr>
        <w:trPr>
          <w:trHeight w:val="172"/>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Net pension and other postretirement cost:</w:t>
            </w: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r>
      <w:tr>
        <w:trPr>
          <w:trHeight w:val="168"/>
        </w:trPr>
        <w:tc>
          <w:tcPr>
            <w:tcW w:w="4620" w:type="dxa"/>
            <w:vAlign w:val="bottom"/>
            <w:gridSpan w:val="2"/>
          </w:tcPr>
          <w:p>
            <w:pPr>
              <w:ind w:left="120"/>
              <w:spacing w:after="0"/>
              <w:rPr>
                <w:sz w:val="20"/>
                <w:szCs w:val="20"/>
                <w:color w:val="auto"/>
              </w:rPr>
            </w:pPr>
            <w:r>
              <w:rPr>
                <w:rFonts w:ascii="Arial" w:cs="Arial" w:eastAsia="Arial" w:hAnsi="Arial"/>
                <w:sz w:val="13"/>
                <w:szCs w:val="13"/>
                <w:color w:val="auto"/>
              </w:rPr>
              <w:t>Discount rate</w:t>
            </w:r>
          </w:p>
        </w:tc>
        <w:tc>
          <w:tcPr>
            <w:tcW w:w="420" w:type="dxa"/>
            <w:vAlign w:val="bottom"/>
          </w:tcPr>
          <w:p>
            <w:pPr>
              <w:jc w:val="right"/>
              <w:spacing w:after="0"/>
              <w:rPr>
                <w:sz w:val="20"/>
                <w:szCs w:val="20"/>
                <w:color w:val="auto"/>
              </w:rPr>
            </w:pPr>
            <w:r>
              <w:rPr>
                <w:rFonts w:ascii="Arial" w:cs="Arial" w:eastAsia="Arial" w:hAnsi="Arial"/>
                <w:sz w:val="13"/>
                <w:szCs w:val="13"/>
                <w:color w:val="auto"/>
                <w:w w:val="93"/>
              </w:rPr>
              <w:t>2.08 %</w:t>
            </w:r>
          </w:p>
        </w:tc>
        <w:tc>
          <w:tcPr>
            <w:tcW w:w="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2.16 %</w:t>
            </w:r>
          </w:p>
        </w:tc>
        <w:tc>
          <w:tcPr>
            <w:tcW w:w="1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3.10 %</w:t>
            </w:r>
          </w:p>
        </w:tc>
        <w:tc>
          <w:tcPr>
            <w:tcW w:w="1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1.80 %</w:t>
            </w:r>
          </w:p>
        </w:tc>
        <w:tc>
          <w:tcPr>
            <w:tcW w:w="1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2.77 %</w:t>
            </w:r>
          </w:p>
        </w:tc>
        <w:tc>
          <w:tcPr>
            <w:tcW w:w="1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4.07 %</w:t>
            </w:r>
          </w:p>
        </w:tc>
      </w:tr>
      <w:tr>
        <w:trPr>
          <w:trHeight w:val="172"/>
        </w:trPr>
        <w:tc>
          <w:tcPr>
            <w:tcW w:w="462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Expected return on plan assets</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3"/>
              </w:rPr>
              <w:t>3.53 %</w:t>
            </w: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4.34 %</w:t>
            </w: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4.62 %</w:t>
            </w:r>
          </w:p>
        </w:tc>
        <w:tc>
          <w:tcPr>
            <w:tcW w:w="1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NA</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NA</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NA</w:t>
            </w:r>
          </w:p>
        </w:tc>
      </w:tr>
    </w:tbl>
    <w:p>
      <w:pPr>
        <w:spacing w:after="0" w:line="117" w:lineRule="exact"/>
        <w:rPr>
          <w:sz w:val="20"/>
          <w:szCs w:val="20"/>
          <w:color w:val="auto"/>
        </w:rPr>
      </w:pPr>
    </w:p>
    <w:p>
      <w:pPr>
        <w:jc w:val="both"/>
        <w:ind w:firstLine="509"/>
        <w:spacing w:after="0" w:line="276" w:lineRule="auto"/>
        <w:rPr>
          <w:sz w:val="20"/>
          <w:szCs w:val="20"/>
          <w:color w:val="auto"/>
        </w:rPr>
      </w:pPr>
      <w:r>
        <w:rPr>
          <w:rFonts w:ascii="Arial" w:cs="Arial" w:eastAsia="Arial" w:hAnsi="Arial"/>
          <w:sz w:val="13"/>
          <w:szCs w:val="13"/>
          <w:color w:val="auto"/>
        </w:rPr>
        <w:t>The discount rate represents the interest rate used to determine the present value of future cash flows currently expected to be required to settle the Company’s pension and other benefit obligations. The discount rate assumptions used to determine future pension obligations at December 26, 2021 and December 27, 2020 were based on Prudential Financial, Inc.’s (“Prudential”) Pru Above Mean yield curve, which was designed by Prudential to provide a means for plan sponsors to value the liabilities of their postretirement benefit plans. The Pru Above Mean yield curve represents a series of annual discount rates from bonds with an AA minimum average credit quality rating as rated by Moody’s Investor Service, Standard &amp; Poor’s and Fitch Ratings. The expected benefit payments were discounted by each corresponding discount rate on the yield curve. For payments beyond 30 years, the Company extended the curve assuming the discount rate derived in year 30 is extended to the end of the plan’s payment expectations. Once the present value of the string of benefit payments was established, the Company determined the single rate on the yield curve, that when applied to all obligations of the plan, would exactly match the previously determined present value. The discount rate assumptions used to determine future pension obligations for the U.K. pension plans at December 26, 2021 and December 27, 2020 were based on corporate bond spot yield curves provided by Merrill Lynch. Merrill Lynch bases this calculation entirely on AA1-AA3 rated bonds. As part of the evaluation of pension and other postretirement assumptions, the Company applied assumptions for mortality that incorporate generational white and blue collar mortality trends. In determining its benefit obligations, the Company used generational tables that take into consideration increases in plan participant longevity. As of December 26, 2021 and December 27, 2020, the U.S. pension and other postretirement benefit plans used variations of the Pri-2012 mortality table. The MP-2021 and MP-2020 mortality improvement scales were used for 2021 and 2020, respectively. As of December 26, 2021 and December 27, 2020, the U.K. pension plans used variations of the AxC00 mortality table in combination with the CMI_2020 Sk=7.5 and CMI_2019 Sk=7.5 mortality improvement scales for 2021 and 2020, respectively, for pre-retirement employees and the S3PMA mortality table in combination with the CMI_2020 Sk=7.5 and CMI_2019 Sk=7.5 mortality improvement scales for 2021 and 2020, respectively, for postretirement employees.</w:t>
      </w:r>
    </w:p>
    <w:p>
      <w:pPr>
        <w:spacing w:after="0" w:line="97"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4"/>
          <w:szCs w:val="14"/>
          <w:color w:val="auto"/>
        </w:rPr>
        <w:t>The sensitivity of the projected benefit obligation for pension benefits to changes in the discount rate is set out below. The impact of a change in the discount rate of 0.25% on the projected benefit obligation for other benefits is immaterial. This sensitivity analysis is based on changing one assumption while holding all other assumptions constant. In practice, this is unlikely to occur, and changes in some of the assumptions may be correlated. When calculating the sensitivity of the defined benefit obligation to variations in significant actuarial assumptions, the same method (present value of the defined benefit obligation calculated with the projected unit credit method at the end of the reporting period) has been applied as that for calculating the liability recognized in the Consolidated Balance Sheets.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80" w:name="page81"/>
    <w:bookmarkEnd w:id="8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NOTES TO CONSOLIDATED FINANCIAL STATEMENTS</w:t>
      </w:r>
    </w:p>
    <w:p>
      <w:pPr>
        <w:spacing w:after="0" w:line="200" w:lineRule="exact"/>
        <w:rPr>
          <w:sz w:val="20"/>
          <w:szCs w:val="20"/>
          <w:color w:val="auto"/>
        </w:rPr>
      </w:pPr>
    </w:p>
    <w:p>
      <w:pPr>
        <w:spacing w:after="0" w:line="206" w:lineRule="exact"/>
        <w:rPr>
          <w:sz w:val="20"/>
          <w:szCs w:val="20"/>
          <w:color w:val="auto"/>
        </w:rPr>
      </w:pPr>
    </w:p>
    <w:tbl>
      <w:tblPr>
        <w:tblLayout w:type="fixed"/>
        <w:tblInd w:w="20" w:type="dxa"/>
        <w:tblCellMar>
          <w:top w:w="0" w:type="dxa"/>
          <w:left w:w="0" w:type="dxa"/>
          <w:bottom w:w="0" w:type="dxa"/>
          <w:right w:w="0" w:type="dxa"/>
        </w:tblCellMar>
      </w:tblPr>
      <w:tr>
        <w:trPr>
          <w:trHeight w:val="151"/>
        </w:trPr>
        <w:tc>
          <w:tcPr>
            <w:tcW w:w="65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140" w:type="dxa"/>
            <w:vAlign w:val="bottom"/>
            <w:tcBorders>
              <w:bottom w:val="single" w:sz="8" w:color="auto"/>
            </w:tcBorders>
          </w:tcPr>
          <w:p>
            <w:pPr>
              <w:jc w:val="right"/>
              <w:ind w:right="283"/>
              <w:spacing w:after="0"/>
              <w:rPr>
                <w:sz w:val="20"/>
                <w:szCs w:val="20"/>
                <w:color w:val="auto"/>
              </w:rPr>
            </w:pPr>
            <w:r>
              <w:rPr>
                <w:rFonts w:ascii="Arial" w:cs="Arial" w:eastAsia="Arial" w:hAnsi="Arial"/>
                <w:sz w:val="11"/>
                <w:szCs w:val="11"/>
                <w:b w:val="1"/>
                <w:bCs w:val="1"/>
                <w:color w:val="auto"/>
                <w:w w:val="97"/>
              </w:rPr>
              <w:t>Increase in Discount Rate of 0.25%</w:t>
            </w:r>
          </w:p>
        </w:tc>
        <w:tc>
          <w:tcPr>
            <w:tcW w:w="340" w:type="dxa"/>
            <w:vAlign w:val="bottom"/>
            <w:tcBorders>
              <w:bottom w:val="single" w:sz="8" w:color="auto"/>
            </w:tcBorders>
          </w:tcPr>
          <w:p>
            <w:pPr>
              <w:spacing w:after="0"/>
              <w:rPr>
                <w:sz w:val="13"/>
                <w:szCs w:val="13"/>
                <w:color w:val="auto"/>
              </w:rPr>
            </w:pPr>
          </w:p>
        </w:tc>
        <w:tc>
          <w:tcPr>
            <w:tcW w:w="2020" w:type="dxa"/>
            <w:vAlign w:val="bottom"/>
            <w:tcBorders>
              <w:bottom w:val="single" w:sz="8" w:color="auto"/>
            </w:tcBorders>
          </w:tcPr>
          <w:p>
            <w:pPr>
              <w:jc w:val="right"/>
              <w:ind w:right="240"/>
              <w:spacing w:after="0"/>
              <w:rPr>
                <w:sz w:val="20"/>
                <w:szCs w:val="20"/>
                <w:color w:val="auto"/>
              </w:rPr>
            </w:pPr>
            <w:r>
              <w:rPr>
                <w:rFonts w:ascii="Arial" w:cs="Arial" w:eastAsia="Arial" w:hAnsi="Arial"/>
                <w:sz w:val="11"/>
                <w:szCs w:val="11"/>
                <w:b w:val="1"/>
                <w:bCs w:val="1"/>
                <w:color w:val="auto"/>
                <w:w w:val="91"/>
              </w:rPr>
              <w:t>Decrease in Discount Rate of 0.25%</w:t>
            </w:r>
          </w:p>
        </w:tc>
      </w:tr>
      <w:tr>
        <w:trPr>
          <w:trHeight w:val="127"/>
        </w:trPr>
        <w:tc>
          <w:tcPr>
            <w:tcW w:w="6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80" w:type="dxa"/>
            <w:vAlign w:val="bottom"/>
            <w:gridSpan w:val="2"/>
          </w:tcPr>
          <w:p>
            <w:pPr>
              <w:jc w:val="right"/>
              <w:spacing w:after="0"/>
              <w:rPr>
                <w:sz w:val="20"/>
                <w:szCs w:val="20"/>
                <w:color w:val="auto"/>
              </w:rPr>
            </w:pPr>
            <w:r>
              <w:rPr>
                <w:rFonts w:ascii="Arial" w:cs="Arial" w:eastAsia="Arial" w:hAnsi="Arial"/>
                <w:sz w:val="10"/>
                <w:szCs w:val="10"/>
                <w:b w:val="1"/>
                <w:bCs w:val="1"/>
                <w:color w:val="auto"/>
              </w:rPr>
              <w:t>(In thousands)</w:t>
            </w:r>
          </w:p>
        </w:tc>
        <w:tc>
          <w:tcPr>
            <w:tcW w:w="2020" w:type="dxa"/>
            <w:vAlign w:val="bottom"/>
          </w:tcPr>
          <w:p>
            <w:pPr>
              <w:spacing w:after="0"/>
              <w:rPr>
                <w:sz w:val="11"/>
                <w:szCs w:val="11"/>
                <w:color w:val="auto"/>
              </w:rPr>
            </w:pPr>
          </w:p>
        </w:tc>
      </w:tr>
      <w:tr>
        <w:trPr>
          <w:trHeight w:val="176"/>
        </w:trPr>
        <w:tc>
          <w:tcPr>
            <w:tcW w:w="6580" w:type="dxa"/>
            <w:vAlign w:val="bottom"/>
            <w:shd w:val="clear" w:color="auto" w:fill="CCEEFF"/>
          </w:tcPr>
          <w:p>
            <w:pPr>
              <w:spacing w:after="0"/>
              <w:rPr>
                <w:sz w:val="20"/>
                <w:szCs w:val="20"/>
                <w:color w:val="auto"/>
              </w:rPr>
            </w:pPr>
            <w:r>
              <w:rPr>
                <w:rFonts w:ascii="Arial" w:cs="Arial" w:eastAsia="Arial" w:hAnsi="Arial"/>
                <w:sz w:val="13"/>
                <w:szCs w:val="13"/>
                <w:color w:val="auto"/>
              </w:rPr>
              <w:t>Impact on projected benefit obligation for pension benefits</w:t>
            </w: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2140" w:type="dxa"/>
            <w:vAlign w:val="bottom"/>
            <w:shd w:val="clear" w:color="auto" w:fill="CCEEFF"/>
          </w:tcPr>
          <w:p>
            <w:pPr>
              <w:jc w:val="right"/>
              <w:ind w:right="3"/>
              <w:spacing w:after="0"/>
              <w:rPr>
                <w:sz w:val="20"/>
                <w:szCs w:val="20"/>
                <w:color w:val="auto"/>
              </w:rPr>
            </w:pPr>
            <w:r>
              <w:rPr>
                <w:rFonts w:ascii="Arial" w:cs="Arial" w:eastAsia="Arial" w:hAnsi="Arial"/>
                <w:sz w:val="13"/>
                <w:szCs w:val="13"/>
                <w:color w:val="auto"/>
              </w:rPr>
              <w:t>(9,986)</w:t>
            </w:r>
          </w:p>
        </w:tc>
        <w:tc>
          <w:tcPr>
            <w:tcW w:w="34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w:t>
            </w:r>
          </w:p>
        </w:tc>
        <w:tc>
          <w:tcPr>
            <w:tcW w:w="2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10,513</w:t>
            </w:r>
          </w:p>
        </w:tc>
      </w:tr>
    </w:tbl>
    <w:p>
      <w:pPr>
        <w:spacing w:after="0" w:line="117" w:lineRule="exact"/>
        <w:rPr>
          <w:sz w:val="20"/>
          <w:szCs w:val="20"/>
          <w:color w:val="auto"/>
        </w:rPr>
      </w:pPr>
    </w:p>
    <w:p>
      <w:pPr>
        <w:jc w:val="both"/>
        <w:ind w:firstLine="509"/>
        <w:spacing w:after="0" w:line="288" w:lineRule="auto"/>
        <w:rPr>
          <w:sz w:val="20"/>
          <w:szCs w:val="20"/>
          <w:color w:val="auto"/>
        </w:rPr>
      </w:pPr>
      <w:r>
        <w:rPr>
          <w:rFonts w:ascii="Arial" w:cs="Arial" w:eastAsia="Arial" w:hAnsi="Arial"/>
          <w:sz w:val="13"/>
          <w:szCs w:val="13"/>
          <w:color w:val="auto"/>
        </w:rPr>
        <w:t>The expected rate of return on plan assets was primarily based on the determination of an expected return and behaviors for each plan’s current asset portfolio that the Company believes are likely to prevail over long periods. This determination was made using assumptions for return and volatility of the portfolio. Asset class assumptions were set using a combination of empirical and forward-looking analysis. To the extent historical results were affected by unsustainable trends or events, the effects of those trends or events were quantified and removed. The Company also considered anticipated asset allocations, investment strategies and the views of various investment professionals when developing this rate.</w:t>
      </w:r>
    </w:p>
    <w:p>
      <w:pPr>
        <w:spacing w:after="0" w:line="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Plan Assets</w:t>
      </w:r>
    </w:p>
    <w:p>
      <w:pPr>
        <w:spacing w:after="0" w:line="14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following table reflects the pension plans’ actual asset allocations: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8340" w:type="dxa"/>
            <w:vAlign w:val="bottom"/>
            <w:tcBorders>
              <w:bottom w:val="single" w:sz="8" w:color="CCEEFF"/>
            </w:tcBorders>
            <w:gridSpan w:val="4"/>
          </w:tcPr>
          <w:p>
            <w:pPr>
              <w:spacing w:after="0"/>
              <w:rPr>
                <w:sz w:val="13"/>
                <w:szCs w:val="13"/>
                <w:color w:val="auto"/>
              </w:rPr>
            </w:pPr>
          </w:p>
        </w:tc>
        <w:tc>
          <w:tcPr>
            <w:tcW w:w="96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b w:val="1"/>
                <w:bCs w:val="1"/>
                <w:color w:val="auto"/>
              </w:rPr>
              <w:t>2021</w:t>
            </w:r>
          </w:p>
        </w:tc>
        <w:tc>
          <w:tcPr>
            <w:tcW w:w="46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420" w:type="dxa"/>
            <w:vAlign w:val="bottom"/>
            <w:tcBorders>
              <w:bottom w:val="single" w:sz="8" w:color="auto"/>
            </w:tcBorders>
          </w:tcPr>
          <w:p>
            <w:pPr>
              <w:jc w:val="right"/>
              <w:ind w:right="537"/>
              <w:spacing w:after="0"/>
              <w:rPr>
                <w:sz w:val="20"/>
                <w:szCs w:val="20"/>
                <w:color w:val="auto"/>
              </w:rPr>
            </w:pPr>
            <w:r>
              <w:rPr>
                <w:rFonts w:ascii="Arial" w:cs="Arial" w:eastAsia="Arial" w:hAnsi="Arial"/>
                <w:sz w:val="11"/>
                <w:szCs w:val="11"/>
                <w:b w:val="1"/>
                <w:bCs w:val="1"/>
                <w:color w:val="auto"/>
              </w:rPr>
              <w:t>2020</w:t>
            </w:r>
          </w:p>
        </w:tc>
        <w:tc>
          <w:tcPr>
            <w:tcW w:w="0" w:type="dxa"/>
            <w:vAlign w:val="bottom"/>
          </w:tcPr>
          <w:p>
            <w:pPr>
              <w:spacing w:after="0"/>
              <w:rPr>
                <w:sz w:val="1"/>
                <w:szCs w:val="1"/>
                <w:color w:val="auto"/>
              </w:rPr>
            </w:pPr>
          </w:p>
        </w:tc>
      </w:tr>
      <w:tr>
        <w:trPr>
          <w:trHeight w:val="165"/>
        </w:trPr>
        <w:tc>
          <w:tcPr>
            <w:tcW w:w="9300" w:type="dxa"/>
            <w:vAlign w:val="bottom"/>
            <w:gridSpan w:val="5"/>
            <w:shd w:val="clear" w:color="auto" w:fill="CCEEFF"/>
          </w:tcPr>
          <w:p>
            <w:pPr>
              <w:ind w:left="20"/>
              <w:spacing w:after="0"/>
              <w:rPr>
                <w:sz w:val="20"/>
                <w:szCs w:val="20"/>
                <w:color w:val="auto"/>
              </w:rPr>
            </w:pPr>
            <w:r>
              <w:rPr>
                <w:rFonts w:ascii="Arial" w:cs="Arial" w:eastAsia="Arial" w:hAnsi="Arial"/>
                <w:sz w:val="13"/>
                <w:szCs w:val="13"/>
                <w:color w:val="auto"/>
              </w:rPr>
              <w:t>Cash and cash equivalents</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2 %</w:t>
            </w: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1 %</w:t>
            </w:r>
          </w:p>
        </w:tc>
        <w:tc>
          <w:tcPr>
            <w:tcW w:w="0" w:type="dxa"/>
            <w:vAlign w:val="bottom"/>
          </w:tcPr>
          <w:p>
            <w:pPr>
              <w:spacing w:after="0"/>
              <w:rPr>
                <w:sz w:val="1"/>
                <w:szCs w:val="1"/>
                <w:color w:val="auto"/>
              </w:rPr>
            </w:pPr>
          </w:p>
        </w:tc>
      </w:tr>
      <w:tr>
        <w:trPr>
          <w:trHeight w:val="170"/>
        </w:trPr>
        <w:tc>
          <w:tcPr>
            <w:tcW w:w="9300" w:type="dxa"/>
            <w:vAlign w:val="bottom"/>
            <w:gridSpan w:val="5"/>
          </w:tcPr>
          <w:p>
            <w:pPr>
              <w:ind w:left="20"/>
              <w:spacing w:after="0" w:line="170" w:lineRule="exact"/>
              <w:rPr>
                <w:sz w:val="20"/>
                <w:szCs w:val="20"/>
                <w:color w:val="auto"/>
              </w:rPr>
            </w:pPr>
            <w:r>
              <w:rPr>
                <w:rFonts w:ascii="Arial" w:cs="Arial" w:eastAsia="Arial" w:hAnsi="Arial"/>
                <w:sz w:val="13"/>
                <w:szCs w:val="13"/>
                <w:color w:val="auto"/>
              </w:rPr>
              <w:t>Pooled separate accounts for the Union Plan</w:t>
            </w:r>
            <w:r>
              <w:rPr>
                <w:rFonts w:ascii="Arial" w:cs="Arial" w:eastAsia="Arial" w:hAnsi="Arial"/>
                <w:sz w:val="16"/>
                <w:szCs w:val="16"/>
                <w:color w:val="auto"/>
                <w:vertAlign w:val="superscript"/>
              </w:rPr>
              <w:t>(a)</w:t>
            </w:r>
            <w:r>
              <w:rPr>
                <w:rFonts w:ascii="Arial" w:cs="Arial" w:eastAsia="Arial" w:hAnsi="Arial"/>
                <w:sz w:val="13"/>
                <w:szCs w:val="13"/>
                <w:color w:val="auto"/>
              </w:rPr>
              <w:t>:</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9300" w:type="dxa"/>
            <w:vAlign w:val="bottom"/>
            <w:gridSpan w:val="5"/>
            <w:shd w:val="clear" w:color="auto" w:fill="CCEEFF"/>
          </w:tcPr>
          <w:p>
            <w:pPr>
              <w:ind w:left="180"/>
              <w:spacing w:after="0"/>
              <w:rPr>
                <w:sz w:val="20"/>
                <w:szCs w:val="20"/>
                <w:color w:val="auto"/>
              </w:rPr>
            </w:pPr>
            <w:r>
              <w:rPr>
                <w:rFonts w:ascii="Arial" w:cs="Arial" w:eastAsia="Arial" w:hAnsi="Arial"/>
                <w:sz w:val="13"/>
                <w:szCs w:val="13"/>
                <w:color w:val="auto"/>
              </w:rPr>
              <w:t>Equity securities</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2 %</w:t>
            </w: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2 %</w:t>
            </w:r>
          </w:p>
        </w:tc>
        <w:tc>
          <w:tcPr>
            <w:tcW w:w="0" w:type="dxa"/>
            <w:vAlign w:val="bottom"/>
          </w:tcPr>
          <w:p>
            <w:pPr>
              <w:spacing w:after="0"/>
              <w:rPr>
                <w:sz w:val="1"/>
                <w:szCs w:val="1"/>
                <w:color w:val="auto"/>
              </w:rPr>
            </w:pPr>
          </w:p>
        </w:tc>
      </w:tr>
      <w:tr>
        <w:trPr>
          <w:trHeight w:val="168"/>
        </w:trPr>
        <w:tc>
          <w:tcPr>
            <w:tcW w:w="9300" w:type="dxa"/>
            <w:vAlign w:val="bottom"/>
            <w:gridSpan w:val="5"/>
          </w:tcPr>
          <w:p>
            <w:pPr>
              <w:ind w:left="180"/>
              <w:spacing w:after="0"/>
              <w:rPr>
                <w:sz w:val="20"/>
                <w:szCs w:val="20"/>
                <w:color w:val="auto"/>
              </w:rPr>
            </w:pPr>
            <w:r>
              <w:rPr>
                <w:rFonts w:ascii="Arial" w:cs="Arial" w:eastAsia="Arial" w:hAnsi="Arial"/>
                <w:sz w:val="13"/>
                <w:szCs w:val="13"/>
                <w:color w:val="auto"/>
              </w:rPr>
              <w:t>Fixed income securities</w:t>
            </w:r>
          </w:p>
        </w:tc>
        <w:tc>
          <w:tcPr>
            <w:tcW w:w="460" w:type="dxa"/>
            <w:vAlign w:val="bottom"/>
          </w:tcPr>
          <w:p>
            <w:pPr>
              <w:jc w:val="right"/>
              <w:spacing w:after="0"/>
              <w:rPr>
                <w:sz w:val="20"/>
                <w:szCs w:val="20"/>
                <w:color w:val="auto"/>
              </w:rPr>
            </w:pPr>
            <w:r>
              <w:rPr>
                <w:rFonts w:ascii="Arial" w:cs="Arial" w:eastAsia="Arial" w:hAnsi="Arial"/>
                <w:sz w:val="13"/>
                <w:szCs w:val="13"/>
                <w:color w:val="auto"/>
              </w:rPr>
              <w:t>2 %</w:t>
            </w:r>
          </w:p>
        </w:tc>
        <w:tc>
          <w:tcPr>
            <w:tcW w:w="1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2 %</w:t>
            </w:r>
          </w:p>
        </w:tc>
        <w:tc>
          <w:tcPr>
            <w:tcW w:w="0" w:type="dxa"/>
            <w:vAlign w:val="bottom"/>
          </w:tcPr>
          <w:p>
            <w:pPr>
              <w:spacing w:after="0"/>
              <w:rPr>
                <w:sz w:val="1"/>
                <w:szCs w:val="1"/>
                <w:color w:val="auto"/>
              </w:rPr>
            </w:pPr>
          </w:p>
        </w:tc>
      </w:tr>
      <w:tr>
        <w:trPr>
          <w:trHeight w:val="172"/>
        </w:trPr>
        <w:tc>
          <w:tcPr>
            <w:tcW w:w="9300" w:type="dxa"/>
            <w:vAlign w:val="bottom"/>
            <w:gridSpan w:val="5"/>
            <w:shd w:val="clear" w:color="auto" w:fill="CCEEFF"/>
          </w:tcPr>
          <w:p>
            <w:pPr>
              <w:ind w:left="20"/>
              <w:spacing w:after="0" w:line="172" w:lineRule="exact"/>
              <w:rPr>
                <w:sz w:val="20"/>
                <w:szCs w:val="20"/>
                <w:color w:val="auto"/>
              </w:rPr>
            </w:pPr>
            <w:r>
              <w:rPr>
                <w:rFonts w:ascii="Arial" w:cs="Arial" w:eastAsia="Arial" w:hAnsi="Arial"/>
                <w:sz w:val="13"/>
                <w:szCs w:val="13"/>
                <w:color w:val="auto"/>
              </w:rPr>
              <w:t>Pooled separate accounts and common collective trust funds for the GK Pension Plan</w:t>
            </w:r>
            <w:r>
              <w:rPr>
                <w:rFonts w:ascii="Arial" w:cs="Arial" w:eastAsia="Arial" w:hAnsi="Arial"/>
                <w:sz w:val="16"/>
                <w:szCs w:val="16"/>
                <w:color w:val="auto"/>
                <w:vertAlign w:val="superscript"/>
              </w:rPr>
              <w:t>(a)</w:t>
            </w:r>
            <w:r>
              <w:rPr>
                <w:rFonts w:ascii="Arial" w:cs="Arial" w:eastAsia="Arial" w:hAnsi="Arial"/>
                <w:sz w:val="13"/>
                <w:szCs w:val="13"/>
                <w:color w:val="auto"/>
              </w:rPr>
              <w:t>:</w:t>
            </w: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9300" w:type="dxa"/>
            <w:vAlign w:val="bottom"/>
            <w:gridSpan w:val="5"/>
          </w:tcPr>
          <w:p>
            <w:pPr>
              <w:ind w:left="180"/>
              <w:spacing w:after="0"/>
              <w:rPr>
                <w:sz w:val="20"/>
                <w:szCs w:val="20"/>
                <w:color w:val="auto"/>
              </w:rPr>
            </w:pPr>
            <w:r>
              <w:rPr>
                <w:rFonts w:ascii="Arial" w:cs="Arial" w:eastAsia="Arial" w:hAnsi="Arial"/>
                <w:sz w:val="13"/>
                <w:szCs w:val="13"/>
                <w:color w:val="auto"/>
              </w:rPr>
              <w:t>Equity securities</w:t>
            </w:r>
          </w:p>
        </w:tc>
        <w:tc>
          <w:tcPr>
            <w:tcW w:w="460" w:type="dxa"/>
            <w:vAlign w:val="bottom"/>
          </w:tcPr>
          <w:p>
            <w:pPr>
              <w:jc w:val="right"/>
              <w:spacing w:after="0"/>
              <w:rPr>
                <w:sz w:val="20"/>
                <w:szCs w:val="20"/>
                <w:color w:val="auto"/>
              </w:rPr>
            </w:pPr>
            <w:r>
              <w:rPr>
                <w:rFonts w:ascii="Arial" w:cs="Arial" w:eastAsia="Arial" w:hAnsi="Arial"/>
                <w:sz w:val="13"/>
                <w:szCs w:val="13"/>
                <w:color w:val="auto"/>
              </w:rPr>
              <w:t>19 %</w:t>
            </w:r>
          </w:p>
        </w:tc>
        <w:tc>
          <w:tcPr>
            <w:tcW w:w="1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20 %</w:t>
            </w:r>
          </w:p>
        </w:tc>
        <w:tc>
          <w:tcPr>
            <w:tcW w:w="0" w:type="dxa"/>
            <w:vAlign w:val="bottom"/>
          </w:tcPr>
          <w:p>
            <w:pPr>
              <w:spacing w:after="0"/>
              <w:rPr>
                <w:sz w:val="1"/>
                <w:szCs w:val="1"/>
                <w:color w:val="auto"/>
              </w:rPr>
            </w:pPr>
          </w:p>
        </w:tc>
      </w:tr>
      <w:tr>
        <w:trPr>
          <w:trHeight w:val="172"/>
        </w:trPr>
        <w:tc>
          <w:tcPr>
            <w:tcW w:w="9300" w:type="dxa"/>
            <w:vAlign w:val="bottom"/>
            <w:gridSpan w:val="5"/>
            <w:shd w:val="clear" w:color="auto" w:fill="CCEEFF"/>
          </w:tcPr>
          <w:p>
            <w:pPr>
              <w:ind w:left="180"/>
              <w:spacing w:after="0"/>
              <w:rPr>
                <w:sz w:val="20"/>
                <w:szCs w:val="20"/>
                <w:color w:val="auto"/>
              </w:rPr>
            </w:pPr>
            <w:r>
              <w:rPr>
                <w:rFonts w:ascii="Arial" w:cs="Arial" w:eastAsia="Arial" w:hAnsi="Arial"/>
                <w:sz w:val="13"/>
                <w:szCs w:val="13"/>
                <w:color w:val="auto"/>
              </w:rPr>
              <w:t>Fixed income securities</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12 %</w:t>
            </w: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13 %</w:t>
            </w:r>
          </w:p>
        </w:tc>
        <w:tc>
          <w:tcPr>
            <w:tcW w:w="0" w:type="dxa"/>
            <w:vAlign w:val="bottom"/>
          </w:tcPr>
          <w:p>
            <w:pPr>
              <w:spacing w:after="0"/>
              <w:rPr>
                <w:sz w:val="1"/>
                <w:szCs w:val="1"/>
                <w:color w:val="auto"/>
              </w:rPr>
            </w:pPr>
          </w:p>
        </w:tc>
      </w:tr>
      <w:tr>
        <w:trPr>
          <w:trHeight w:val="168"/>
        </w:trPr>
        <w:tc>
          <w:tcPr>
            <w:tcW w:w="9300" w:type="dxa"/>
            <w:vAlign w:val="bottom"/>
            <w:gridSpan w:val="5"/>
          </w:tcPr>
          <w:p>
            <w:pPr>
              <w:ind w:left="180"/>
              <w:spacing w:after="0"/>
              <w:rPr>
                <w:sz w:val="20"/>
                <w:szCs w:val="20"/>
                <w:color w:val="auto"/>
              </w:rPr>
            </w:pPr>
            <w:r>
              <w:rPr>
                <w:rFonts w:ascii="Arial" w:cs="Arial" w:eastAsia="Arial" w:hAnsi="Arial"/>
                <w:sz w:val="13"/>
                <w:szCs w:val="13"/>
                <w:color w:val="auto"/>
              </w:rPr>
              <w:t>Real estate</w:t>
            </w:r>
          </w:p>
        </w:tc>
        <w:tc>
          <w:tcPr>
            <w:tcW w:w="460" w:type="dxa"/>
            <w:vAlign w:val="bottom"/>
          </w:tcPr>
          <w:p>
            <w:pPr>
              <w:jc w:val="right"/>
              <w:spacing w:after="0"/>
              <w:rPr>
                <w:sz w:val="20"/>
                <w:szCs w:val="20"/>
                <w:color w:val="auto"/>
              </w:rPr>
            </w:pPr>
            <w:r>
              <w:rPr>
                <w:rFonts w:ascii="Arial" w:cs="Arial" w:eastAsia="Arial" w:hAnsi="Arial"/>
                <w:sz w:val="13"/>
                <w:szCs w:val="13"/>
                <w:color w:val="auto"/>
              </w:rPr>
              <w:t>1 %</w:t>
            </w:r>
          </w:p>
        </w:tc>
        <w:tc>
          <w:tcPr>
            <w:tcW w:w="1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1 %</w:t>
            </w:r>
          </w:p>
        </w:tc>
        <w:tc>
          <w:tcPr>
            <w:tcW w:w="0" w:type="dxa"/>
            <w:vAlign w:val="bottom"/>
          </w:tcPr>
          <w:p>
            <w:pPr>
              <w:spacing w:after="0"/>
              <w:rPr>
                <w:sz w:val="1"/>
                <w:szCs w:val="1"/>
                <w:color w:val="auto"/>
              </w:rPr>
            </w:pPr>
          </w:p>
        </w:tc>
      </w:tr>
      <w:tr>
        <w:trPr>
          <w:trHeight w:val="111"/>
        </w:trPr>
        <w:tc>
          <w:tcPr>
            <w:tcW w:w="226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w w:val="86"/>
                <w:shd w:val="clear" w:color="auto" w:fill="CCEEFF"/>
              </w:rPr>
              <w:t>Pooled separate accounts for the U.K. Plans</w:t>
            </w:r>
          </w:p>
        </w:tc>
        <w:tc>
          <w:tcPr>
            <w:tcW w:w="80" w:type="dxa"/>
            <w:vAlign w:val="bottom"/>
            <w:shd w:val="clear" w:color="auto" w:fill="CCEEFF"/>
          </w:tcPr>
          <w:p>
            <w:pPr>
              <w:spacing w:after="0"/>
              <w:rPr>
                <w:sz w:val="20"/>
                <w:szCs w:val="20"/>
                <w:color w:val="auto"/>
              </w:rPr>
            </w:pPr>
            <w:r>
              <w:rPr>
                <w:rFonts w:ascii="Arial" w:cs="Arial" w:eastAsia="Arial" w:hAnsi="Arial"/>
                <w:sz w:val="6"/>
                <w:szCs w:val="6"/>
                <w:color w:val="auto"/>
                <w:w w:val="81"/>
                <w:shd w:val="clear" w:color="auto" w:fill="CCEEFF"/>
              </w:rPr>
              <w:t>(a)</w:t>
            </w:r>
          </w:p>
        </w:tc>
        <w:tc>
          <w:tcPr>
            <w:tcW w:w="4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w w:val="70"/>
                <w:shd w:val="clear" w:color="auto" w:fill="CCEEFF"/>
              </w:rPr>
              <w:t>:</w:t>
            </w:r>
          </w:p>
        </w:tc>
        <w:tc>
          <w:tcPr>
            <w:tcW w:w="6920" w:type="dxa"/>
            <w:vAlign w:val="bottom"/>
            <w:gridSpan w:val="2"/>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260" w:type="dxa"/>
            <w:vAlign w:val="bottom"/>
            <w:vMerge w:val="continue"/>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40" w:type="dxa"/>
            <w:vAlign w:val="bottom"/>
            <w:vMerge w:val="continue"/>
            <w:shd w:val="clear" w:color="auto" w:fill="CCEEFF"/>
          </w:tcPr>
          <w:p>
            <w:pPr>
              <w:spacing w:after="0"/>
              <w:rPr>
                <w:sz w:val="5"/>
                <w:szCs w:val="5"/>
                <w:color w:val="auto"/>
              </w:rPr>
            </w:pPr>
          </w:p>
        </w:tc>
        <w:tc>
          <w:tcPr>
            <w:tcW w:w="596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68"/>
        </w:trPr>
        <w:tc>
          <w:tcPr>
            <w:tcW w:w="9300" w:type="dxa"/>
            <w:vAlign w:val="bottom"/>
            <w:gridSpan w:val="5"/>
          </w:tcPr>
          <w:p>
            <w:pPr>
              <w:ind w:left="180"/>
              <w:spacing w:after="0"/>
              <w:rPr>
                <w:sz w:val="20"/>
                <w:szCs w:val="20"/>
                <w:color w:val="auto"/>
              </w:rPr>
            </w:pPr>
            <w:r>
              <w:rPr>
                <w:rFonts w:ascii="Arial" w:cs="Arial" w:eastAsia="Arial" w:hAnsi="Arial"/>
                <w:sz w:val="13"/>
                <w:szCs w:val="13"/>
                <w:color w:val="auto"/>
              </w:rPr>
              <w:t>Equity securities</w:t>
            </w:r>
          </w:p>
        </w:tc>
        <w:tc>
          <w:tcPr>
            <w:tcW w:w="460" w:type="dxa"/>
            <w:vAlign w:val="bottom"/>
          </w:tcPr>
          <w:p>
            <w:pPr>
              <w:jc w:val="right"/>
              <w:spacing w:after="0"/>
              <w:rPr>
                <w:sz w:val="20"/>
                <w:szCs w:val="20"/>
                <w:color w:val="auto"/>
              </w:rPr>
            </w:pPr>
            <w:r>
              <w:rPr>
                <w:rFonts w:ascii="Arial" w:cs="Arial" w:eastAsia="Arial" w:hAnsi="Arial"/>
                <w:sz w:val="13"/>
                <w:szCs w:val="13"/>
                <w:color w:val="auto"/>
              </w:rPr>
              <w:t>37 %</w:t>
            </w:r>
          </w:p>
        </w:tc>
        <w:tc>
          <w:tcPr>
            <w:tcW w:w="1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35 %</w:t>
            </w:r>
          </w:p>
        </w:tc>
        <w:tc>
          <w:tcPr>
            <w:tcW w:w="0" w:type="dxa"/>
            <w:vAlign w:val="bottom"/>
          </w:tcPr>
          <w:p>
            <w:pPr>
              <w:spacing w:after="0"/>
              <w:rPr>
                <w:sz w:val="1"/>
                <w:szCs w:val="1"/>
                <w:color w:val="auto"/>
              </w:rPr>
            </w:pPr>
          </w:p>
        </w:tc>
      </w:tr>
      <w:tr>
        <w:trPr>
          <w:trHeight w:val="172"/>
        </w:trPr>
        <w:tc>
          <w:tcPr>
            <w:tcW w:w="9300" w:type="dxa"/>
            <w:vAlign w:val="bottom"/>
            <w:gridSpan w:val="5"/>
            <w:shd w:val="clear" w:color="auto" w:fill="CCEEFF"/>
          </w:tcPr>
          <w:p>
            <w:pPr>
              <w:ind w:left="180"/>
              <w:spacing w:after="0"/>
              <w:rPr>
                <w:sz w:val="20"/>
                <w:szCs w:val="20"/>
                <w:color w:val="auto"/>
              </w:rPr>
            </w:pPr>
            <w:r>
              <w:rPr>
                <w:rFonts w:ascii="Arial" w:cs="Arial" w:eastAsia="Arial" w:hAnsi="Arial"/>
                <w:sz w:val="13"/>
                <w:szCs w:val="13"/>
                <w:color w:val="auto"/>
              </w:rPr>
              <w:t>Fixed income funds</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19 %</w:t>
            </w: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20 %</w:t>
            </w:r>
          </w:p>
        </w:tc>
        <w:tc>
          <w:tcPr>
            <w:tcW w:w="0" w:type="dxa"/>
            <w:vAlign w:val="bottom"/>
          </w:tcPr>
          <w:p>
            <w:pPr>
              <w:spacing w:after="0"/>
              <w:rPr>
                <w:sz w:val="1"/>
                <w:szCs w:val="1"/>
                <w:color w:val="auto"/>
              </w:rPr>
            </w:pPr>
          </w:p>
        </w:tc>
      </w:tr>
      <w:tr>
        <w:trPr>
          <w:trHeight w:val="168"/>
        </w:trPr>
        <w:tc>
          <w:tcPr>
            <w:tcW w:w="8340" w:type="dxa"/>
            <w:vAlign w:val="bottom"/>
            <w:tcBorders>
              <w:bottom w:val="single" w:sz="8" w:color="CCEEFF"/>
            </w:tcBorders>
            <w:gridSpan w:val="4"/>
          </w:tcPr>
          <w:p>
            <w:pPr>
              <w:ind w:left="180"/>
              <w:spacing w:after="0"/>
              <w:rPr>
                <w:sz w:val="20"/>
                <w:szCs w:val="20"/>
                <w:color w:val="auto"/>
              </w:rPr>
            </w:pPr>
            <w:r>
              <w:rPr>
                <w:rFonts w:ascii="Arial" w:cs="Arial" w:eastAsia="Arial" w:hAnsi="Arial"/>
                <w:sz w:val="13"/>
                <w:szCs w:val="13"/>
                <w:color w:val="auto"/>
              </w:rPr>
              <w:t>Real estate</w:t>
            </w:r>
          </w:p>
        </w:tc>
        <w:tc>
          <w:tcPr>
            <w:tcW w:w="9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6 %</w:t>
            </w:r>
          </w:p>
        </w:tc>
        <w:tc>
          <w:tcPr>
            <w:tcW w:w="100" w:type="dxa"/>
            <w:vAlign w:val="bottom"/>
            <w:tcBorders>
              <w:bottom w:val="single" w:sz="8" w:color="CCEEFF"/>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6 %</w:t>
            </w:r>
          </w:p>
        </w:tc>
        <w:tc>
          <w:tcPr>
            <w:tcW w:w="0" w:type="dxa"/>
            <w:vAlign w:val="bottom"/>
          </w:tcPr>
          <w:p>
            <w:pPr>
              <w:spacing w:after="0"/>
              <w:rPr>
                <w:sz w:val="1"/>
                <w:szCs w:val="1"/>
                <w:color w:val="auto"/>
              </w:rPr>
            </w:pPr>
          </w:p>
        </w:tc>
      </w:tr>
      <w:tr>
        <w:trPr>
          <w:trHeight w:val="183"/>
        </w:trPr>
        <w:tc>
          <w:tcPr>
            <w:tcW w:w="9300" w:type="dxa"/>
            <w:vAlign w:val="bottom"/>
            <w:gridSpan w:val="5"/>
            <w:shd w:val="clear" w:color="auto" w:fill="CCEEFF"/>
          </w:tcPr>
          <w:p>
            <w:pPr>
              <w:ind w:left="20"/>
              <w:spacing w:after="0"/>
              <w:rPr>
                <w:sz w:val="20"/>
                <w:szCs w:val="20"/>
                <w:color w:val="auto"/>
              </w:rPr>
            </w:pPr>
            <w:r>
              <w:rPr>
                <w:rFonts w:ascii="Arial" w:cs="Arial" w:eastAsia="Arial" w:hAnsi="Arial"/>
                <w:sz w:val="13"/>
                <w:szCs w:val="13"/>
                <w:color w:val="auto"/>
              </w:rPr>
              <w:t>Total assets</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100 %</w:t>
            </w:r>
          </w:p>
        </w:tc>
        <w:tc>
          <w:tcPr>
            <w:tcW w:w="10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100 %</w:t>
            </w:r>
          </w:p>
        </w:tc>
        <w:tc>
          <w:tcPr>
            <w:tcW w:w="0" w:type="dxa"/>
            <w:vAlign w:val="bottom"/>
          </w:tcPr>
          <w:p>
            <w:pPr>
              <w:spacing w:after="0"/>
              <w:rPr>
                <w:sz w:val="1"/>
                <w:szCs w:val="1"/>
                <w:color w:val="auto"/>
              </w:rPr>
            </w:pPr>
          </w:p>
        </w:tc>
      </w:tr>
      <w:tr>
        <w:trPr>
          <w:trHeight w:val="20"/>
        </w:trPr>
        <w:tc>
          <w:tcPr>
            <w:tcW w:w="2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59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9" w:lineRule="exact"/>
        <w:rPr>
          <w:sz w:val="20"/>
          <w:szCs w:val="20"/>
          <w:color w:val="auto"/>
        </w:rPr>
      </w:pPr>
    </w:p>
    <w:p>
      <w:pPr>
        <w:ind w:left="520" w:hanging="515"/>
        <w:spacing w:after="0" w:line="253" w:lineRule="auto"/>
        <w:tabs>
          <w:tab w:leader="none" w:pos="259" w:val="left"/>
        </w:tabs>
        <w:numPr>
          <w:ilvl w:val="0"/>
          <w:numId w:val="33"/>
        </w:numPr>
        <w:rPr>
          <w:rFonts w:ascii="Arial" w:cs="Arial" w:eastAsia="Arial" w:hAnsi="Arial"/>
          <w:sz w:val="11"/>
          <w:szCs w:val="11"/>
          <w:color w:val="auto"/>
        </w:rPr>
      </w:pPr>
      <w:r>
        <w:rPr>
          <w:rFonts w:ascii="Arial" w:cs="Arial" w:eastAsia="Arial" w:hAnsi="Arial"/>
          <w:sz w:val="11"/>
          <w:szCs w:val="11"/>
          <w:color w:val="auto"/>
        </w:rPr>
        <w:t>Pooled separate accounts (“PSAs”) and common collective trust funds (“CCTs”) are two of the most common types of alternative vehicles in which benefit plans invest. These investments are pooled funds that look like mutual funds, but they are not registered with the SEC. Often times, they will be invested in mutual funds or other marketable securities, but the unit price generally will be different from the value of the underlying securities because the fund may also hold cash for liquidity purposes, and the fees imposed by the fund are deducted from the fund value rather than charged separately to investors. Some PSAs and CCTs have no restrictions as to their investment strategy and can invest in riskier investments, such as derivatives, hedge funds, private equity funds, or similar investments.</w:t>
      </w:r>
    </w:p>
    <w:p>
      <w:pPr>
        <w:spacing w:after="0" w:line="108" w:lineRule="exact"/>
        <w:rPr>
          <w:sz w:val="20"/>
          <w:szCs w:val="20"/>
          <w:color w:val="auto"/>
        </w:rPr>
      </w:pPr>
    </w:p>
    <w:p>
      <w:pPr>
        <w:jc w:val="both"/>
        <w:ind w:firstLine="509"/>
        <w:spacing w:after="0" w:line="284" w:lineRule="auto"/>
        <w:rPr>
          <w:sz w:val="20"/>
          <w:szCs w:val="20"/>
          <w:color w:val="auto"/>
        </w:rPr>
      </w:pPr>
      <w:r>
        <w:rPr>
          <w:rFonts w:ascii="Arial" w:cs="Arial" w:eastAsia="Arial" w:hAnsi="Arial"/>
          <w:sz w:val="13"/>
          <w:szCs w:val="13"/>
          <w:color w:val="auto"/>
        </w:rPr>
        <w:t>Absent regulatory or statutory limitations, the target asset allocation for the investment of pension assets in the PSAs for the Union Plan is 50% in each of fixed income securities and equity securities, the target asset allocation for the investment of pension assets in the PSAs and/or CCTs for the GK Pension Plan is 35% in fixed income securities, 60% in equity securities and 5% in real estate and investment of pension assets in the PSAs for the U.K. Plans is 28% in equity-linked liability driven investments, 11% in liability driven investments, 36% in equity securities, 15% in cash and 10% in real estate. The plans only invest in fixed income and equity instruments for which there is a readily available public market. The Company develops its expected long-term rate of return assumptions based on the historical rates of returns for equity and fixed income securities of the type in which its plans invest.</w:t>
      </w:r>
    </w:p>
    <w:p>
      <w:pPr>
        <w:spacing w:after="0" w:line="9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fair value measurements of plan assets fell into the following levels of the fair value hierarchy as of December 26, 2021 and December 27, 2020:</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81" w:name="page82"/>
    <w:bookmarkEnd w:id="8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NOTES TO CONSOLIDATED FINANCIAL STATEMENTS</w:t>
      </w:r>
    </w:p>
    <w:p>
      <w:pPr>
        <w:spacing w:after="0" w:line="200" w:lineRule="exact"/>
        <w:rPr>
          <w:sz w:val="20"/>
          <w:szCs w:val="20"/>
          <w:color w:val="auto"/>
        </w:rPr>
      </w:pPr>
    </w:p>
    <w:p>
      <w:pPr>
        <w:spacing w:after="0" w:line="206" w:lineRule="exact"/>
        <w:rPr>
          <w:sz w:val="20"/>
          <w:szCs w:val="20"/>
          <w:color w:val="auto"/>
        </w:rPr>
      </w:pPr>
    </w:p>
    <w:tbl>
      <w:tblPr>
        <w:tblLayout w:type="fixed"/>
        <w:tblInd w:w="20" w:type="dxa"/>
        <w:tblCellMar>
          <w:top w:w="0" w:type="dxa"/>
          <w:left w:w="0" w:type="dxa"/>
          <w:bottom w:w="0" w:type="dxa"/>
          <w:right w:w="0" w:type="dxa"/>
        </w:tblCellMar>
      </w:tblPr>
      <w:tr>
        <w:trPr>
          <w:trHeight w:val="151"/>
        </w:trPr>
        <w:tc>
          <w:tcPr>
            <w:tcW w:w="35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3"/>
          </w:tcPr>
          <w:p>
            <w:pPr>
              <w:jc w:val="right"/>
              <w:ind w:right="56"/>
              <w:spacing w:after="0"/>
              <w:rPr>
                <w:sz w:val="20"/>
                <w:szCs w:val="20"/>
                <w:color w:val="auto"/>
              </w:rPr>
            </w:pPr>
            <w:r>
              <w:rPr>
                <w:rFonts w:ascii="Arial" w:cs="Arial" w:eastAsia="Arial" w:hAnsi="Arial"/>
                <w:sz w:val="11"/>
                <w:szCs w:val="11"/>
                <w:b w:val="1"/>
                <w:bCs w:val="1"/>
                <w:color w:val="auto"/>
              </w:rPr>
              <w:t>2021</w:t>
            </w:r>
          </w:p>
        </w:tc>
        <w:tc>
          <w:tcPr>
            <w:tcW w:w="7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3"/>
          </w:tcPr>
          <w:p>
            <w:pPr>
              <w:jc w:val="right"/>
              <w:ind w:right="16"/>
              <w:spacing w:after="0"/>
              <w:rPr>
                <w:sz w:val="20"/>
                <w:szCs w:val="20"/>
                <w:color w:val="auto"/>
              </w:rPr>
            </w:pPr>
            <w:r>
              <w:rPr>
                <w:rFonts w:ascii="Arial" w:cs="Arial" w:eastAsia="Arial" w:hAnsi="Arial"/>
                <w:sz w:val="11"/>
                <w:szCs w:val="11"/>
                <w:b w:val="1"/>
                <w:bCs w:val="1"/>
                <w:color w:val="auto"/>
              </w:rPr>
              <w:t>2020</w:t>
            </w:r>
          </w:p>
        </w:tc>
        <w:tc>
          <w:tcPr>
            <w:tcW w:w="7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r>
      <w:tr>
        <w:trPr>
          <w:trHeight w:val="143"/>
        </w:trPr>
        <w:tc>
          <w:tcPr>
            <w:tcW w:w="35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2"/>
          </w:tcPr>
          <w:p>
            <w:pPr>
              <w:ind w:left="80"/>
              <w:spacing w:after="0" w:line="143" w:lineRule="exact"/>
              <w:rPr>
                <w:sz w:val="20"/>
                <w:szCs w:val="20"/>
                <w:color w:val="auto"/>
              </w:rPr>
            </w:pPr>
            <w:r>
              <w:rPr>
                <w:rFonts w:ascii="Arial" w:cs="Arial" w:eastAsia="Arial" w:hAnsi="Arial"/>
                <w:sz w:val="11"/>
                <w:szCs w:val="11"/>
                <w:b w:val="1"/>
                <w:bCs w:val="1"/>
                <w:color w:val="auto"/>
              </w:rPr>
              <w:t>Level 1</w:t>
            </w:r>
            <w:r>
              <w:rPr>
                <w:rFonts w:ascii="Arial" w:cs="Arial" w:eastAsia="Arial" w:hAnsi="Arial"/>
                <w:sz w:val="14"/>
                <w:szCs w:val="14"/>
                <w:b w:val="1"/>
                <w:bCs w:val="1"/>
                <w:color w:val="auto"/>
                <w:vertAlign w:val="superscript"/>
              </w:rPr>
              <w:t>(a)</w:t>
            </w:r>
          </w:p>
        </w:tc>
        <w:tc>
          <w:tcPr>
            <w:tcW w:w="1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2"/>
          </w:tcPr>
          <w:p>
            <w:pPr>
              <w:ind w:left="100"/>
              <w:spacing w:after="0" w:line="143" w:lineRule="exact"/>
              <w:rPr>
                <w:sz w:val="20"/>
                <w:szCs w:val="20"/>
                <w:color w:val="auto"/>
              </w:rPr>
            </w:pPr>
            <w:r>
              <w:rPr>
                <w:rFonts w:ascii="Arial" w:cs="Arial" w:eastAsia="Arial" w:hAnsi="Arial"/>
                <w:sz w:val="11"/>
                <w:szCs w:val="11"/>
                <w:b w:val="1"/>
                <w:bCs w:val="1"/>
                <w:color w:val="auto"/>
              </w:rPr>
              <w:t>Level 2</w:t>
            </w:r>
            <w:r>
              <w:rPr>
                <w:rFonts w:ascii="Arial" w:cs="Arial" w:eastAsia="Arial" w:hAnsi="Arial"/>
                <w:sz w:val="14"/>
                <w:szCs w:val="14"/>
                <w:b w:val="1"/>
                <w:bCs w:val="1"/>
                <w:color w:val="auto"/>
                <w:vertAlign w:val="superscript"/>
              </w:rPr>
              <w:t>(b)</w:t>
            </w: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2"/>
          </w:tcPr>
          <w:p>
            <w:pPr>
              <w:ind w:left="80"/>
              <w:spacing w:after="0" w:line="143" w:lineRule="exact"/>
              <w:rPr>
                <w:sz w:val="20"/>
                <w:szCs w:val="20"/>
                <w:color w:val="auto"/>
              </w:rPr>
            </w:pPr>
            <w:r>
              <w:rPr>
                <w:rFonts w:ascii="Arial" w:cs="Arial" w:eastAsia="Arial" w:hAnsi="Arial"/>
                <w:sz w:val="11"/>
                <w:szCs w:val="11"/>
                <w:b w:val="1"/>
                <w:bCs w:val="1"/>
                <w:color w:val="auto"/>
              </w:rPr>
              <w:t>Level 3</w:t>
            </w:r>
            <w:r>
              <w:rPr>
                <w:rFonts w:ascii="Arial" w:cs="Arial" w:eastAsia="Arial" w:hAnsi="Arial"/>
                <w:sz w:val="14"/>
                <w:szCs w:val="14"/>
                <w:b w:val="1"/>
                <w:bCs w:val="1"/>
                <w:color w:val="auto"/>
                <w:vertAlign w:val="superscript"/>
              </w:rPr>
              <w:t>(c)</w:t>
            </w: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58"/>
              <w:spacing w:after="0"/>
              <w:rPr>
                <w:sz w:val="20"/>
                <w:szCs w:val="20"/>
                <w:color w:val="auto"/>
              </w:rPr>
            </w:pPr>
            <w:r>
              <w:rPr>
                <w:rFonts w:ascii="Arial" w:cs="Arial" w:eastAsia="Arial" w:hAnsi="Arial"/>
                <w:sz w:val="11"/>
                <w:szCs w:val="11"/>
                <w:b w:val="1"/>
                <w:bCs w:val="1"/>
                <w:color w:val="auto"/>
              </w:rPr>
              <w:t>Total</w:t>
            </w:r>
          </w:p>
        </w:tc>
        <w:tc>
          <w:tcPr>
            <w:tcW w:w="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2"/>
          </w:tcPr>
          <w:p>
            <w:pPr>
              <w:ind w:left="60"/>
              <w:spacing w:after="0" w:line="143" w:lineRule="exact"/>
              <w:rPr>
                <w:sz w:val="20"/>
                <w:szCs w:val="20"/>
                <w:color w:val="auto"/>
              </w:rPr>
            </w:pPr>
            <w:r>
              <w:rPr>
                <w:rFonts w:ascii="Arial" w:cs="Arial" w:eastAsia="Arial" w:hAnsi="Arial"/>
                <w:sz w:val="11"/>
                <w:szCs w:val="11"/>
                <w:b w:val="1"/>
                <w:bCs w:val="1"/>
                <w:color w:val="auto"/>
              </w:rPr>
              <w:t>Level 1</w:t>
            </w:r>
            <w:r>
              <w:rPr>
                <w:rFonts w:ascii="Arial" w:cs="Arial" w:eastAsia="Arial" w:hAnsi="Arial"/>
                <w:sz w:val="14"/>
                <w:szCs w:val="14"/>
                <w:b w:val="1"/>
                <w:bCs w:val="1"/>
                <w:color w:val="auto"/>
                <w:vertAlign w:val="superscript"/>
              </w:rPr>
              <w:t>(a)</w:t>
            </w: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2"/>
          </w:tcPr>
          <w:p>
            <w:pPr>
              <w:ind w:left="60"/>
              <w:spacing w:after="0" w:line="143" w:lineRule="exact"/>
              <w:rPr>
                <w:sz w:val="20"/>
                <w:szCs w:val="20"/>
                <w:color w:val="auto"/>
              </w:rPr>
            </w:pPr>
            <w:r>
              <w:rPr>
                <w:rFonts w:ascii="Arial" w:cs="Arial" w:eastAsia="Arial" w:hAnsi="Arial"/>
                <w:sz w:val="11"/>
                <w:szCs w:val="11"/>
                <w:b w:val="1"/>
                <w:bCs w:val="1"/>
                <w:color w:val="auto"/>
              </w:rPr>
              <w:t>Level 2</w:t>
            </w:r>
            <w:r>
              <w:rPr>
                <w:rFonts w:ascii="Arial" w:cs="Arial" w:eastAsia="Arial" w:hAnsi="Arial"/>
                <w:sz w:val="14"/>
                <w:szCs w:val="14"/>
                <w:b w:val="1"/>
                <w:bCs w:val="1"/>
                <w:color w:val="auto"/>
                <w:vertAlign w:val="superscript"/>
              </w:rPr>
              <w:t>(b)</w:t>
            </w: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2"/>
          </w:tcPr>
          <w:p>
            <w:pPr>
              <w:ind w:left="80"/>
              <w:spacing w:after="0" w:line="143" w:lineRule="exact"/>
              <w:rPr>
                <w:sz w:val="20"/>
                <w:szCs w:val="20"/>
                <w:color w:val="auto"/>
              </w:rPr>
            </w:pPr>
            <w:r>
              <w:rPr>
                <w:rFonts w:ascii="Arial" w:cs="Arial" w:eastAsia="Arial" w:hAnsi="Arial"/>
                <w:sz w:val="11"/>
                <w:szCs w:val="11"/>
                <w:b w:val="1"/>
                <w:bCs w:val="1"/>
                <w:color w:val="auto"/>
              </w:rPr>
              <w:t>Level 3</w:t>
            </w:r>
            <w:r>
              <w:rPr>
                <w:rFonts w:ascii="Arial" w:cs="Arial" w:eastAsia="Arial" w:hAnsi="Arial"/>
                <w:sz w:val="14"/>
                <w:szCs w:val="14"/>
                <w:b w:val="1"/>
                <w:bCs w:val="1"/>
                <w:color w:val="auto"/>
                <w:vertAlign w:val="superscript"/>
              </w:rPr>
              <w:t>(c)</w:t>
            </w: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57"/>
              <w:spacing w:after="0"/>
              <w:rPr>
                <w:sz w:val="20"/>
                <w:szCs w:val="20"/>
                <w:color w:val="auto"/>
              </w:rPr>
            </w:pPr>
            <w:r>
              <w:rPr>
                <w:rFonts w:ascii="Arial" w:cs="Arial" w:eastAsia="Arial" w:hAnsi="Arial"/>
                <w:sz w:val="11"/>
                <w:szCs w:val="11"/>
                <w:b w:val="1"/>
                <w:bCs w:val="1"/>
                <w:color w:val="auto"/>
              </w:rPr>
              <w:t>Total</w:t>
            </w:r>
          </w:p>
        </w:tc>
      </w:tr>
      <w:tr>
        <w:trPr>
          <w:trHeight w:val="123"/>
        </w:trPr>
        <w:tc>
          <w:tcPr>
            <w:tcW w:w="3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740" w:type="dxa"/>
            <w:vAlign w:val="bottom"/>
            <w:gridSpan w:val="5"/>
          </w:tcPr>
          <w:p>
            <w:pPr>
              <w:ind w:left="380"/>
              <w:spacing w:after="0"/>
              <w:rPr>
                <w:sz w:val="20"/>
                <w:szCs w:val="20"/>
                <w:color w:val="auto"/>
              </w:rPr>
            </w:pPr>
            <w:r>
              <w:rPr>
                <w:rFonts w:ascii="Arial" w:cs="Arial" w:eastAsia="Arial" w:hAnsi="Arial"/>
                <w:sz w:val="10"/>
                <w:szCs w:val="10"/>
                <w:b w:val="1"/>
                <w:bCs w:val="1"/>
                <w:color w:val="auto"/>
              </w:rPr>
              <w:t>(In thousands)</w:t>
            </w: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r>
      <w:tr>
        <w:trPr>
          <w:trHeight w:val="176"/>
        </w:trPr>
        <w:tc>
          <w:tcPr>
            <w:tcW w:w="3560" w:type="dxa"/>
            <w:vAlign w:val="bottom"/>
            <w:shd w:val="clear" w:color="auto" w:fill="CCEEFF"/>
          </w:tcPr>
          <w:p>
            <w:pPr>
              <w:spacing w:after="0"/>
              <w:rPr>
                <w:sz w:val="20"/>
                <w:szCs w:val="20"/>
                <w:color w:val="auto"/>
              </w:rPr>
            </w:pPr>
            <w:r>
              <w:rPr>
                <w:rFonts w:ascii="Arial" w:cs="Arial" w:eastAsia="Arial" w:hAnsi="Arial"/>
                <w:sz w:val="13"/>
                <w:szCs w:val="13"/>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6,166</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6,166</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1,487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1,487</w:t>
            </w:r>
          </w:p>
        </w:tc>
      </w:tr>
      <w:tr>
        <w:trPr>
          <w:trHeight w:val="168"/>
        </w:trPr>
        <w:tc>
          <w:tcPr>
            <w:tcW w:w="3560" w:type="dxa"/>
            <w:vAlign w:val="bottom"/>
          </w:tcPr>
          <w:p>
            <w:pPr>
              <w:spacing w:after="0"/>
              <w:rPr>
                <w:sz w:val="20"/>
                <w:szCs w:val="20"/>
                <w:color w:val="auto"/>
              </w:rPr>
            </w:pPr>
            <w:r>
              <w:rPr>
                <w:rFonts w:ascii="Arial" w:cs="Arial" w:eastAsia="Arial" w:hAnsi="Arial"/>
                <w:sz w:val="13"/>
                <w:szCs w:val="13"/>
                <w:color w:val="auto"/>
              </w:rPr>
              <w:t>PSAs for the Union Plan:</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2"/>
        </w:trPr>
        <w:tc>
          <w:tcPr>
            <w:tcW w:w="3560" w:type="dxa"/>
            <w:vAlign w:val="bottom"/>
            <w:shd w:val="clear" w:color="auto" w:fill="CCEEFF"/>
          </w:tcPr>
          <w:p>
            <w:pPr>
              <w:ind w:left="160"/>
              <w:spacing w:after="0" w:line="172" w:lineRule="exact"/>
              <w:rPr>
                <w:sz w:val="20"/>
                <w:szCs w:val="20"/>
                <w:color w:val="auto"/>
              </w:rPr>
            </w:pPr>
            <w:r>
              <w:rPr>
                <w:rFonts w:ascii="Arial" w:cs="Arial" w:eastAsia="Arial" w:hAnsi="Arial"/>
                <w:sz w:val="13"/>
                <w:szCs w:val="13"/>
                <w:color w:val="auto"/>
              </w:rPr>
              <w:t>Large U.S. equity funds</w:t>
            </w:r>
            <w:r>
              <w:rPr>
                <w:rFonts w:ascii="Arial" w:cs="Arial" w:eastAsia="Arial" w:hAnsi="Arial"/>
                <w:sz w:val="16"/>
                <w:szCs w:val="16"/>
                <w:color w:val="auto"/>
                <w:vertAlign w:val="superscript"/>
              </w:rPr>
              <w:t>(d)</w:t>
            </w: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2,595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2,595</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3,100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3,100</w:t>
            </w:r>
          </w:p>
        </w:tc>
      </w:tr>
      <w:tr>
        <w:trPr>
          <w:trHeight w:val="170"/>
        </w:trPr>
        <w:tc>
          <w:tcPr>
            <w:tcW w:w="3560" w:type="dxa"/>
            <w:vAlign w:val="bottom"/>
          </w:tcPr>
          <w:p>
            <w:pPr>
              <w:ind w:left="160"/>
              <w:spacing w:after="0" w:line="170" w:lineRule="exact"/>
              <w:rPr>
                <w:sz w:val="20"/>
                <w:szCs w:val="20"/>
                <w:color w:val="auto"/>
              </w:rPr>
            </w:pPr>
            <w:r>
              <w:rPr>
                <w:rFonts w:ascii="Arial" w:cs="Arial" w:eastAsia="Arial" w:hAnsi="Arial"/>
                <w:sz w:val="13"/>
                <w:szCs w:val="13"/>
                <w:color w:val="auto"/>
              </w:rPr>
              <w:t>Small/Mid U.S. equity funds</w:t>
            </w:r>
            <w:r>
              <w:rPr>
                <w:rFonts w:ascii="Arial" w:cs="Arial" w:eastAsia="Arial" w:hAnsi="Arial"/>
                <w:sz w:val="16"/>
                <w:szCs w:val="16"/>
                <w:color w:val="auto"/>
                <w:vertAlign w:val="superscript"/>
              </w:rPr>
              <w:t>(e)</w:t>
            </w:r>
          </w:p>
        </w:tc>
        <w:tc>
          <w:tcPr>
            <w:tcW w:w="14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1,338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ind w:left="5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1,338</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392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ind w:left="5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392</w:t>
            </w:r>
          </w:p>
        </w:tc>
      </w:tr>
      <w:tr>
        <w:trPr>
          <w:trHeight w:val="170"/>
        </w:trPr>
        <w:tc>
          <w:tcPr>
            <w:tcW w:w="3560" w:type="dxa"/>
            <w:vAlign w:val="bottom"/>
            <w:shd w:val="clear" w:color="auto" w:fill="CCEEFF"/>
          </w:tcPr>
          <w:p>
            <w:pPr>
              <w:ind w:left="160"/>
              <w:spacing w:after="0" w:line="170" w:lineRule="exact"/>
              <w:rPr>
                <w:sz w:val="20"/>
                <w:szCs w:val="20"/>
                <w:color w:val="auto"/>
              </w:rPr>
            </w:pPr>
            <w:r>
              <w:rPr>
                <w:rFonts w:ascii="Arial" w:cs="Arial" w:eastAsia="Arial" w:hAnsi="Arial"/>
                <w:sz w:val="13"/>
                <w:szCs w:val="13"/>
                <w:color w:val="auto"/>
              </w:rPr>
              <w:t>International equity funds</w:t>
            </w:r>
            <w:r>
              <w:rPr>
                <w:rFonts w:ascii="Arial" w:cs="Arial" w:eastAsia="Arial" w:hAnsi="Arial"/>
                <w:sz w:val="16"/>
                <w:szCs w:val="16"/>
                <w:color w:val="auto"/>
                <w:vertAlign w:val="superscript"/>
              </w:rPr>
              <w:t>(f)</w:t>
            </w: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1,954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1,954</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1,874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1,874</w:t>
            </w:r>
          </w:p>
        </w:tc>
      </w:tr>
      <w:tr>
        <w:trPr>
          <w:trHeight w:val="170"/>
        </w:trPr>
        <w:tc>
          <w:tcPr>
            <w:tcW w:w="3560" w:type="dxa"/>
            <w:vAlign w:val="bottom"/>
          </w:tcPr>
          <w:p>
            <w:pPr>
              <w:ind w:left="160"/>
              <w:spacing w:after="0" w:line="170" w:lineRule="exact"/>
              <w:rPr>
                <w:sz w:val="20"/>
                <w:szCs w:val="20"/>
                <w:color w:val="auto"/>
              </w:rPr>
            </w:pPr>
            <w:r>
              <w:rPr>
                <w:rFonts w:ascii="Arial" w:cs="Arial" w:eastAsia="Arial" w:hAnsi="Arial"/>
                <w:sz w:val="13"/>
                <w:szCs w:val="13"/>
                <w:color w:val="auto"/>
              </w:rPr>
              <w:t>Fixed income funds</w:t>
            </w:r>
            <w:r>
              <w:rPr>
                <w:rFonts w:ascii="Arial" w:cs="Arial" w:eastAsia="Arial" w:hAnsi="Arial"/>
                <w:sz w:val="16"/>
                <w:szCs w:val="16"/>
                <w:color w:val="auto"/>
                <w:vertAlign w:val="superscript"/>
              </w:rPr>
              <w:t>(g)</w:t>
            </w:r>
          </w:p>
        </w:tc>
        <w:tc>
          <w:tcPr>
            <w:tcW w:w="14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5,186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ind w:left="5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5,186</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5,365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ind w:left="5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5,365</w:t>
            </w:r>
          </w:p>
        </w:tc>
      </w:tr>
      <w:tr>
        <w:trPr>
          <w:trHeight w:val="170"/>
        </w:trPr>
        <w:tc>
          <w:tcPr>
            <w:tcW w:w="3560" w:type="dxa"/>
            <w:vAlign w:val="bottom"/>
            <w:shd w:val="clear" w:color="auto" w:fill="CCEEFF"/>
          </w:tcPr>
          <w:p>
            <w:pPr>
              <w:spacing w:after="0"/>
              <w:rPr>
                <w:sz w:val="20"/>
                <w:szCs w:val="20"/>
                <w:color w:val="auto"/>
              </w:rPr>
            </w:pPr>
            <w:r>
              <w:rPr>
                <w:rFonts w:ascii="Arial" w:cs="Arial" w:eastAsia="Arial" w:hAnsi="Arial"/>
                <w:sz w:val="13"/>
                <w:szCs w:val="13"/>
                <w:color w:val="auto"/>
              </w:rPr>
              <w:t>PSAs and CCTs for the GK Pension Plan:</w:t>
            </w: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r>
      <w:tr>
        <w:trPr>
          <w:trHeight w:val="170"/>
        </w:trPr>
        <w:tc>
          <w:tcPr>
            <w:tcW w:w="3560" w:type="dxa"/>
            <w:vAlign w:val="bottom"/>
          </w:tcPr>
          <w:p>
            <w:pPr>
              <w:ind w:left="160"/>
              <w:spacing w:after="0" w:line="170" w:lineRule="exact"/>
              <w:rPr>
                <w:sz w:val="20"/>
                <w:szCs w:val="20"/>
                <w:color w:val="auto"/>
              </w:rPr>
            </w:pPr>
            <w:r>
              <w:rPr>
                <w:rFonts w:ascii="Arial" w:cs="Arial" w:eastAsia="Arial" w:hAnsi="Arial"/>
                <w:sz w:val="13"/>
                <w:szCs w:val="13"/>
                <w:color w:val="auto"/>
              </w:rPr>
              <w:t>Large U.S. equity funds</w:t>
            </w:r>
            <w:r>
              <w:rPr>
                <w:rFonts w:ascii="Arial" w:cs="Arial" w:eastAsia="Arial" w:hAnsi="Arial"/>
                <w:sz w:val="16"/>
                <w:szCs w:val="16"/>
                <w:color w:val="auto"/>
                <w:vertAlign w:val="superscript"/>
              </w:rPr>
              <w:t>(d)</w:t>
            </w:r>
          </w:p>
        </w:tc>
        <w:tc>
          <w:tcPr>
            <w:tcW w:w="14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31,960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ind w:left="5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31,960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29,602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ind w:left="5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29,602</w:t>
            </w:r>
          </w:p>
        </w:tc>
      </w:tr>
      <w:tr>
        <w:trPr>
          <w:trHeight w:val="170"/>
        </w:trPr>
        <w:tc>
          <w:tcPr>
            <w:tcW w:w="3560" w:type="dxa"/>
            <w:vAlign w:val="bottom"/>
            <w:shd w:val="clear" w:color="auto" w:fill="CCEEFF"/>
          </w:tcPr>
          <w:p>
            <w:pPr>
              <w:ind w:left="160"/>
              <w:spacing w:after="0" w:line="170" w:lineRule="exact"/>
              <w:rPr>
                <w:sz w:val="20"/>
                <w:szCs w:val="20"/>
                <w:color w:val="auto"/>
              </w:rPr>
            </w:pPr>
            <w:r>
              <w:rPr>
                <w:rFonts w:ascii="Arial" w:cs="Arial" w:eastAsia="Arial" w:hAnsi="Arial"/>
                <w:sz w:val="13"/>
                <w:szCs w:val="13"/>
                <w:color w:val="auto"/>
              </w:rPr>
              <w:t>Small/Mid U.S. equity funds</w:t>
            </w:r>
            <w:r>
              <w:rPr>
                <w:rFonts w:ascii="Arial" w:cs="Arial" w:eastAsia="Arial" w:hAnsi="Arial"/>
                <w:sz w:val="16"/>
                <w:szCs w:val="16"/>
                <w:color w:val="auto"/>
                <w:vertAlign w:val="superscript"/>
              </w:rPr>
              <w:t>(e)</w:t>
            </w: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16,232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16,232</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17,569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17,569</w:t>
            </w:r>
          </w:p>
        </w:tc>
      </w:tr>
      <w:tr>
        <w:trPr>
          <w:trHeight w:val="170"/>
        </w:trPr>
        <w:tc>
          <w:tcPr>
            <w:tcW w:w="3560" w:type="dxa"/>
            <w:vAlign w:val="bottom"/>
          </w:tcPr>
          <w:p>
            <w:pPr>
              <w:ind w:left="160"/>
              <w:spacing w:after="0" w:line="170" w:lineRule="exact"/>
              <w:rPr>
                <w:sz w:val="20"/>
                <w:szCs w:val="20"/>
                <w:color w:val="auto"/>
              </w:rPr>
            </w:pPr>
            <w:r>
              <w:rPr>
                <w:rFonts w:ascii="Arial" w:cs="Arial" w:eastAsia="Arial" w:hAnsi="Arial"/>
                <w:sz w:val="13"/>
                <w:szCs w:val="13"/>
                <w:color w:val="auto"/>
              </w:rPr>
              <w:t>International equity funds</w:t>
            </w:r>
            <w:r>
              <w:rPr>
                <w:rFonts w:ascii="Arial" w:cs="Arial" w:eastAsia="Arial" w:hAnsi="Arial"/>
                <w:sz w:val="16"/>
                <w:szCs w:val="16"/>
                <w:color w:val="auto"/>
                <w:vertAlign w:val="superscript"/>
              </w:rPr>
              <w:t>(f)</w:t>
            </w:r>
          </w:p>
        </w:tc>
        <w:tc>
          <w:tcPr>
            <w:tcW w:w="14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15,710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ind w:left="5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15,710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16,320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ind w:left="5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16,320</w:t>
            </w:r>
          </w:p>
        </w:tc>
      </w:tr>
      <w:tr>
        <w:trPr>
          <w:trHeight w:val="170"/>
        </w:trPr>
        <w:tc>
          <w:tcPr>
            <w:tcW w:w="3560" w:type="dxa"/>
            <w:vAlign w:val="bottom"/>
            <w:shd w:val="clear" w:color="auto" w:fill="CCEEFF"/>
          </w:tcPr>
          <w:p>
            <w:pPr>
              <w:ind w:left="160"/>
              <w:spacing w:after="0" w:line="170" w:lineRule="exact"/>
              <w:rPr>
                <w:sz w:val="20"/>
                <w:szCs w:val="20"/>
                <w:color w:val="auto"/>
              </w:rPr>
            </w:pPr>
            <w:r>
              <w:rPr>
                <w:rFonts w:ascii="Arial" w:cs="Arial" w:eastAsia="Arial" w:hAnsi="Arial"/>
                <w:sz w:val="13"/>
                <w:szCs w:val="13"/>
                <w:color w:val="auto"/>
              </w:rPr>
              <w:t>Fixed income funds</w:t>
            </w:r>
            <w:r>
              <w:rPr>
                <w:rFonts w:ascii="Arial" w:cs="Arial" w:eastAsia="Arial" w:hAnsi="Arial"/>
                <w:sz w:val="16"/>
                <w:szCs w:val="16"/>
                <w:color w:val="auto"/>
                <w:vertAlign w:val="superscript"/>
              </w:rPr>
              <w:t>(g)</w:t>
            </w: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40,470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40,470</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38,944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38,944</w:t>
            </w:r>
          </w:p>
        </w:tc>
      </w:tr>
      <w:tr>
        <w:trPr>
          <w:trHeight w:val="170"/>
        </w:trPr>
        <w:tc>
          <w:tcPr>
            <w:tcW w:w="3560" w:type="dxa"/>
            <w:vAlign w:val="bottom"/>
          </w:tcPr>
          <w:p>
            <w:pPr>
              <w:ind w:left="160"/>
              <w:spacing w:after="0" w:line="170" w:lineRule="exact"/>
              <w:rPr>
                <w:sz w:val="20"/>
                <w:szCs w:val="20"/>
                <w:color w:val="auto"/>
              </w:rPr>
            </w:pPr>
            <w:r>
              <w:rPr>
                <w:rFonts w:ascii="Arial" w:cs="Arial" w:eastAsia="Arial" w:hAnsi="Arial"/>
                <w:sz w:val="13"/>
                <w:szCs w:val="13"/>
                <w:color w:val="auto"/>
              </w:rPr>
              <w:t>Real estate</w:t>
            </w:r>
            <w:r>
              <w:rPr>
                <w:rFonts w:ascii="Arial" w:cs="Arial" w:eastAsia="Arial" w:hAnsi="Arial"/>
                <w:sz w:val="16"/>
                <w:szCs w:val="16"/>
                <w:color w:val="auto"/>
                <w:vertAlign w:val="superscript"/>
              </w:rPr>
              <w:t>(h)</w:t>
            </w:r>
          </w:p>
        </w:tc>
        <w:tc>
          <w:tcPr>
            <w:tcW w:w="14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5,405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ind w:left="5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5,405</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5,677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ind w:left="5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5,677</w:t>
            </w:r>
          </w:p>
        </w:tc>
      </w:tr>
      <w:tr>
        <w:trPr>
          <w:trHeight w:val="170"/>
        </w:trPr>
        <w:tc>
          <w:tcPr>
            <w:tcW w:w="35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PSAs for the U.K. Plans:</w:t>
            </w: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r>
      <w:tr>
        <w:trPr>
          <w:trHeight w:val="170"/>
        </w:trPr>
        <w:tc>
          <w:tcPr>
            <w:tcW w:w="3560" w:type="dxa"/>
            <w:vAlign w:val="bottom"/>
          </w:tcPr>
          <w:p>
            <w:pPr>
              <w:ind w:left="160"/>
              <w:spacing w:after="0" w:line="170" w:lineRule="exact"/>
              <w:rPr>
                <w:sz w:val="20"/>
                <w:szCs w:val="20"/>
                <w:color w:val="auto"/>
              </w:rPr>
            </w:pPr>
            <w:r>
              <w:rPr>
                <w:rFonts w:ascii="Arial" w:cs="Arial" w:eastAsia="Arial" w:hAnsi="Arial"/>
                <w:sz w:val="13"/>
                <w:szCs w:val="13"/>
                <w:color w:val="auto"/>
              </w:rPr>
              <w:t>Large U.S. equity funds</w:t>
            </w:r>
            <w:r>
              <w:rPr>
                <w:rFonts w:ascii="Arial" w:cs="Arial" w:eastAsia="Arial" w:hAnsi="Arial"/>
                <w:sz w:val="16"/>
                <w:szCs w:val="16"/>
                <w:color w:val="auto"/>
                <w:vertAlign w:val="superscript"/>
              </w:rPr>
              <w:t>(d)</w:t>
            </w:r>
          </w:p>
        </w:tc>
        <w:tc>
          <w:tcPr>
            <w:tcW w:w="14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47,995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ind w:left="5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47,995</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39,002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ind w:left="5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39,002</w:t>
            </w:r>
          </w:p>
        </w:tc>
      </w:tr>
      <w:tr>
        <w:trPr>
          <w:trHeight w:val="170"/>
        </w:trPr>
        <w:tc>
          <w:tcPr>
            <w:tcW w:w="3560" w:type="dxa"/>
            <w:vAlign w:val="bottom"/>
            <w:shd w:val="clear" w:color="auto" w:fill="CCEEFF"/>
          </w:tcPr>
          <w:p>
            <w:pPr>
              <w:ind w:left="160"/>
              <w:spacing w:after="0" w:line="170" w:lineRule="exact"/>
              <w:rPr>
                <w:sz w:val="20"/>
                <w:szCs w:val="20"/>
                <w:color w:val="auto"/>
              </w:rPr>
            </w:pPr>
            <w:r>
              <w:rPr>
                <w:rFonts w:ascii="Arial" w:cs="Arial" w:eastAsia="Arial" w:hAnsi="Arial"/>
                <w:sz w:val="13"/>
                <w:szCs w:val="13"/>
                <w:color w:val="auto"/>
              </w:rPr>
              <w:t>International equity funds</w:t>
            </w:r>
            <w:r>
              <w:rPr>
                <w:rFonts w:ascii="Arial" w:cs="Arial" w:eastAsia="Arial" w:hAnsi="Arial"/>
                <w:sz w:val="16"/>
                <w:szCs w:val="16"/>
                <w:color w:val="auto"/>
                <w:vertAlign w:val="superscript"/>
              </w:rPr>
              <w:t>(f)</w:t>
            </w: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71,883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71,883</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69,251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69,251</w:t>
            </w:r>
          </w:p>
        </w:tc>
      </w:tr>
      <w:tr>
        <w:trPr>
          <w:trHeight w:val="170"/>
        </w:trPr>
        <w:tc>
          <w:tcPr>
            <w:tcW w:w="3560" w:type="dxa"/>
            <w:vAlign w:val="bottom"/>
          </w:tcPr>
          <w:p>
            <w:pPr>
              <w:ind w:left="160"/>
              <w:spacing w:after="0" w:line="170" w:lineRule="exact"/>
              <w:rPr>
                <w:sz w:val="20"/>
                <w:szCs w:val="20"/>
                <w:color w:val="auto"/>
              </w:rPr>
            </w:pPr>
            <w:r>
              <w:rPr>
                <w:rFonts w:ascii="Arial" w:cs="Arial" w:eastAsia="Arial" w:hAnsi="Arial"/>
                <w:sz w:val="13"/>
                <w:szCs w:val="13"/>
                <w:color w:val="auto"/>
              </w:rPr>
              <w:t>Fixed income funds</w:t>
            </w:r>
            <w:r>
              <w:rPr>
                <w:rFonts w:ascii="Arial" w:cs="Arial" w:eastAsia="Arial" w:hAnsi="Arial"/>
                <w:sz w:val="16"/>
                <w:szCs w:val="16"/>
                <w:color w:val="auto"/>
                <w:vertAlign w:val="superscript"/>
              </w:rPr>
              <w:t>(e)</w:t>
            </w:r>
          </w:p>
        </w:tc>
        <w:tc>
          <w:tcPr>
            <w:tcW w:w="14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60,914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ind w:left="5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60,914</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60,212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ind w:left="5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60,212</w:t>
            </w:r>
          </w:p>
        </w:tc>
      </w:tr>
      <w:tr>
        <w:trPr>
          <w:trHeight w:val="170"/>
        </w:trPr>
        <w:tc>
          <w:tcPr>
            <w:tcW w:w="3560" w:type="dxa"/>
            <w:vAlign w:val="bottom"/>
            <w:shd w:val="clear" w:color="auto" w:fill="CCEEFF"/>
          </w:tcPr>
          <w:p>
            <w:pPr>
              <w:ind w:left="160"/>
              <w:spacing w:after="0" w:line="170" w:lineRule="exact"/>
              <w:rPr>
                <w:sz w:val="20"/>
                <w:szCs w:val="20"/>
                <w:color w:val="auto"/>
              </w:rPr>
            </w:pPr>
            <w:r>
              <w:rPr>
                <w:rFonts w:ascii="Arial" w:cs="Arial" w:eastAsia="Arial" w:hAnsi="Arial"/>
                <w:sz w:val="13"/>
                <w:szCs w:val="13"/>
                <w:color w:val="auto"/>
              </w:rPr>
              <w:t>Real estate</w:t>
            </w:r>
            <w:r>
              <w:rPr>
                <w:rFonts w:ascii="Arial" w:cs="Arial" w:eastAsia="Arial" w:hAnsi="Arial"/>
                <w:sz w:val="16"/>
                <w:szCs w:val="16"/>
                <w:color w:val="auto"/>
                <w:vertAlign w:val="superscript"/>
              </w:rPr>
              <w:t>(h)</w:t>
            </w:r>
          </w:p>
        </w:tc>
        <w:tc>
          <w:tcPr>
            <w:tcW w:w="14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18,601</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18,601</w:t>
            </w: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17,188</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17,188</w:t>
            </w:r>
          </w:p>
        </w:tc>
      </w:tr>
      <w:tr>
        <w:trPr>
          <w:trHeight w:val="158"/>
        </w:trPr>
        <w:tc>
          <w:tcPr>
            <w:tcW w:w="3560" w:type="dxa"/>
            <w:vAlign w:val="bottom"/>
          </w:tcPr>
          <w:p>
            <w:pPr>
              <w:ind w:left="260"/>
              <w:spacing w:after="0" w:line="146" w:lineRule="exact"/>
              <w:rPr>
                <w:sz w:val="20"/>
                <w:szCs w:val="20"/>
                <w:color w:val="auto"/>
              </w:rPr>
            </w:pPr>
            <w:r>
              <w:rPr>
                <w:rFonts w:ascii="Arial" w:cs="Arial" w:eastAsia="Arial" w:hAnsi="Arial"/>
                <w:sz w:val="13"/>
                <w:szCs w:val="13"/>
                <w:color w:val="auto"/>
              </w:rPr>
              <w:t>Total assets</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6,166</w:t>
            </w:r>
          </w:p>
        </w:tc>
        <w:tc>
          <w:tcPr>
            <w:tcW w:w="80" w:type="dxa"/>
            <w:vAlign w:val="bottom"/>
          </w:tcPr>
          <w:p>
            <w:pPr>
              <w:spacing w:after="0"/>
              <w:rPr>
                <w:sz w:val="13"/>
                <w:szCs w:val="13"/>
                <w:color w:val="auto"/>
              </w:rPr>
            </w:pPr>
          </w:p>
        </w:tc>
        <w:tc>
          <w:tcPr>
            <w:tcW w:w="160" w:type="dxa"/>
            <w:vAlign w:val="bottom"/>
          </w:tcPr>
          <w:p>
            <w:pPr>
              <w:jc w:val="right"/>
              <w:ind w:right="16"/>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320,243</w:t>
            </w:r>
          </w:p>
        </w:tc>
        <w:tc>
          <w:tcPr>
            <w:tcW w:w="10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tcPr>
          <w:p>
            <w:pPr>
              <w:ind w:left="54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326,409</w:t>
            </w:r>
          </w:p>
        </w:tc>
        <w:tc>
          <w:tcPr>
            <w:tcW w:w="80" w:type="dxa"/>
            <w:vAlign w:val="bottom"/>
          </w:tcPr>
          <w:p>
            <w:pPr>
              <w:spacing w:after="0"/>
              <w:rPr>
                <w:sz w:val="13"/>
                <w:szCs w:val="13"/>
                <w:color w:val="auto"/>
              </w:rPr>
            </w:pPr>
          </w:p>
        </w:tc>
        <w:tc>
          <w:tcPr>
            <w:tcW w:w="160" w:type="dxa"/>
            <w:vAlign w:val="bottom"/>
          </w:tcPr>
          <w:p>
            <w:pPr>
              <w:jc w:val="right"/>
              <w:ind w:right="16"/>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1,487</w:t>
            </w:r>
          </w:p>
        </w:tc>
        <w:tc>
          <w:tcPr>
            <w:tcW w:w="100" w:type="dxa"/>
            <w:vAlign w:val="bottom"/>
          </w:tcPr>
          <w:p>
            <w:pPr>
              <w:spacing w:after="0"/>
              <w:rPr>
                <w:sz w:val="13"/>
                <w:szCs w:val="13"/>
                <w:color w:val="auto"/>
              </w:rPr>
            </w:pP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304,496</w:t>
            </w:r>
          </w:p>
        </w:tc>
        <w:tc>
          <w:tcPr>
            <w:tcW w:w="10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tcPr>
          <w:p>
            <w:pPr>
              <w:ind w:left="54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305,983</w:t>
            </w:r>
          </w:p>
        </w:tc>
      </w:tr>
      <w:tr>
        <w:trPr>
          <w:trHeight w:val="20"/>
        </w:trPr>
        <w:tc>
          <w:tcPr>
            <w:tcW w:w="3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48" w:lineRule="exact"/>
        <w:rPr>
          <w:sz w:val="20"/>
          <w:szCs w:val="20"/>
          <w:color w:val="auto"/>
        </w:rPr>
      </w:pPr>
    </w:p>
    <w:p>
      <w:pPr>
        <w:ind w:left="240" w:hanging="235"/>
        <w:spacing w:after="0"/>
        <w:tabs>
          <w:tab w:leader="none" w:pos="240" w:val="left"/>
        </w:tabs>
        <w:numPr>
          <w:ilvl w:val="0"/>
          <w:numId w:val="34"/>
        </w:numPr>
        <w:rPr>
          <w:rFonts w:ascii="Arial" w:cs="Arial" w:eastAsia="Arial" w:hAnsi="Arial"/>
          <w:sz w:val="11"/>
          <w:szCs w:val="11"/>
          <w:color w:val="auto"/>
        </w:rPr>
      </w:pPr>
      <w:r>
        <w:rPr>
          <w:rFonts w:ascii="Arial" w:cs="Arial" w:eastAsia="Arial" w:hAnsi="Arial"/>
          <w:sz w:val="11"/>
          <w:szCs w:val="11"/>
          <w:color w:val="auto"/>
        </w:rPr>
        <w:t>Unadjusted quoted prices in active markets for identical assets are used to determine fair value.</w:t>
      </w:r>
    </w:p>
    <w:p>
      <w:pPr>
        <w:spacing w:after="0" w:line="10" w:lineRule="exact"/>
        <w:rPr>
          <w:rFonts w:ascii="Arial" w:cs="Arial" w:eastAsia="Arial" w:hAnsi="Arial"/>
          <w:sz w:val="11"/>
          <w:szCs w:val="11"/>
          <w:color w:val="auto"/>
        </w:rPr>
      </w:pPr>
    </w:p>
    <w:p>
      <w:pPr>
        <w:ind w:left="240" w:hanging="235"/>
        <w:spacing w:after="0"/>
        <w:tabs>
          <w:tab w:leader="none" w:pos="240" w:val="left"/>
        </w:tabs>
        <w:numPr>
          <w:ilvl w:val="0"/>
          <w:numId w:val="34"/>
        </w:numPr>
        <w:rPr>
          <w:rFonts w:ascii="Arial" w:cs="Arial" w:eastAsia="Arial" w:hAnsi="Arial"/>
          <w:sz w:val="11"/>
          <w:szCs w:val="11"/>
          <w:color w:val="auto"/>
        </w:rPr>
      </w:pPr>
      <w:r>
        <w:rPr>
          <w:rFonts w:ascii="Arial" w:cs="Arial" w:eastAsia="Arial" w:hAnsi="Arial"/>
          <w:sz w:val="11"/>
          <w:szCs w:val="11"/>
          <w:color w:val="auto"/>
        </w:rPr>
        <w:t>Quoted prices in active markets for similar assets and inputs that are observable for the asset are used to determine fair value.</w:t>
      </w:r>
    </w:p>
    <w:p>
      <w:pPr>
        <w:ind w:left="240" w:hanging="235"/>
        <w:spacing w:after="0"/>
        <w:tabs>
          <w:tab w:leader="none" w:pos="240" w:val="left"/>
        </w:tabs>
        <w:numPr>
          <w:ilvl w:val="0"/>
          <w:numId w:val="34"/>
        </w:numPr>
        <w:rPr>
          <w:rFonts w:ascii="Arial" w:cs="Arial" w:eastAsia="Arial" w:hAnsi="Arial"/>
          <w:sz w:val="11"/>
          <w:szCs w:val="11"/>
          <w:color w:val="auto"/>
        </w:rPr>
      </w:pPr>
      <w:r>
        <w:rPr>
          <w:rFonts w:ascii="Arial" w:cs="Arial" w:eastAsia="Arial" w:hAnsi="Arial"/>
          <w:sz w:val="11"/>
          <w:szCs w:val="11"/>
          <w:color w:val="auto"/>
        </w:rPr>
        <w:t>Unobservable inputs, such as discounted cash flow models or valuations, are used to determine fair value.</w:t>
      </w:r>
    </w:p>
    <w:p>
      <w:pPr>
        <w:ind w:left="520" w:hanging="515"/>
        <w:spacing w:after="0" w:line="241" w:lineRule="auto"/>
        <w:tabs>
          <w:tab w:leader="none" w:pos="268" w:val="left"/>
        </w:tabs>
        <w:numPr>
          <w:ilvl w:val="0"/>
          <w:numId w:val="34"/>
        </w:numPr>
        <w:rPr>
          <w:rFonts w:ascii="Arial" w:cs="Arial" w:eastAsia="Arial" w:hAnsi="Arial"/>
          <w:sz w:val="11"/>
          <w:szCs w:val="11"/>
          <w:color w:val="auto"/>
        </w:rPr>
      </w:pPr>
      <w:r>
        <w:rPr>
          <w:rFonts w:ascii="Arial" w:cs="Arial" w:eastAsia="Arial" w:hAnsi="Arial"/>
          <w:sz w:val="11"/>
          <w:szCs w:val="11"/>
          <w:color w:val="auto"/>
        </w:rPr>
        <w:t>This category is comprised of investment options that invest in stocks, or shares of ownership, in large, well-established U.S. companies. These investment options typically carry more risk than fixed income options but have the potential for higher returns over longer time periods.</w:t>
      </w:r>
    </w:p>
    <w:p>
      <w:pPr>
        <w:ind w:left="520" w:hanging="515"/>
        <w:spacing w:after="0" w:line="241" w:lineRule="auto"/>
        <w:tabs>
          <w:tab w:leader="none" w:pos="259" w:val="left"/>
        </w:tabs>
        <w:numPr>
          <w:ilvl w:val="0"/>
          <w:numId w:val="34"/>
        </w:numPr>
        <w:rPr>
          <w:rFonts w:ascii="Arial" w:cs="Arial" w:eastAsia="Arial" w:hAnsi="Arial"/>
          <w:sz w:val="11"/>
          <w:szCs w:val="11"/>
          <w:color w:val="auto"/>
        </w:rPr>
      </w:pPr>
      <w:r>
        <w:rPr>
          <w:rFonts w:ascii="Arial" w:cs="Arial" w:eastAsia="Arial" w:hAnsi="Arial"/>
          <w:sz w:val="11"/>
          <w:szCs w:val="11"/>
          <w:color w:val="auto"/>
        </w:rPr>
        <w:t>This category is generally comprised of investment options that invest in stocks, or shares of ownership, in small to medium-sized U.S. companies. These investment options typically carry more risk than larger U.S. equity investment options but have the potential for higher returns.</w:t>
      </w:r>
    </w:p>
    <w:p>
      <w:pPr>
        <w:ind w:left="220" w:hanging="215"/>
        <w:spacing w:after="0"/>
        <w:tabs>
          <w:tab w:leader="none" w:pos="220" w:val="left"/>
        </w:tabs>
        <w:numPr>
          <w:ilvl w:val="0"/>
          <w:numId w:val="34"/>
        </w:numPr>
        <w:rPr>
          <w:rFonts w:ascii="Arial" w:cs="Arial" w:eastAsia="Arial" w:hAnsi="Arial"/>
          <w:sz w:val="11"/>
          <w:szCs w:val="11"/>
          <w:color w:val="auto"/>
        </w:rPr>
      </w:pPr>
      <w:r>
        <w:rPr>
          <w:rFonts w:ascii="Arial" w:cs="Arial" w:eastAsia="Arial" w:hAnsi="Arial"/>
          <w:sz w:val="11"/>
          <w:szCs w:val="11"/>
          <w:color w:val="auto"/>
        </w:rPr>
        <w:t>This category is comprised of investment options that invest in stocks, or shares of ownership, in companies with their principal place of business or office outside of the U.S.</w:t>
      </w:r>
    </w:p>
    <w:p>
      <w:pPr>
        <w:ind w:left="520" w:hanging="515"/>
        <w:spacing w:after="0" w:line="241" w:lineRule="auto"/>
        <w:tabs>
          <w:tab w:leader="none" w:pos="302" w:val="left"/>
        </w:tabs>
        <w:numPr>
          <w:ilvl w:val="0"/>
          <w:numId w:val="34"/>
        </w:numPr>
        <w:rPr>
          <w:rFonts w:ascii="Arial" w:cs="Arial" w:eastAsia="Arial" w:hAnsi="Arial"/>
          <w:sz w:val="11"/>
          <w:szCs w:val="11"/>
          <w:color w:val="auto"/>
        </w:rPr>
      </w:pPr>
      <w:r>
        <w:rPr>
          <w:rFonts w:ascii="Arial" w:cs="Arial" w:eastAsia="Arial" w:hAnsi="Arial"/>
          <w:sz w:val="11"/>
          <w:szCs w:val="11"/>
          <w:color w:val="auto"/>
        </w:rPr>
        <w:t>This category is comprised of investment options that invest in bonds, or debt of a company or government entity (including U.S. and non-U.S. entities). These investment options typically carry more risk than short-term fixed income investment options, but less overall risk than equities.</w:t>
      </w:r>
    </w:p>
    <w:p>
      <w:pPr>
        <w:ind w:left="520" w:hanging="515"/>
        <w:spacing w:after="0" w:line="257" w:lineRule="auto"/>
        <w:tabs>
          <w:tab w:leader="none" w:pos="298" w:val="left"/>
        </w:tabs>
        <w:numPr>
          <w:ilvl w:val="0"/>
          <w:numId w:val="34"/>
        </w:numPr>
        <w:rPr>
          <w:rFonts w:ascii="Arial" w:cs="Arial" w:eastAsia="Arial" w:hAnsi="Arial"/>
          <w:sz w:val="11"/>
          <w:szCs w:val="11"/>
          <w:color w:val="auto"/>
        </w:rPr>
      </w:pPr>
      <w:r>
        <w:rPr>
          <w:rFonts w:ascii="Arial" w:cs="Arial" w:eastAsia="Arial" w:hAnsi="Arial"/>
          <w:sz w:val="11"/>
          <w:szCs w:val="11"/>
          <w:color w:val="auto"/>
        </w:rPr>
        <w:t>This category is comprised of investment options that invest in real estate investment trusts or private equity pools that own real estate. These long-term investments are primarily in office buildings, industrial parks, apartments or retail complexes. These investment options typically carry more risk, including liquidity risk, than fixed income investment options.</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Benefit Payments</w:t>
      </w:r>
    </w:p>
    <w:p>
      <w:pPr>
        <w:spacing w:after="0" w:line="140"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4"/>
          <w:szCs w:val="14"/>
          <w:color w:val="auto"/>
        </w:rPr>
        <w:t>The following table reflects the benefits as of December 26, 2021 expected to be paid through 2031 from the Company’s pension and other postretirement plans. The Company’s pension plans are primarily funded plans. Therefore, anticipated benefits with respect to these plans will come primarily from the trusts established for these plans. The Company’s other postretirement plans are unfunded. Therefore, anticipated benefits with respect to these plans will come from the Company’s own assets.</w:t>
      </w:r>
    </w:p>
    <w:p>
      <w:pPr>
        <w:spacing w:after="0" w:line="100"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8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4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Pension Benefits</w:t>
            </w:r>
          </w:p>
        </w:tc>
        <w:tc>
          <w:tcPr>
            <w:tcW w:w="360" w:type="dxa"/>
            <w:vAlign w:val="bottom"/>
          </w:tcPr>
          <w:p>
            <w:pPr>
              <w:spacing w:after="0"/>
              <w:rPr>
                <w:sz w:val="10"/>
                <w:szCs w:val="10"/>
                <w:color w:val="auto"/>
              </w:rPr>
            </w:pPr>
          </w:p>
        </w:tc>
        <w:tc>
          <w:tcPr>
            <w:tcW w:w="960" w:type="dxa"/>
            <w:vAlign w:val="bottom"/>
          </w:tcPr>
          <w:p>
            <w:pPr>
              <w:jc w:val="right"/>
              <w:ind w:right="458"/>
              <w:spacing w:after="0"/>
              <w:rPr>
                <w:sz w:val="20"/>
                <w:szCs w:val="20"/>
                <w:color w:val="auto"/>
              </w:rPr>
            </w:pPr>
            <w:r>
              <w:rPr>
                <w:rFonts w:ascii="Arial" w:cs="Arial" w:eastAsia="Arial" w:hAnsi="Arial"/>
                <w:sz w:val="11"/>
                <w:szCs w:val="11"/>
                <w:b w:val="1"/>
                <w:bCs w:val="1"/>
                <w:color w:val="auto"/>
              </w:rPr>
              <w:t>Other</w:t>
            </w:r>
          </w:p>
        </w:tc>
        <w:tc>
          <w:tcPr>
            <w:tcW w:w="0" w:type="dxa"/>
            <w:vAlign w:val="bottom"/>
          </w:tcPr>
          <w:p>
            <w:pPr>
              <w:spacing w:after="0"/>
              <w:rPr>
                <w:sz w:val="1"/>
                <w:szCs w:val="1"/>
                <w:color w:val="auto"/>
              </w:rPr>
            </w:pPr>
          </w:p>
        </w:tc>
      </w:tr>
      <w:tr>
        <w:trPr>
          <w:trHeight w:val="148"/>
        </w:trPr>
        <w:tc>
          <w:tcPr>
            <w:tcW w:w="85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2"/>
            <w:vMerge w:val="continue"/>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98"/>
              <w:spacing w:after="0"/>
              <w:rPr>
                <w:sz w:val="20"/>
                <w:szCs w:val="20"/>
                <w:color w:val="auto"/>
              </w:rPr>
            </w:pPr>
            <w:r>
              <w:rPr>
                <w:rFonts w:ascii="Arial" w:cs="Arial" w:eastAsia="Arial" w:hAnsi="Arial"/>
                <w:sz w:val="11"/>
                <w:szCs w:val="11"/>
                <w:b w:val="1"/>
                <w:bCs w:val="1"/>
                <w:color w:val="auto"/>
              </w:rPr>
              <w:t>Benefits</w:t>
            </w:r>
          </w:p>
        </w:tc>
        <w:tc>
          <w:tcPr>
            <w:tcW w:w="0" w:type="dxa"/>
            <w:vAlign w:val="bottom"/>
          </w:tcPr>
          <w:p>
            <w:pPr>
              <w:spacing w:after="0"/>
              <w:rPr>
                <w:sz w:val="1"/>
                <w:szCs w:val="1"/>
                <w:color w:val="auto"/>
              </w:rPr>
            </w:pPr>
          </w:p>
        </w:tc>
      </w:tr>
      <w:tr>
        <w:trPr>
          <w:trHeight w:val="124"/>
        </w:trPr>
        <w:tc>
          <w:tcPr>
            <w:tcW w:w="8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0" w:type="dxa"/>
            <w:vAlign w:val="bottom"/>
            <w:gridSpan w:val="3"/>
          </w:tcPr>
          <w:p>
            <w:pPr>
              <w:jc w:val="right"/>
              <w:ind w:right="36"/>
              <w:spacing w:after="0"/>
              <w:rPr>
                <w:sz w:val="20"/>
                <w:szCs w:val="20"/>
                <w:color w:val="auto"/>
              </w:rPr>
            </w:pPr>
            <w:r>
              <w:rPr>
                <w:rFonts w:ascii="Arial" w:cs="Arial" w:eastAsia="Arial" w:hAnsi="Arial"/>
                <w:sz w:val="10"/>
                <w:szCs w:val="10"/>
                <w:b w:val="1"/>
                <w:bCs w:val="1"/>
                <w:color w:val="auto"/>
              </w:rPr>
              <w:t>(In thousands)</w:t>
            </w: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8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2022</w:t>
            </w: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26,660</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157</w:t>
            </w:r>
          </w:p>
        </w:tc>
        <w:tc>
          <w:tcPr>
            <w:tcW w:w="0" w:type="dxa"/>
            <w:vAlign w:val="bottom"/>
          </w:tcPr>
          <w:p>
            <w:pPr>
              <w:spacing w:after="0"/>
              <w:rPr>
                <w:sz w:val="1"/>
                <w:szCs w:val="1"/>
                <w:color w:val="auto"/>
              </w:rPr>
            </w:pPr>
          </w:p>
        </w:tc>
      </w:tr>
      <w:tr>
        <w:trPr>
          <w:trHeight w:val="168"/>
        </w:trPr>
        <w:tc>
          <w:tcPr>
            <w:tcW w:w="8520" w:type="dxa"/>
            <w:vAlign w:val="bottom"/>
          </w:tcPr>
          <w:p>
            <w:pPr>
              <w:ind w:left="20"/>
              <w:spacing w:after="0"/>
              <w:rPr>
                <w:sz w:val="20"/>
                <w:szCs w:val="20"/>
                <w:color w:val="auto"/>
              </w:rPr>
            </w:pPr>
            <w:r>
              <w:rPr>
                <w:rFonts w:ascii="Arial" w:cs="Arial" w:eastAsia="Arial" w:hAnsi="Arial"/>
                <w:sz w:val="13"/>
                <w:szCs w:val="13"/>
                <w:color w:val="auto"/>
              </w:rPr>
              <w:t>2023</w:t>
            </w:r>
          </w:p>
        </w:tc>
        <w:tc>
          <w:tcPr>
            <w:tcW w:w="1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17,491</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150</w:t>
            </w:r>
          </w:p>
        </w:tc>
        <w:tc>
          <w:tcPr>
            <w:tcW w:w="0" w:type="dxa"/>
            <w:vAlign w:val="bottom"/>
          </w:tcPr>
          <w:p>
            <w:pPr>
              <w:spacing w:after="0"/>
              <w:rPr>
                <w:sz w:val="1"/>
                <w:szCs w:val="1"/>
                <w:color w:val="auto"/>
              </w:rPr>
            </w:pPr>
          </w:p>
        </w:tc>
      </w:tr>
      <w:tr>
        <w:trPr>
          <w:trHeight w:val="172"/>
        </w:trPr>
        <w:tc>
          <w:tcPr>
            <w:tcW w:w="8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2024</w:t>
            </w:r>
          </w:p>
        </w:tc>
        <w:tc>
          <w:tcPr>
            <w:tcW w:w="1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17,436</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143</w:t>
            </w:r>
          </w:p>
        </w:tc>
        <w:tc>
          <w:tcPr>
            <w:tcW w:w="0" w:type="dxa"/>
            <w:vAlign w:val="bottom"/>
          </w:tcPr>
          <w:p>
            <w:pPr>
              <w:spacing w:after="0"/>
              <w:rPr>
                <w:sz w:val="1"/>
                <w:szCs w:val="1"/>
                <w:color w:val="auto"/>
              </w:rPr>
            </w:pPr>
          </w:p>
        </w:tc>
      </w:tr>
      <w:tr>
        <w:trPr>
          <w:trHeight w:val="168"/>
        </w:trPr>
        <w:tc>
          <w:tcPr>
            <w:tcW w:w="8520" w:type="dxa"/>
            <w:vAlign w:val="bottom"/>
          </w:tcPr>
          <w:p>
            <w:pPr>
              <w:ind w:left="20"/>
              <w:spacing w:after="0"/>
              <w:rPr>
                <w:sz w:val="20"/>
                <w:szCs w:val="20"/>
                <w:color w:val="auto"/>
              </w:rPr>
            </w:pPr>
            <w:r>
              <w:rPr>
                <w:rFonts w:ascii="Arial" w:cs="Arial" w:eastAsia="Arial" w:hAnsi="Arial"/>
                <w:sz w:val="13"/>
                <w:szCs w:val="13"/>
                <w:color w:val="auto"/>
              </w:rPr>
              <w:t>2025</w:t>
            </w:r>
          </w:p>
        </w:tc>
        <w:tc>
          <w:tcPr>
            <w:tcW w:w="1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17,180</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135</w:t>
            </w:r>
          </w:p>
        </w:tc>
        <w:tc>
          <w:tcPr>
            <w:tcW w:w="0" w:type="dxa"/>
            <w:vAlign w:val="bottom"/>
          </w:tcPr>
          <w:p>
            <w:pPr>
              <w:spacing w:after="0"/>
              <w:rPr>
                <w:sz w:val="1"/>
                <w:szCs w:val="1"/>
                <w:color w:val="auto"/>
              </w:rPr>
            </w:pPr>
          </w:p>
        </w:tc>
      </w:tr>
      <w:tr>
        <w:trPr>
          <w:trHeight w:val="172"/>
        </w:trPr>
        <w:tc>
          <w:tcPr>
            <w:tcW w:w="8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2026</w:t>
            </w:r>
          </w:p>
        </w:tc>
        <w:tc>
          <w:tcPr>
            <w:tcW w:w="1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17,070</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w:t>
            </w:r>
          </w:p>
        </w:tc>
        <w:tc>
          <w:tcPr>
            <w:tcW w:w="0" w:type="dxa"/>
            <w:vAlign w:val="bottom"/>
          </w:tcPr>
          <w:p>
            <w:pPr>
              <w:spacing w:after="0"/>
              <w:rPr>
                <w:sz w:val="1"/>
                <w:szCs w:val="1"/>
                <w:color w:val="auto"/>
              </w:rPr>
            </w:pPr>
          </w:p>
        </w:tc>
      </w:tr>
      <w:tr>
        <w:trPr>
          <w:trHeight w:val="168"/>
        </w:trPr>
        <w:tc>
          <w:tcPr>
            <w:tcW w:w="85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2027-2031</w:t>
            </w: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83,247</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485</w:t>
            </w:r>
          </w:p>
        </w:tc>
        <w:tc>
          <w:tcPr>
            <w:tcW w:w="0" w:type="dxa"/>
            <w:vAlign w:val="bottom"/>
          </w:tcPr>
          <w:p>
            <w:pPr>
              <w:spacing w:after="0"/>
              <w:rPr>
                <w:sz w:val="1"/>
                <w:szCs w:val="1"/>
                <w:color w:val="auto"/>
              </w:rPr>
            </w:pPr>
          </w:p>
        </w:tc>
      </w:tr>
      <w:tr>
        <w:trPr>
          <w:trHeight w:val="185"/>
        </w:trPr>
        <w:tc>
          <w:tcPr>
            <w:tcW w:w="8520" w:type="dxa"/>
            <w:vAlign w:val="bottom"/>
            <w:tcBorders>
              <w:bottom w:val="single" w:sz="8" w:color="CCEEFF"/>
            </w:tcBorders>
            <w:shd w:val="clear" w:color="auto" w:fill="CCEEFF"/>
          </w:tcPr>
          <w:p>
            <w:pPr>
              <w:ind w:left="120"/>
              <w:spacing w:after="0" w:line="148" w:lineRule="exact"/>
              <w:rPr>
                <w:sz w:val="20"/>
                <w:szCs w:val="20"/>
                <w:color w:val="auto"/>
              </w:rPr>
            </w:pPr>
            <w:r>
              <w:rPr>
                <w:rFonts w:ascii="Arial" w:cs="Arial" w:eastAsia="Arial" w:hAnsi="Arial"/>
                <w:sz w:val="13"/>
                <w:szCs w:val="13"/>
                <w:color w:val="auto"/>
              </w:rPr>
              <w:t>Total</w:t>
            </w: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179,084</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1,196</w:t>
            </w:r>
          </w:p>
        </w:tc>
        <w:tc>
          <w:tcPr>
            <w:tcW w:w="0" w:type="dxa"/>
            <w:vAlign w:val="bottom"/>
          </w:tcPr>
          <w:p>
            <w:pPr>
              <w:spacing w:after="0"/>
              <w:rPr>
                <w:sz w:val="1"/>
                <w:szCs w:val="1"/>
                <w:color w:val="auto"/>
              </w:rPr>
            </w:pP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82" w:name="page83"/>
    <w:bookmarkEnd w:id="8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NOTES TO CONSOLIDATED FINANCIAL STATEMENTS</w:t>
      </w:r>
    </w:p>
    <w:p>
      <w:pPr>
        <w:spacing w:after="0" w:line="391" w:lineRule="exact"/>
        <w:rPr>
          <w:sz w:val="20"/>
          <w:szCs w:val="20"/>
          <w:color w:val="auto"/>
        </w:rPr>
      </w:pPr>
    </w:p>
    <w:p>
      <w:pPr>
        <w:ind w:left="520"/>
        <w:spacing w:after="0"/>
        <w:rPr>
          <w:sz w:val="20"/>
          <w:szCs w:val="20"/>
          <w:color w:val="auto"/>
        </w:rPr>
      </w:pPr>
      <w:r>
        <w:rPr>
          <w:rFonts w:ascii="Arial" w:cs="Arial" w:eastAsia="Arial" w:hAnsi="Arial"/>
          <w:sz w:val="13"/>
          <w:szCs w:val="13"/>
          <w:color w:val="auto"/>
        </w:rPr>
        <w:t>As required by funding regulations or laws, the Company anticipates contributing $6.2 million and less than $0.2 million to its pension and other postretirement plans, respectively, during</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2022.</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Unrecognized Benefit Amounts in Accumulated Other Comprehensive Loss</w:t>
      </w:r>
    </w:p>
    <w:p>
      <w:pPr>
        <w:spacing w:after="0" w:line="140" w:lineRule="exact"/>
        <w:rPr>
          <w:sz w:val="20"/>
          <w:szCs w:val="20"/>
          <w:color w:val="auto"/>
        </w:rPr>
      </w:pPr>
    </w:p>
    <w:p>
      <w:pPr>
        <w:ind w:left="520"/>
        <w:spacing w:after="0"/>
        <w:rPr>
          <w:sz w:val="20"/>
          <w:szCs w:val="20"/>
          <w:color w:val="auto"/>
        </w:rPr>
      </w:pPr>
      <w:r>
        <w:rPr>
          <w:rFonts w:ascii="Arial" w:cs="Arial" w:eastAsia="Arial" w:hAnsi="Arial"/>
          <w:sz w:val="13"/>
          <w:szCs w:val="13"/>
          <w:color w:val="auto"/>
        </w:rPr>
        <w:t>The amounts in accumulated other comprehensive loss that were not recognized as components of net periodic benefits cost and the changes in those amounts are as follows:</w:t>
      </w:r>
    </w:p>
    <w:p>
      <w:pPr>
        <w:spacing w:after="0" w:line="162" w:lineRule="exact"/>
        <w:rPr>
          <w:sz w:val="20"/>
          <w:szCs w:val="20"/>
          <w:color w:val="auto"/>
        </w:rPr>
      </w:pPr>
    </w:p>
    <w:tbl>
      <w:tblPr>
        <w:tblLayout w:type="fixed"/>
        <w:tblInd w:w="20" w:type="dxa"/>
        <w:tblCellMar>
          <w:top w:w="0" w:type="dxa"/>
          <w:left w:w="0" w:type="dxa"/>
          <w:bottom w:w="0" w:type="dxa"/>
          <w:right w:w="0" w:type="dxa"/>
        </w:tblCellMar>
      </w:tblPr>
      <w:tr>
        <w:trPr>
          <w:trHeight w:val="151"/>
        </w:trPr>
        <w:tc>
          <w:tcPr>
            <w:tcW w:w="416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2"/>
          </w:tcPr>
          <w:p>
            <w:pPr>
              <w:ind w:left="40"/>
              <w:spacing w:after="0"/>
              <w:rPr>
                <w:sz w:val="20"/>
                <w:szCs w:val="20"/>
                <w:color w:val="auto"/>
              </w:rPr>
            </w:pPr>
            <w:r>
              <w:rPr>
                <w:rFonts w:ascii="Arial" w:cs="Arial" w:eastAsia="Arial" w:hAnsi="Arial"/>
                <w:sz w:val="11"/>
                <w:szCs w:val="11"/>
                <w:b w:val="1"/>
                <w:bCs w:val="1"/>
                <w:color w:val="auto"/>
              </w:rPr>
              <w:t>Pension Benefits</w:t>
            </w: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2"/>
          </w:tcPr>
          <w:p>
            <w:pPr>
              <w:ind w:left="60"/>
              <w:spacing w:after="0"/>
              <w:rPr>
                <w:sz w:val="20"/>
                <w:szCs w:val="20"/>
                <w:color w:val="auto"/>
              </w:rPr>
            </w:pPr>
            <w:r>
              <w:rPr>
                <w:rFonts w:ascii="Arial" w:cs="Arial" w:eastAsia="Arial" w:hAnsi="Arial"/>
                <w:sz w:val="11"/>
                <w:szCs w:val="11"/>
                <w:b w:val="1"/>
                <w:bCs w:val="1"/>
                <w:color w:val="auto"/>
              </w:rPr>
              <w:t>Other Benefits</w:t>
            </w: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r>
      <w:tr>
        <w:trPr>
          <w:trHeight w:val="142"/>
        </w:trPr>
        <w:tc>
          <w:tcPr>
            <w:tcW w:w="41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77"/>
              <w:spacing w:after="0"/>
              <w:rPr>
                <w:sz w:val="20"/>
                <w:szCs w:val="20"/>
                <w:color w:val="auto"/>
              </w:rPr>
            </w:pPr>
            <w:r>
              <w:rPr>
                <w:rFonts w:ascii="Arial" w:cs="Arial" w:eastAsia="Arial" w:hAnsi="Arial"/>
                <w:sz w:val="11"/>
                <w:szCs w:val="11"/>
                <w:b w:val="1"/>
                <w:bCs w:val="1"/>
                <w:color w:val="auto"/>
              </w:rPr>
              <w:t>2021</w:t>
            </w: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378"/>
              <w:spacing w:after="0"/>
              <w:rPr>
                <w:sz w:val="20"/>
                <w:szCs w:val="20"/>
                <w:color w:val="auto"/>
              </w:rPr>
            </w:pPr>
            <w:r>
              <w:rPr>
                <w:rFonts w:ascii="Arial" w:cs="Arial" w:eastAsia="Arial" w:hAnsi="Arial"/>
                <w:sz w:val="11"/>
                <w:szCs w:val="11"/>
                <w:b w:val="1"/>
                <w:bCs w:val="1"/>
                <w:color w:val="auto"/>
              </w:rPr>
              <w:t>2020</w:t>
            </w:r>
          </w:p>
        </w:tc>
        <w:tc>
          <w:tcPr>
            <w:tcW w:w="1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78"/>
              <w:spacing w:after="0"/>
              <w:rPr>
                <w:sz w:val="20"/>
                <w:szCs w:val="20"/>
                <w:color w:val="auto"/>
              </w:rPr>
            </w:pPr>
            <w:r>
              <w:rPr>
                <w:rFonts w:ascii="Arial" w:cs="Arial" w:eastAsia="Arial" w:hAnsi="Arial"/>
                <w:sz w:val="11"/>
                <w:szCs w:val="11"/>
                <w:b w:val="1"/>
                <w:bCs w:val="1"/>
                <w:color w:val="auto"/>
              </w:rPr>
              <w:t>2019</w:t>
            </w:r>
          </w:p>
        </w:tc>
        <w:tc>
          <w:tcPr>
            <w:tcW w:w="1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77"/>
              <w:spacing w:after="0"/>
              <w:rPr>
                <w:sz w:val="20"/>
                <w:szCs w:val="20"/>
                <w:color w:val="auto"/>
              </w:rPr>
            </w:pPr>
            <w:r>
              <w:rPr>
                <w:rFonts w:ascii="Arial" w:cs="Arial" w:eastAsia="Arial" w:hAnsi="Arial"/>
                <w:sz w:val="11"/>
                <w:szCs w:val="11"/>
                <w:b w:val="1"/>
                <w:bCs w:val="1"/>
                <w:color w:val="auto"/>
              </w:rPr>
              <w:t>2021</w:t>
            </w: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78"/>
              <w:spacing w:after="0"/>
              <w:rPr>
                <w:sz w:val="20"/>
                <w:szCs w:val="20"/>
                <w:color w:val="auto"/>
              </w:rPr>
            </w:pPr>
            <w:r>
              <w:rPr>
                <w:rFonts w:ascii="Arial" w:cs="Arial" w:eastAsia="Arial" w:hAnsi="Arial"/>
                <w:sz w:val="11"/>
                <w:szCs w:val="11"/>
                <w:b w:val="1"/>
                <w:bCs w:val="1"/>
                <w:color w:val="auto"/>
              </w:rPr>
              <w:t>2020</w:t>
            </w:r>
          </w:p>
        </w:tc>
        <w:tc>
          <w:tcPr>
            <w:tcW w:w="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77"/>
              <w:spacing w:after="0"/>
              <w:rPr>
                <w:sz w:val="20"/>
                <w:szCs w:val="20"/>
                <w:color w:val="auto"/>
              </w:rPr>
            </w:pPr>
            <w:r>
              <w:rPr>
                <w:rFonts w:ascii="Arial" w:cs="Arial" w:eastAsia="Arial" w:hAnsi="Arial"/>
                <w:sz w:val="11"/>
                <w:szCs w:val="11"/>
                <w:b w:val="1"/>
                <w:bCs w:val="1"/>
                <w:color w:val="auto"/>
              </w:rPr>
              <w:t>2019</w:t>
            </w:r>
          </w:p>
        </w:tc>
      </w:tr>
      <w:tr>
        <w:trPr>
          <w:trHeight w:val="124"/>
        </w:trPr>
        <w:tc>
          <w:tcPr>
            <w:tcW w:w="4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80" w:type="dxa"/>
            <w:vAlign w:val="bottom"/>
            <w:gridSpan w:val="3"/>
          </w:tcPr>
          <w:p>
            <w:pPr>
              <w:jc w:val="right"/>
              <w:ind w:right="32"/>
              <w:spacing w:after="0"/>
              <w:rPr>
                <w:sz w:val="20"/>
                <w:szCs w:val="20"/>
                <w:color w:val="auto"/>
              </w:rPr>
            </w:pPr>
            <w:r>
              <w:rPr>
                <w:rFonts w:ascii="Arial" w:cs="Arial" w:eastAsia="Arial" w:hAnsi="Arial"/>
                <w:sz w:val="10"/>
                <w:szCs w:val="10"/>
                <w:b w:val="1"/>
                <w:bCs w:val="1"/>
                <w:color w:val="auto"/>
              </w:rPr>
              <w:t>(In thousands)</w:t>
            </w: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r>
      <w:tr>
        <w:trPr>
          <w:trHeight w:val="176"/>
        </w:trPr>
        <w:tc>
          <w:tcPr>
            <w:tcW w:w="4160" w:type="dxa"/>
            <w:vAlign w:val="bottom"/>
            <w:shd w:val="clear" w:color="auto" w:fill="CCEEFF"/>
          </w:tcPr>
          <w:p>
            <w:pPr>
              <w:spacing w:after="0"/>
              <w:rPr>
                <w:sz w:val="20"/>
                <w:szCs w:val="20"/>
                <w:color w:val="auto"/>
              </w:rPr>
            </w:pPr>
            <w:r>
              <w:rPr>
                <w:rFonts w:ascii="Arial" w:cs="Arial" w:eastAsia="Arial" w:hAnsi="Arial"/>
                <w:sz w:val="13"/>
                <w:szCs w:val="13"/>
                <w:color w:val="auto"/>
              </w:rPr>
              <w:t>Net actuarial loss (gain), beginning of year</w:t>
            </w:r>
          </w:p>
        </w:tc>
        <w:tc>
          <w:tcPr>
            <w:tcW w:w="2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95,522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58,239</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54,343</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232"/>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w:t>
            </w:r>
          </w:p>
        </w:tc>
      </w:tr>
      <w:tr>
        <w:trPr>
          <w:trHeight w:val="168"/>
        </w:trPr>
        <w:tc>
          <w:tcPr>
            <w:tcW w:w="4160" w:type="dxa"/>
            <w:vAlign w:val="bottom"/>
          </w:tcPr>
          <w:p>
            <w:pPr>
              <w:spacing w:after="0"/>
              <w:rPr>
                <w:sz w:val="20"/>
                <w:szCs w:val="20"/>
                <w:color w:val="auto"/>
              </w:rPr>
            </w:pPr>
            <w:r>
              <w:rPr>
                <w:rFonts w:ascii="Arial" w:cs="Arial" w:eastAsia="Arial" w:hAnsi="Arial"/>
                <w:sz w:val="13"/>
                <w:szCs w:val="13"/>
                <w:color w:val="auto"/>
              </w:rPr>
              <w:t>Amortization</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(2,276)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(1,503)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(1,313)</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2"/>
        </w:trPr>
        <w:tc>
          <w:tcPr>
            <w:tcW w:w="4160" w:type="dxa"/>
            <w:vAlign w:val="bottom"/>
            <w:shd w:val="clear" w:color="auto" w:fill="CCEEFF"/>
          </w:tcPr>
          <w:p>
            <w:pPr>
              <w:spacing w:after="0"/>
              <w:rPr>
                <w:sz w:val="20"/>
                <w:szCs w:val="20"/>
                <w:color w:val="auto"/>
              </w:rPr>
            </w:pPr>
            <w:r>
              <w:rPr>
                <w:rFonts w:ascii="Arial" w:cs="Arial" w:eastAsia="Arial" w:hAnsi="Arial"/>
                <w:sz w:val="13"/>
                <w:szCs w:val="13"/>
                <w:color w:val="auto"/>
              </w:rPr>
              <w:t>Settlement adjustments</w:t>
            </w: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(2,313)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(3,371)</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(3,538)</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r>
      <w:tr>
        <w:trPr>
          <w:trHeight w:val="168"/>
        </w:trPr>
        <w:tc>
          <w:tcPr>
            <w:tcW w:w="4160" w:type="dxa"/>
            <w:vAlign w:val="bottom"/>
          </w:tcPr>
          <w:p>
            <w:pPr>
              <w:spacing w:after="0"/>
              <w:rPr>
                <w:sz w:val="20"/>
                <w:szCs w:val="20"/>
                <w:color w:val="auto"/>
              </w:rPr>
            </w:pPr>
            <w:r>
              <w:rPr>
                <w:rFonts w:ascii="Arial" w:cs="Arial" w:eastAsia="Arial" w:hAnsi="Arial"/>
                <w:sz w:val="13"/>
                <w:szCs w:val="13"/>
                <w:color w:val="auto"/>
              </w:rPr>
              <w:t>Actuarial loss (gain)</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(14,535)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38,822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20,729</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90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132</w:t>
            </w:r>
          </w:p>
        </w:tc>
      </w:tr>
      <w:tr>
        <w:trPr>
          <w:trHeight w:val="172"/>
        </w:trPr>
        <w:tc>
          <w:tcPr>
            <w:tcW w:w="4160" w:type="dxa"/>
            <w:vAlign w:val="bottom"/>
            <w:shd w:val="clear" w:color="auto" w:fill="CCEEFF"/>
          </w:tcPr>
          <w:p>
            <w:pPr>
              <w:spacing w:after="0"/>
              <w:rPr>
                <w:sz w:val="20"/>
                <w:szCs w:val="20"/>
                <w:color w:val="auto"/>
              </w:rPr>
            </w:pPr>
            <w:r>
              <w:rPr>
                <w:rFonts w:ascii="Arial" w:cs="Arial" w:eastAsia="Arial" w:hAnsi="Arial"/>
                <w:sz w:val="13"/>
                <w:szCs w:val="13"/>
                <w:color w:val="auto"/>
              </w:rPr>
              <w:t>Asset loss (gain)</w:t>
            </w: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(18,563)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(11,982)</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4160" w:type="dxa"/>
            <w:vAlign w:val="bottom"/>
          </w:tcPr>
          <w:p>
            <w:pPr>
              <w:spacing w:after="0"/>
              <w:rPr>
                <w:sz w:val="20"/>
                <w:szCs w:val="20"/>
                <w:color w:val="auto"/>
              </w:rPr>
            </w:pPr>
            <w:r>
              <w:rPr>
                <w:rFonts w:ascii="Arial" w:cs="Arial" w:eastAsia="Arial" w:hAnsi="Arial"/>
                <w:sz w:val="13"/>
                <w:szCs w:val="13"/>
                <w:color w:val="auto"/>
              </w:rPr>
              <w:t>Net prior service cost</w:t>
            </w:r>
          </w:p>
        </w:tc>
        <w:tc>
          <w:tcPr>
            <w:tcW w:w="26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378</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2"/>
        </w:trPr>
        <w:tc>
          <w:tcPr>
            <w:tcW w:w="4160" w:type="dxa"/>
            <w:vAlign w:val="bottom"/>
            <w:shd w:val="clear" w:color="auto" w:fill="CCEEFF"/>
          </w:tcPr>
          <w:p>
            <w:pPr>
              <w:spacing w:after="0"/>
              <w:rPr>
                <w:sz w:val="20"/>
                <w:szCs w:val="20"/>
                <w:color w:val="auto"/>
              </w:rPr>
            </w:pPr>
            <w:r>
              <w:rPr>
                <w:rFonts w:ascii="Arial" w:cs="Arial" w:eastAsia="Arial" w:hAnsi="Arial"/>
                <w:sz w:val="13"/>
                <w:szCs w:val="13"/>
                <w:color w:val="auto"/>
              </w:rPr>
              <w:t>Currency translation loss</w:t>
            </w: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308</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2,557</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58"/>
        </w:trPr>
        <w:tc>
          <w:tcPr>
            <w:tcW w:w="4160" w:type="dxa"/>
            <w:vAlign w:val="bottom"/>
          </w:tcPr>
          <w:p>
            <w:pPr>
              <w:ind w:left="100"/>
              <w:spacing w:after="0" w:line="146" w:lineRule="exact"/>
              <w:rPr>
                <w:sz w:val="20"/>
                <w:szCs w:val="20"/>
                <w:color w:val="auto"/>
              </w:rPr>
            </w:pPr>
            <w:r>
              <w:rPr>
                <w:rFonts w:ascii="Arial" w:cs="Arial" w:eastAsia="Arial" w:hAnsi="Arial"/>
                <w:sz w:val="13"/>
                <w:szCs w:val="13"/>
                <w:color w:val="auto"/>
              </w:rPr>
              <w:t>Net actuarial loss, end of year</w:t>
            </w:r>
          </w:p>
        </w:tc>
        <w:tc>
          <w:tcPr>
            <w:tcW w:w="260" w:type="dxa"/>
            <w:vAlign w:val="bottom"/>
            <w:tcBorders>
              <w:top w:val="single" w:sz="8" w:color="auto"/>
              <w:bottom w:val="single" w:sz="8" w:color="auto"/>
            </w:tcBorders>
          </w:tcPr>
          <w:p>
            <w:pPr>
              <w:jc w:val="right"/>
              <w:ind w:right="116"/>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58,143</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95,522</w:t>
            </w:r>
          </w:p>
        </w:tc>
        <w:tc>
          <w:tcPr>
            <w:tcW w:w="100" w:type="dxa"/>
            <w:vAlign w:val="bottom"/>
          </w:tcPr>
          <w:p>
            <w:pPr>
              <w:spacing w:after="0"/>
              <w:rPr>
                <w:sz w:val="13"/>
                <w:szCs w:val="13"/>
                <w:color w:val="auto"/>
              </w:rPr>
            </w:pPr>
          </w:p>
        </w:tc>
        <w:tc>
          <w:tcPr>
            <w:tcW w:w="260" w:type="dxa"/>
            <w:vAlign w:val="bottom"/>
            <w:tcBorders>
              <w:top w:val="single" w:sz="8" w:color="auto"/>
              <w:bottom w:val="single" w:sz="8" w:color="auto"/>
            </w:tcBorders>
          </w:tcPr>
          <w:p>
            <w:pPr>
              <w:jc w:val="right"/>
              <w:ind w:right="116"/>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58,239</w:t>
            </w:r>
          </w:p>
        </w:tc>
        <w:tc>
          <w:tcPr>
            <w:tcW w:w="100" w:type="dxa"/>
            <w:vAlign w:val="bottom"/>
          </w:tcPr>
          <w:p>
            <w:pPr>
              <w:spacing w:after="0"/>
              <w:rPr>
                <w:sz w:val="13"/>
                <w:szCs w:val="13"/>
                <w:color w:val="auto"/>
              </w:rPr>
            </w:pPr>
          </w:p>
        </w:tc>
        <w:tc>
          <w:tcPr>
            <w:tcW w:w="34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118</w:t>
            </w: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174</w:t>
            </w:r>
          </w:p>
        </w:tc>
        <w:tc>
          <w:tcPr>
            <w:tcW w:w="80" w:type="dxa"/>
            <w:vAlign w:val="bottom"/>
          </w:tcPr>
          <w:p>
            <w:pPr>
              <w:spacing w:after="0"/>
              <w:rPr>
                <w:sz w:val="13"/>
                <w:szCs w:val="13"/>
                <w:color w:val="auto"/>
              </w:rPr>
            </w:pPr>
          </w:p>
        </w:tc>
        <w:tc>
          <w:tcPr>
            <w:tcW w:w="260" w:type="dxa"/>
            <w:vAlign w:val="bottom"/>
            <w:tcBorders>
              <w:top w:val="single" w:sz="8" w:color="auto"/>
              <w:bottom w:val="single" w:sz="8" w:color="auto"/>
            </w:tcBorders>
          </w:tcPr>
          <w:p>
            <w:pPr>
              <w:jc w:val="right"/>
              <w:ind w:right="116"/>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91</w:t>
            </w:r>
          </w:p>
        </w:tc>
      </w:tr>
      <w:tr>
        <w:trPr>
          <w:trHeight w:val="20"/>
        </w:trPr>
        <w:tc>
          <w:tcPr>
            <w:tcW w:w="4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 Management</w:t>
      </w:r>
    </w:p>
    <w:p>
      <w:pPr>
        <w:spacing w:after="0" w:line="14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Through its defined benefit plans, the Company is exposed to a number of risks, the most significant of which are detailed below:</w:t>
      </w:r>
    </w:p>
    <w:p>
      <w:pPr>
        <w:spacing w:after="0" w:line="136" w:lineRule="exact"/>
        <w:rPr>
          <w:sz w:val="20"/>
          <w:szCs w:val="20"/>
          <w:color w:val="auto"/>
        </w:rPr>
      </w:pPr>
    </w:p>
    <w:p>
      <w:pPr>
        <w:jc w:val="both"/>
        <w:ind w:left="520"/>
        <w:spacing w:after="0" w:line="297" w:lineRule="auto"/>
        <w:rPr>
          <w:sz w:val="20"/>
          <w:szCs w:val="20"/>
          <w:color w:val="auto"/>
        </w:rPr>
      </w:pPr>
      <w:r>
        <w:rPr>
          <w:rFonts w:ascii="Arial" w:cs="Arial" w:eastAsia="Arial" w:hAnsi="Arial"/>
          <w:sz w:val="13"/>
          <w:szCs w:val="13"/>
          <w:i w:val="1"/>
          <w:iCs w:val="1"/>
          <w:color w:val="auto"/>
        </w:rPr>
        <w:t xml:space="preserve">Asset volatility. </w:t>
      </w:r>
      <w:r>
        <w:rPr>
          <w:rFonts w:ascii="Arial" w:cs="Arial" w:eastAsia="Arial" w:hAnsi="Arial"/>
          <w:sz w:val="13"/>
          <w:szCs w:val="13"/>
          <w:color w:val="auto"/>
        </w:rPr>
        <w:t>The plan liabilities are calculated using a discount rate set with reference to corporate bond yields; if plan assets under perform this yield, this will create a deficit. The</w:t>
      </w:r>
      <w:r>
        <w:rPr>
          <w:rFonts w:ascii="Arial" w:cs="Arial" w:eastAsia="Arial" w:hAnsi="Arial"/>
          <w:sz w:val="13"/>
          <w:szCs w:val="13"/>
          <w:i w:val="1"/>
          <w:iCs w:val="1"/>
          <w:color w:val="auto"/>
        </w:rPr>
        <w:t xml:space="preserve"> </w:t>
      </w:r>
      <w:r>
        <w:rPr>
          <w:rFonts w:ascii="Arial" w:cs="Arial" w:eastAsia="Arial" w:hAnsi="Arial"/>
          <w:sz w:val="13"/>
          <w:szCs w:val="13"/>
          <w:color w:val="auto"/>
        </w:rPr>
        <w:t>pension plans hold a significant proportion of equities, which are expected to outperform corporate bonds in the long-term while contributing volatility and risk in the short-term. The Company monitors the level of investment risk but has no current plan to significantly modify the mixture of investments. The investment position is discussed more below.</w:t>
      </w:r>
    </w:p>
    <w:p>
      <w:pPr>
        <w:spacing w:after="0" w:line="82" w:lineRule="exact"/>
        <w:rPr>
          <w:sz w:val="20"/>
          <w:szCs w:val="20"/>
          <w:color w:val="auto"/>
        </w:rPr>
      </w:pPr>
    </w:p>
    <w:p>
      <w:pPr>
        <w:ind w:left="520"/>
        <w:spacing w:after="0"/>
        <w:rPr>
          <w:sz w:val="20"/>
          <w:szCs w:val="20"/>
          <w:color w:val="auto"/>
        </w:rPr>
      </w:pPr>
      <w:r>
        <w:rPr>
          <w:rFonts w:ascii="Arial" w:cs="Arial" w:eastAsia="Arial" w:hAnsi="Arial"/>
          <w:sz w:val="13"/>
          <w:szCs w:val="13"/>
          <w:i w:val="1"/>
          <w:iCs w:val="1"/>
          <w:color w:val="auto"/>
        </w:rPr>
        <w:t xml:space="preserve">Changes in bond yields. </w:t>
      </w:r>
      <w:r>
        <w:rPr>
          <w:rFonts w:ascii="Arial" w:cs="Arial" w:eastAsia="Arial" w:hAnsi="Arial"/>
          <w:sz w:val="13"/>
          <w:szCs w:val="13"/>
          <w:color w:val="auto"/>
        </w:rPr>
        <w:t>A decrease in corporate bond yields will increase plan liabilities, although this will be partially offset by an increase in the value of the plans’ bond holdings.</w:t>
      </w:r>
    </w:p>
    <w:p>
      <w:pPr>
        <w:spacing w:after="0" w:line="148"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color w:val="auto"/>
        </w:rPr>
        <w:t>The investment position is managed and monitored by a committee of individuals from various departments. This group actively monitors how the duration and the expected yield of the investments are matching the expected cash outflows arising from the pension obligations. The group has not changed the processes used to manage its risks from previous periods. The group does not use derivatives to manage its risk. Investments are well diversified, such that the failure of any single investment would not have a material impact on the overall level of assets. The majority of equities are in U.S. large and small cap companies with some global diversification into international entities.</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Remeasurement</w:t>
      </w:r>
    </w:p>
    <w:p>
      <w:pPr>
        <w:spacing w:after="0" w:line="14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Company remeasures both plan assets and obligations on a quarterly basis.</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Defined Contribution Plans</w:t>
      </w:r>
    </w:p>
    <w:p>
      <w:pPr>
        <w:spacing w:after="0" w:line="140" w:lineRule="exact"/>
        <w:rPr>
          <w:sz w:val="20"/>
          <w:szCs w:val="20"/>
          <w:color w:val="auto"/>
        </w:rPr>
      </w:pPr>
    </w:p>
    <w:p>
      <w:pPr>
        <w:jc w:val="both"/>
        <w:ind w:firstLine="509"/>
        <w:spacing w:after="0" w:line="313" w:lineRule="auto"/>
        <w:rPr>
          <w:sz w:val="20"/>
          <w:szCs w:val="20"/>
          <w:color w:val="auto"/>
        </w:rPr>
      </w:pPr>
      <w:r>
        <w:rPr>
          <w:rFonts w:ascii="Arial" w:cs="Arial" w:eastAsia="Arial" w:hAnsi="Arial"/>
          <w:sz w:val="12"/>
          <w:szCs w:val="12"/>
          <w:color w:val="auto"/>
        </w:rPr>
        <w:t>The Company sponsors two defined contribution retirement savings plans in the U.S. reportable segment for eligible U.S. and Puerto Rico employees. The Company maintains three postretirement plans for eligible employees in the Mexico reportable segment, as required by Mexico law, which primarily cover termination benefits. The Company maintains two defined contribution retirement savings plans in the U.K. and Europe reportable segment for eligible U.K. and Europe employees, as required by U.K. and Europe law. The Company’s expenses related to its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defined contribution plans totaled $17.0 million, $14.1 million and $13.7 million in 2021, 2020 and 2019, respectively.</w:t>
      </w:r>
    </w:p>
    <w:p>
      <w:pPr>
        <w:spacing w:after="0" w:line="132"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b w:val="1"/>
          <w:bCs w:val="1"/>
          <w:color w:val="auto"/>
        </w:rPr>
        <w:t>16.</w:t>
        <w:tab/>
        <w:t>INCENTIVE COMPENSATION</w:t>
      </w:r>
    </w:p>
    <w:p>
      <w:pPr>
        <w:spacing w:after="0" w:line="140" w:lineRule="exact"/>
        <w:rPr>
          <w:sz w:val="20"/>
          <w:szCs w:val="20"/>
          <w:color w:val="auto"/>
        </w:rPr>
      </w:pPr>
    </w:p>
    <w:p>
      <w:pPr>
        <w:jc w:val="both"/>
        <w:ind w:firstLine="509"/>
        <w:spacing w:after="0" w:line="304" w:lineRule="auto"/>
        <w:rPr>
          <w:sz w:val="20"/>
          <w:szCs w:val="20"/>
          <w:color w:val="auto"/>
        </w:rPr>
      </w:pPr>
      <w:r>
        <w:rPr>
          <w:rFonts w:ascii="Arial" w:cs="Arial" w:eastAsia="Arial" w:hAnsi="Arial"/>
          <w:sz w:val="13"/>
          <w:szCs w:val="13"/>
          <w:color w:val="auto"/>
        </w:rPr>
        <w:t>The Company sponsors short-term incentive plans that provides the grant of either cash or stock-based bonus awards payable upon achievement of specified performance goals. Full-time, salaried exempt employees of the Company’s U.S. operations who are selected by the administering committee are eligible to participate in the Pilgrim’s Short Term Incentive</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83" w:name="page84"/>
    <w:bookmarkEnd w:id="8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NOTES TO CONSOLIDATED FINANCIAL STATEMENTS</w:t>
      </w:r>
    </w:p>
    <w:p>
      <w:pPr>
        <w:spacing w:after="0" w:line="391" w:lineRule="exact"/>
        <w:rPr>
          <w:sz w:val="20"/>
          <w:szCs w:val="20"/>
          <w:color w:val="auto"/>
        </w:rPr>
      </w:pPr>
    </w:p>
    <w:p>
      <w:pPr>
        <w:jc w:val="both"/>
        <w:spacing w:after="0" w:line="279" w:lineRule="auto"/>
        <w:rPr>
          <w:sz w:val="20"/>
          <w:szCs w:val="20"/>
          <w:color w:val="auto"/>
        </w:rPr>
      </w:pPr>
      <w:r>
        <w:rPr>
          <w:rFonts w:ascii="Arial" w:cs="Arial" w:eastAsia="Arial" w:hAnsi="Arial"/>
          <w:sz w:val="13"/>
          <w:szCs w:val="13"/>
          <w:color w:val="auto"/>
        </w:rPr>
        <w:t>Plan (“STIP”). Certain full-time, salaried employees of the Company’s Mexico operations are eligible to participate in the Pilgrim’s Mexico Incentive Plan (“PMIP”). The Company assumed responsibility for the Moy Park Incentive Plan dated January 1, 2013, as amended (the “MPIP”) through its acquisition of Moy Park on September 8, 2017. As of December 26, 2021, the Company has accrued $45.4 million, $30.0 thousand and $7.0 million related to cash bonus awards that could potentially be awarded under the STIP, MPIP and PMIP, respectively.</w:t>
      </w:r>
    </w:p>
    <w:p>
      <w:pPr>
        <w:spacing w:after="0" w:line="83"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3"/>
          <w:szCs w:val="13"/>
          <w:color w:val="auto"/>
        </w:rPr>
        <w:t>The Company also sponsors a performance-based, omnibus long-term incentive plan that provides for the grant of a broad range of long-term equity-based and liability-based awards to the Company’s officers and other employees, members of the Board of Directors and any consultants (the “LTIP”). Awards that may be granted under the LTIP include “incentive stock options,” within the meaning of the IRC, nonqualified stock options, stock appreciation rights, restricted stock awards and restricted stock units (“RSUs”). Equity-based awards are converted into shares of the Company’s common stock shortly after award vesting. Compensation cost to be recognized for an equity-based awards grant is determined by multiplying the number of awards granted by the closing price of a share of the Company’s common stock on the award grant date. Liability-based awards granted under the LTIP are converted into cash shortly after award vesting. Compensation cost to be recognized for a liability-based awards grant is first determined by multiplying the number of awards granted by the closing price of a share of PPC’s common stock on the award grant date. However, the compensation cost to be recognized is adjusted at each subsequent milestone date (i.e., forfeiture date, vesting date or financial reporting date) by multiplying the number of awards granted by the closing price of a share of PPC’s common stock on the milestone date. On May 1, 2019, the Company's stockholders approved the Pilgrim’s Pride Corporation 2019 Long Term Incentive Plan (the “2019 LTIP”), which replaced the expiring Pilgrim’s Pride Corporation 2009 Long-Term Incentive Plan (the “2009 LTIP”). The 2019 LTIP became effective as of December 28, 2019. As of December 26, 2021, we have in reserve approximately 1.1 million shares of common stock for future issuance under the 2019 LTIP.</w:t>
      </w:r>
    </w:p>
    <w:p>
      <w:pPr>
        <w:spacing w:after="0" w:line="99"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following awards were outstanding during 2021:</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84" w:name="page85"/>
    <w:bookmarkEnd w:id="8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NOTES TO CONSOLIDATED FINANCIAL STATEMENTS</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vMerge w:val="restart"/>
          </w:tcPr>
          <w:p>
            <w:pPr>
              <w:jc w:val="center"/>
              <w:ind w:right="100"/>
              <w:spacing w:after="0"/>
              <w:rPr>
                <w:sz w:val="20"/>
                <w:szCs w:val="20"/>
                <w:color w:val="auto"/>
              </w:rPr>
            </w:pPr>
            <w:r>
              <w:rPr>
                <w:rFonts w:ascii="Arial" w:cs="Arial" w:eastAsia="Arial" w:hAnsi="Arial"/>
                <w:sz w:val="11"/>
                <w:szCs w:val="11"/>
                <w:b w:val="1"/>
                <w:bCs w:val="1"/>
                <w:color w:val="auto"/>
                <w:w w:val="98"/>
              </w:rPr>
              <w:t>Grant Date Fair</w:t>
            </w: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vMerge w:val="restart"/>
          </w:tcPr>
          <w:p>
            <w:pPr>
              <w:jc w:val="center"/>
              <w:ind w:right="100"/>
              <w:spacing w:after="0"/>
              <w:rPr>
                <w:sz w:val="20"/>
                <w:szCs w:val="20"/>
                <w:color w:val="auto"/>
              </w:rPr>
            </w:pPr>
            <w:r>
              <w:rPr>
                <w:rFonts w:ascii="Arial" w:cs="Arial" w:eastAsia="Arial" w:hAnsi="Arial"/>
                <w:sz w:val="11"/>
                <w:szCs w:val="11"/>
                <w:b w:val="1"/>
                <w:bCs w:val="1"/>
                <w:color w:val="auto"/>
                <w:w w:val="95"/>
              </w:rPr>
              <w:t>Intended</w:t>
            </w:r>
          </w:p>
        </w:tc>
        <w:tc>
          <w:tcPr>
            <w:tcW w:w="980" w:type="dxa"/>
            <w:vAlign w:val="bottom"/>
            <w:gridSpan w:val="2"/>
            <w:vMerge w:val="restart"/>
          </w:tcPr>
          <w:p>
            <w:pPr>
              <w:jc w:val="center"/>
              <w:ind w:right="80"/>
              <w:spacing w:after="0"/>
              <w:rPr>
                <w:sz w:val="20"/>
                <w:szCs w:val="20"/>
                <w:color w:val="auto"/>
              </w:rPr>
            </w:pPr>
            <w:r>
              <w:rPr>
                <w:rFonts w:ascii="Arial" w:cs="Arial" w:eastAsia="Arial" w:hAnsi="Arial"/>
                <w:sz w:val="11"/>
                <w:szCs w:val="11"/>
                <w:b w:val="1"/>
                <w:bCs w:val="1"/>
                <w:color w:val="auto"/>
                <w:w w:val="95"/>
              </w:rPr>
              <w:t>Milestone Date</w:t>
            </w: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2"/>
              </w:rPr>
              <w:t>Performance</w:t>
            </w: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1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2"/>
          </w:tcPr>
          <w:p>
            <w:pPr>
              <w:jc w:val="center"/>
              <w:ind w:right="100"/>
              <w:spacing w:after="0" w:line="106" w:lineRule="exact"/>
              <w:rPr>
                <w:sz w:val="20"/>
                <w:szCs w:val="20"/>
                <w:color w:val="auto"/>
              </w:rPr>
            </w:pPr>
            <w:r>
              <w:rPr>
                <w:rFonts w:ascii="Arial" w:cs="Arial" w:eastAsia="Arial" w:hAnsi="Arial"/>
                <w:sz w:val="11"/>
                <w:szCs w:val="11"/>
                <w:b w:val="1"/>
                <w:bCs w:val="1"/>
                <w:color w:val="auto"/>
                <w:w w:val="95"/>
              </w:rPr>
              <w:t>Target</w:t>
            </w:r>
          </w:p>
        </w:tc>
        <w:tc>
          <w:tcPr>
            <w:tcW w:w="860" w:type="dxa"/>
            <w:vAlign w:val="bottom"/>
            <w:vMerge w:val="restart"/>
          </w:tcPr>
          <w:p>
            <w:pPr>
              <w:jc w:val="right"/>
              <w:ind w:right="183"/>
              <w:spacing w:after="0"/>
              <w:rPr>
                <w:sz w:val="20"/>
                <w:szCs w:val="20"/>
                <w:color w:val="auto"/>
              </w:rPr>
            </w:pPr>
            <w:r>
              <w:rPr>
                <w:rFonts w:ascii="Arial" w:cs="Arial" w:eastAsia="Arial" w:hAnsi="Arial"/>
                <w:sz w:val="11"/>
                <w:szCs w:val="11"/>
                <w:b w:val="1"/>
                <w:bCs w:val="1"/>
                <w:color w:val="auto"/>
              </w:rPr>
              <w:t>Awards</w:t>
            </w:r>
          </w:p>
        </w:tc>
        <w:tc>
          <w:tcPr>
            <w:tcW w:w="0" w:type="dxa"/>
            <w:vAlign w:val="bottom"/>
          </w:tcPr>
          <w:p>
            <w:pPr>
              <w:spacing w:after="0"/>
              <w:rPr>
                <w:sz w:val="1"/>
                <w:szCs w:val="1"/>
                <w:color w:val="auto"/>
              </w:rPr>
            </w:pPr>
          </w:p>
        </w:tc>
      </w:tr>
      <w:tr>
        <w:trPr>
          <w:trHeight w:val="106"/>
        </w:trPr>
        <w:tc>
          <w:tcPr>
            <w:tcW w:w="1140" w:type="dxa"/>
            <w:vAlign w:val="bottom"/>
            <w:vMerge w:val="restart"/>
          </w:tcPr>
          <w:p>
            <w:pPr>
              <w:jc w:val="center"/>
              <w:ind w:left="103"/>
              <w:spacing w:after="0"/>
              <w:rPr>
                <w:sz w:val="20"/>
                <w:szCs w:val="20"/>
                <w:color w:val="auto"/>
              </w:rPr>
            </w:pPr>
            <w:r>
              <w:rPr>
                <w:rFonts w:ascii="Arial" w:cs="Arial" w:eastAsia="Arial" w:hAnsi="Arial"/>
                <w:sz w:val="11"/>
                <w:szCs w:val="11"/>
                <w:b w:val="1"/>
                <w:bCs w:val="1"/>
                <w:color w:val="auto"/>
                <w:w w:val="91"/>
              </w:rPr>
              <w:t>Benefit Plan</w:t>
            </w:r>
          </w:p>
        </w:tc>
        <w:tc>
          <w:tcPr>
            <w:tcW w:w="940" w:type="dxa"/>
            <w:vAlign w:val="bottom"/>
            <w:gridSpan w:val="2"/>
            <w:vMerge w:val="restart"/>
          </w:tcPr>
          <w:p>
            <w:pPr>
              <w:jc w:val="center"/>
              <w:ind w:left="3"/>
              <w:spacing w:after="0"/>
              <w:rPr>
                <w:sz w:val="20"/>
                <w:szCs w:val="20"/>
                <w:color w:val="auto"/>
              </w:rPr>
            </w:pPr>
            <w:r>
              <w:rPr>
                <w:rFonts w:ascii="Arial" w:cs="Arial" w:eastAsia="Arial" w:hAnsi="Arial"/>
                <w:sz w:val="11"/>
                <w:szCs w:val="11"/>
                <w:b w:val="1"/>
                <w:bCs w:val="1"/>
                <w:color w:val="auto"/>
                <w:w w:val="96"/>
              </w:rPr>
              <w:t>Award Type</w:t>
            </w:r>
          </w:p>
        </w:tc>
        <w:tc>
          <w:tcPr>
            <w:tcW w:w="1020" w:type="dxa"/>
            <w:vAlign w:val="bottom"/>
            <w:gridSpan w:val="2"/>
            <w:vMerge w:val="restart"/>
          </w:tcPr>
          <w:p>
            <w:pPr>
              <w:ind w:left="200"/>
              <w:spacing w:after="0"/>
              <w:rPr>
                <w:sz w:val="20"/>
                <w:szCs w:val="20"/>
                <w:color w:val="auto"/>
              </w:rPr>
            </w:pPr>
            <w:r>
              <w:rPr>
                <w:rFonts w:ascii="Arial" w:cs="Arial" w:eastAsia="Arial" w:hAnsi="Arial"/>
                <w:sz w:val="11"/>
                <w:szCs w:val="11"/>
                <w:b w:val="1"/>
                <w:bCs w:val="1"/>
                <w:color w:val="auto"/>
              </w:rPr>
              <w:t>Grant Date</w:t>
            </w:r>
          </w:p>
        </w:tc>
        <w:tc>
          <w:tcPr>
            <w:tcW w:w="920" w:type="dxa"/>
            <w:vAlign w:val="bottom"/>
            <w:gridSpan w:val="2"/>
          </w:tcPr>
          <w:p>
            <w:pPr>
              <w:jc w:val="center"/>
              <w:ind w:right="100"/>
              <w:spacing w:after="0" w:line="106" w:lineRule="exact"/>
              <w:rPr>
                <w:sz w:val="20"/>
                <w:szCs w:val="20"/>
                <w:color w:val="auto"/>
              </w:rPr>
            </w:pPr>
            <w:r>
              <w:rPr>
                <w:rFonts w:ascii="Arial" w:cs="Arial" w:eastAsia="Arial" w:hAnsi="Arial"/>
                <w:sz w:val="11"/>
                <w:szCs w:val="11"/>
                <w:b w:val="1"/>
                <w:bCs w:val="1"/>
                <w:color w:val="auto"/>
                <w:w w:val="92"/>
              </w:rPr>
              <w:t>Value per</w:t>
            </w:r>
          </w:p>
        </w:tc>
        <w:tc>
          <w:tcPr>
            <w:tcW w:w="1160" w:type="dxa"/>
            <w:vAlign w:val="bottom"/>
            <w:gridSpan w:val="2"/>
            <w:vMerge w:val="restart"/>
          </w:tcPr>
          <w:p>
            <w:pPr>
              <w:jc w:val="center"/>
              <w:ind w:right="80"/>
              <w:spacing w:after="0"/>
              <w:rPr>
                <w:sz w:val="20"/>
                <w:szCs w:val="20"/>
                <w:color w:val="auto"/>
              </w:rPr>
            </w:pPr>
            <w:r>
              <w:rPr>
                <w:rFonts w:ascii="Arial" w:cs="Arial" w:eastAsia="Arial" w:hAnsi="Arial"/>
                <w:sz w:val="11"/>
                <w:szCs w:val="11"/>
                <w:b w:val="1"/>
                <w:bCs w:val="1"/>
                <w:color w:val="auto"/>
                <w:w w:val="93"/>
              </w:rPr>
              <w:t>Vesting Condition</w:t>
            </w:r>
          </w:p>
        </w:tc>
        <w:tc>
          <w:tcPr>
            <w:tcW w:w="860" w:type="dxa"/>
            <w:vAlign w:val="bottom"/>
            <w:gridSpan w:val="2"/>
            <w:vMerge w:val="restart"/>
          </w:tcPr>
          <w:p>
            <w:pPr>
              <w:jc w:val="center"/>
              <w:ind w:right="100"/>
              <w:spacing w:after="0"/>
              <w:rPr>
                <w:sz w:val="20"/>
                <w:szCs w:val="20"/>
                <w:color w:val="auto"/>
              </w:rPr>
            </w:pPr>
            <w:r>
              <w:rPr>
                <w:rFonts w:ascii="Arial" w:cs="Arial" w:eastAsia="Arial" w:hAnsi="Arial"/>
                <w:sz w:val="11"/>
                <w:szCs w:val="11"/>
                <w:b w:val="1"/>
                <w:bCs w:val="1"/>
                <w:color w:val="auto"/>
                <w:w w:val="89"/>
              </w:rPr>
              <w:t>Vesting Date</w:t>
            </w:r>
          </w:p>
        </w:tc>
        <w:tc>
          <w:tcPr>
            <w:tcW w:w="1020" w:type="dxa"/>
            <w:vAlign w:val="bottom"/>
            <w:gridSpan w:val="2"/>
          </w:tcPr>
          <w:p>
            <w:pPr>
              <w:jc w:val="center"/>
              <w:ind w:right="100"/>
              <w:spacing w:after="0" w:line="106" w:lineRule="exact"/>
              <w:rPr>
                <w:sz w:val="20"/>
                <w:szCs w:val="20"/>
                <w:color w:val="auto"/>
              </w:rPr>
            </w:pPr>
            <w:r>
              <w:rPr>
                <w:rFonts w:ascii="Arial" w:cs="Arial" w:eastAsia="Arial" w:hAnsi="Arial"/>
                <w:sz w:val="11"/>
                <w:szCs w:val="11"/>
                <w:b w:val="1"/>
                <w:bCs w:val="1"/>
                <w:color w:val="auto"/>
                <w:w w:val="92"/>
              </w:rPr>
              <w:t>Settlement</w:t>
            </w:r>
          </w:p>
        </w:tc>
        <w:tc>
          <w:tcPr>
            <w:tcW w:w="980" w:type="dxa"/>
            <w:vAlign w:val="bottom"/>
            <w:gridSpan w:val="2"/>
          </w:tcPr>
          <w:p>
            <w:pPr>
              <w:jc w:val="center"/>
              <w:ind w:right="80"/>
              <w:spacing w:after="0" w:line="106" w:lineRule="exact"/>
              <w:rPr>
                <w:sz w:val="20"/>
                <w:szCs w:val="20"/>
                <w:color w:val="auto"/>
              </w:rPr>
            </w:pPr>
            <w:r>
              <w:rPr>
                <w:rFonts w:ascii="Arial" w:cs="Arial" w:eastAsia="Arial" w:hAnsi="Arial"/>
                <w:sz w:val="11"/>
                <w:szCs w:val="11"/>
                <w:b w:val="1"/>
                <w:bCs w:val="1"/>
                <w:color w:val="auto"/>
                <w:w w:val="96"/>
              </w:rPr>
              <w:t>Fair Value per</w:t>
            </w:r>
          </w:p>
        </w:tc>
        <w:tc>
          <w:tcPr>
            <w:tcW w:w="10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Awards Granted</w:t>
            </w:r>
          </w:p>
        </w:tc>
        <w:tc>
          <w:tcPr>
            <w:tcW w:w="1380" w:type="dxa"/>
            <w:vAlign w:val="bottom"/>
            <w:gridSpan w:val="2"/>
          </w:tcPr>
          <w:p>
            <w:pPr>
              <w:jc w:val="center"/>
              <w:ind w:right="120"/>
              <w:spacing w:after="0" w:line="106" w:lineRule="exact"/>
              <w:rPr>
                <w:sz w:val="20"/>
                <w:szCs w:val="20"/>
                <w:color w:val="auto"/>
              </w:rPr>
            </w:pPr>
            <w:r>
              <w:rPr>
                <w:rFonts w:ascii="Arial" w:cs="Arial" w:eastAsia="Arial" w:hAnsi="Arial"/>
                <w:sz w:val="11"/>
                <w:szCs w:val="11"/>
                <w:b w:val="1"/>
                <w:bCs w:val="1"/>
                <w:color w:val="auto"/>
                <w:w w:val="90"/>
              </w:rPr>
              <w:t>Achievement</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1140" w:type="dxa"/>
            <w:vAlign w:val="bottom"/>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92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5"/>
              </w:rPr>
              <w:t>Award</w:t>
            </w:r>
          </w:p>
        </w:tc>
        <w:tc>
          <w:tcPr>
            <w:tcW w:w="116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2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7"/>
              </w:rPr>
              <w:t>Method</w:t>
            </w:r>
          </w:p>
        </w:tc>
        <w:tc>
          <w:tcPr>
            <w:tcW w:w="98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rPr>
              <w:t>Award</w:t>
            </w:r>
          </w:p>
        </w:tc>
        <w:tc>
          <w:tcPr>
            <w:tcW w:w="1000" w:type="dxa"/>
            <w:vAlign w:val="bottom"/>
            <w:gridSpan w:val="2"/>
            <w:vMerge w:val="continue"/>
          </w:tcPr>
          <w:p>
            <w:pPr>
              <w:spacing w:after="0"/>
              <w:rPr>
                <w:sz w:val="12"/>
                <w:szCs w:val="12"/>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4"/>
              </w:rPr>
              <w:t>Award Adjustment</w:t>
            </w:r>
          </w:p>
        </w:tc>
        <w:tc>
          <w:tcPr>
            <w:tcW w:w="860" w:type="dxa"/>
            <w:vAlign w:val="bottom"/>
          </w:tcPr>
          <w:p>
            <w:pPr>
              <w:jc w:val="right"/>
              <w:spacing w:after="0"/>
              <w:rPr>
                <w:sz w:val="20"/>
                <w:szCs w:val="20"/>
                <w:color w:val="auto"/>
              </w:rPr>
            </w:pPr>
            <w:r>
              <w:rPr>
                <w:rFonts w:ascii="Arial" w:cs="Arial" w:eastAsia="Arial" w:hAnsi="Arial"/>
                <w:sz w:val="11"/>
                <w:szCs w:val="11"/>
                <w:b w:val="1"/>
                <w:bCs w:val="1"/>
                <w:color w:val="auto"/>
                <w:w w:val="93"/>
              </w:rPr>
              <w:t>Forfeited to Date</w:t>
            </w:r>
          </w:p>
        </w:tc>
        <w:tc>
          <w:tcPr>
            <w:tcW w:w="0" w:type="dxa"/>
            <w:vAlign w:val="bottom"/>
          </w:tcPr>
          <w:p>
            <w:pPr>
              <w:spacing w:after="0"/>
              <w:rPr>
                <w:sz w:val="1"/>
                <w:szCs w:val="1"/>
                <w:color w:val="auto"/>
              </w:rPr>
            </w:pPr>
          </w:p>
        </w:tc>
      </w:tr>
      <w:tr>
        <w:trPr>
          <w:trHeight w:val="140"/>
        </w:trPr>
        <w:tc>
          <w:tcPr>
            <w:tcW w:w="1140" w:type="dxa"/>
            <w:vAlign w:val="bottom"/>
            <w:tcBorders>
              <w:top w:val="single" w:sz="8" w:color="auto"/>
            </w:tcBorders>
            <w:shd w:val="clear" w:color="auto" w:fill="CCEEFF"/>
          </w:tcPr>
          <w:p>
            <w:pPr>
              <w:jc w:val="center"/>
              <w:ind w:left="83"/>
              <w:spacing w:after="0"/>
              <w:rPr>
                <w:sz w:val="20"/>
                <w:szCs w:val="20"/>
                <w:color w:val="auto"/>
              </w:rPr>
            </w:pPr>
            <w:r>
              <w:rPr>
                <w:rFonts w:ascii="Arial" w:cs="Arial" w:eastAsia="Arial" w:hAnsi="Arial"/>
                <w:sz w:val="11"/>
                <w:szCs w:val="11"/>
                <w:color w:val="auto"/>
                <w:w w:val="94"/>
              </w:rPr>
              <w:t>2009 LTIP</w:t>
            </w:r>
          </w:p>
        </w:tc>
        <w:tc>
          <w:tcPr>
            <w:tcW w:w="840" w:type="dxa"/>
            <w:vAlign w:val="bottom"/>
            <w:tcBorders>
              <w:top w:val="single" w:sz="8" w:color="auto"/>
            </w:tcBorders>
            <w:shd w:val="clear" w:color="auto" w:fill="CCEEFF"/>
          </w:tcPr>
          <w:p>
            <w:pPr>
              <w:jc w:val="center"/>
              <w:ind w:left="83"/>
              <w:spacing w:after="0"/>
              <w:rPr>
                <w:sz w:val="20"/>
                <w:szCs w:val="20"/>
                <w:color w:val="auto"/>
              </w:rPr>
            </w:pPr>
            <w:r>
              <w:rPr>
                <w:rFonts w:ascii="Arial" w:cs="Arial" w:eastAsia="Arial" w:hAnsi="Arial"/>
                <w:sz w:val="11"/>
                <w:szCs w:val="11"/>
                <w:color w:val="auto"/>
                <w:w w:val="94"/>
              </w:rPr>
              <w:t>RSU</w:t>
            </w:r>
          </w:p>
        </w:tc>
        <w:tc>
          <w:tcPr>
            <w:tcW w:w="10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3/1/2018</w:t>
            </w:r>
          </w:p>
        </w:tc>
        <w:tc>
          <w:tcPr>
            <w:tcW w:w="10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1"/>
                <w:szCs w:val="11"/>
                <w:color w:val="auto"/>
                <w:w w:val="94"/>
              </w:rPr>
              <w:t>$24.93</w:t>
            </w:r>
          </w:p>
        </w:tc>
        <w:tc>
          <w:tcPr>
            <w:tcW w:w="80" w:type="dxa"/>
            <w:vAlign w:val="bottom"/>
            <w:tcBorders>
              <w:top w:val="single" w:sz="8" w:color="CCEEFF"/>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1"/>
                <w:szCs w:val="11"/>
                <w:color w:val="auto"/>
                <w:w w:val="92"/>
              </w:rPr>
              <w:t>Service</w:t>
            </w:r>
          </w:p>
        </w:tc>
        <w:tc>
          <w:tcPr>
            <w:tcW w:w="8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1"/>
                <w:szCs w:val="11"/>
                <w:color w:val="auto"/>
                <w:w w:val="88"/>
              </w:rPr>
              <w:t>(a)</w:t>
            </w:r>
          </w:p>
        </w:tc>
        <w:tc>
          <w:tcPr>
            <w:tcW w:w="10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1"/>
                <w:szCs w:val="11"/>
                <w:color w:val="auto"/>
                <w:w w:val="94"/>
              </w:rPr>
              <w:t>Stock</w:t>
            </w:r>
          </w:p>
        </w:tc>
        <w:tc>
          <w:tcPr>
            <w:tcW w:w="10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1"/>
                <w:szCs w:val="11"/>
                <w:color w:val="auto"/>
              </w:rPr>
              <w:t>NA</w:t>
            </w:r>
          </w:p>
        </w:tc>
        <w:tc>
          <w:tcPr>
            <w:tcW w:w="8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163,764</w:t>
            </w:r>
          </w:p>
        </w:tc>
        <w:tc>
          <w:tcPr>
            <w:tcW w:w="100" w:type="dxa"/>
            <w:vAlign w:val="bottom"/>
            <w:tcBorders>
              <w:top w:val="single" w:sz="8" w:color="CCEEFF"/>
            </w:tcBorders>
            <w:shd w:val="clear" w:color="auto" w:fill="CCEEFF"/>
          </w:tcPr>
          <w:p>
            <w:pPr>
              <w:spacing w:after="0"/>
              <w:rPr>
                <w:sz w:val="12"/>
                <w:szCs w:val="12"/>
                <w:color w:val="auto"/>
              </w:rPr>
            </w:pPr>
          </w:p>
        </w:tc>
        <w:tc>
          <w:tcPr>
            <w:tcW w:w="130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(51,491)</w:t>
            </w:r>
          </w:p>
        </w:tc>
        <w:tc>
          <w:tcPr>
            <w:tcW w:w="0" w:type="dxa"/>
            <w:vAlign w:val="bottom"/>
          </w:tcPr>
          <w:p>
            <w:pPr>
              <w:spacing w:after="0"/>
              <w:rPr>
                <w:sz w:val="1"/>
                <w:szCs w:val="1"/>
                <w:color w:val="auto"/>
              </w:rPr>
            </w:pPr>
          </w:p>
        </w:tc>
      </w:tr>
      <w:tr>
        <w:trPr>
          <w:trHeight w:val="147"/>
        </w:trPr>
        <w:tc>
          <w:tcPr>
            <w:tcW w:w="1140" w:type="dxa"/>
            <w:vAlign w:val="bottom"/>
          </w:tcPr>
          <w:p>
            <w:pPr>
              <w:jc w:val="center"/>
              <w:ind w:left="83"/>
              <w:spacing w:after="0"/>
              <w:rPr>
                <w:sz w:val="20"/>
                <w:szCs w:val="20"/>
                <w:color w:val="auto"/>
              </w:rPr>
            </w:pPr>
            <w:r>
              <w:rPr>
                <w:rFonts w:ascii="Arial" w:cs="Arial" w:eastAsia="Arial" w:hAnsi="Arial"/>
                <w:sz w:val="11"/>
                <w:szCs w:val="11"/>
                <w:color w:val="auto"/>
                <w:w w:val="94"/>
              </w:rPr>
              <w:t>2009 LTIP</w:t>
            </w:r>
          </w:p>
        </w:tc>
        <w:tc>
          <w:tcPr>
            <w:tcW w:w="940" w:type="dxa"/>
            <w:vAlign w:val="bottom"/>
            <w:gridSpan w:val="2"/>
          </w:tcPr>
          <w:p>
            <w:pPr>
              <w:jc w:val="center"/>
              <w:spacing w:after="0"/>
              <w:rPr>
                <w:sz w:val="20"/>
                <w:szCs w:val="20"/>
                <w:color w:val="auto"/>
              </w:rPr>
            </w:pPr>
            <w:r>
              <w:rPr>
                <w:rFonts w:ascii="Arial" w:cs="Arial" w:eastAsia="Arial" w:hAnsi="Arial"/>
                <w:sz w:val="11"/>
                <w:szCs w:val="11"/>
                <w:color w:val="auto"/>
                <w:w w:val="94"/>
              </w:rPr>
              <w:t>RSU</w:t>
            </w:r>
          </w:p>
        </w:tc>
        <w:tc>
          <w:tcPr>
            <w:tcW w:w="920" w:type="dxa"/>
            <w:vAlign w:val="bottom"/>
          </w:tcPr>
          <w:p>
            <w:pPr>
              <w:jc w:val="right"/>
              <w:spacing w:after="0"/>
              <w:rPr>
                <w:sz w:val="20"/>
                <w:szCs w:val="20"/>
                <w:color w:val="auto"/>
              </w:rPr>
            </w:pPr>
            <w:r>
              <w:rPr>
                <w:rFonts w:ascii="Arial" w:cs="Arial" w:eastAsia="Arial" w:hAnsi="Arial"/>
                <w:sz w:val="11"/>
                <w:szCs w:val="11"/>
                <w:color w:val="auto"/>
              </w:rPr>
              <w:t>3/1/2018</w:t>
            </w:r>
          </w:p>
        </w:tc>
        <w:tc>
          <w:tcPr>
            <w:tcW w:w="100" w:type="dxa"/>
            <w:vAlign w:val="bottom"/>
          </w:tcPr>
          <w:p>
            <w:pPr>
              <w:spacing w:after="0"/>
              <w:rPr>
                <w:sz w:val="12"/>
                <w:szCs w:val="12"/>
                <w:color w:val="auto"/>
              </w:rPr>
            </w:pPr>
          </w:p>
        </w:tc>
        <w:tc>
          <w:tcPr>
            <w:tcW w:w="840" w:type="dxa"/>
            <w:vAlign w:val="bottom"/>
          </w:tcPr>
          <w:p>
            <w:pPr>
              <w:jc w:val="center"/>
              <w:spacing w:after="0"/>
              <w:rPr>
                <w:sz w:val="20"/>
                <w:szCs w:val="20"/>
                <w:color w:val="auto"/>
              </w:rPr>
            </w:pPr>
            <w:r>
              <w:rPr>
                <w:rFonts w:ascii="Arial" w:cs="Arial" w:eastAsia="Arial" w:hAnsi="Arial"/>
                <w:sz w:val="11"/>
                <w:szCs w:val="11"/>
                <w:color w:val="auto"/>
                <w:w w:val="94"/>
              </w:rPr>
              <w:t>$24.93</w:t>
            </w:r>
          </w:p>
        </w:tc>
        <w:tc>
          <w:tcPr>
            <w:tcW w:w="80" w:type="dxa"/>
            <w:vAlign w:val="bottom"/>
          </w:tcPr>
          <w:p>
            <w:pPr>
              <w:spacing w:after="0"/>
              <w:rPr>
                <w:sz w:val="12"/>
                <w:szCs w:val="12"/>
                <w:color w:val="auto"/>
              </w:rPr>
            </w:pPr>
          </w:p>
        </w:tc>
        <w:tc>
          <w:tcPr>
            <w:tcW w:w="1160" w:type="dxa"/>
            <w:vAlign w:val="bottom"/>
            <w:gridSpan w:val="2"/>
          </w:tcPr>
          <w:p>
            <w:pPr>
              <w:jc w:val="center"/>
              <w:ind w:right="80"/>
              <w:spacing w:after="0"/>
              <w:rPr>
                <w:sz w:val="20"/>
                <w:szCs w:val="20"/>
                <w:color w:val="auto"/>
              </w:rPr>
            </w:pPr>
            <w:r>
              <w:rPr>
                <w:rFonts w:ascii="Arial" w:cs="Arial" w:eastAsia="Arial" w:hAnsi="Arial"/>
                <w:sz w:val="11"/>
                <w:szCs w:val="11"/>
                <w:color w:val="auto"/>
                <w:w w:val="93"/>
              </w:rPr>
              <w:t>Performance/Service</w:t>
            </w:r>
          </w:p>
        </w:tc>
        <w:tc>
          <w:tcPr>
            <w:tcW w:w="860" w:type="dxa"/>
            <w:vAlign w:val="bottom"/>
            <w:gridSpan w:val="2"/>
          </w:tcPr>
          <w:p>
            <w:pPr>
              <w:jc w:val="center"/>
              <w:ind w:right="80"/>
              <w:spacing w:after="0"/>
              <w:rPr>
                <w:sz w:val="20"/>
                <w:szCs w:val="20"/>
                <w:color w:val="auto"/>
              </w:rPr>
            </w:pPr>
            <w:r>
              <w:rPr>
                <w:rFonts w:ascii="Arial" w:cs="Arial" w:eastAsia="Arial" w:hAnsi="Arial"/>
                <w:sz w:val="11"/>
                <w:szCs w:val="11"/>
                <w:color w:val="auto"/>
              </w:rPr>
              <w:t>(b)</w:t>
            </w:r>
          </w:p>
        </w:tc>
        <w:tc>
          <w:tcPr>
            <w:tcW w:w="1020" w:type="dxa"/>
            <w:vAlign w:val="bottom"/>
            <w:gridSpan w:val="2"/>
          </w:tcPr>
          <w:p>
            <w:pPr>
              <w:jc w:val="center"/>
              <w:ind w:right="80"/>
              <w:spacing w:after="0"/>
              <w:rPr>
                <w:sz w:val="20"/>
                <w:szCs w:val="20"/>
                <w:color w:val="auto"/>
              </w:rPr>
            </w:pPr>
            <w:r>
              <w:rPr>
                <w:rFonts w:ascii="Arial" w:cs="Arial" w:eastAsia="Arial" w:hAnsi="Arial"/>
                <w:sz w:val="11"/>
                <w:szCs w:val="11"/>
                <w:color w:val="auto"/>
                <w:w w:val="94"/>
              </w:rPr>
              <w:t>Stock</w:t>
            </w:r>
          </w:p>
        </w:tc>
        <w:tc>
          <w:tcPr>
            <w:tcW w:w="980" w:type="dxa"/>
            <w:vAlign w:val="bottom"/>
            <w:gridSpan w:val="2"/>
          </w:tcPr>
          <w:p>
            <w:pPr>
              <w:jc w:val="center"/>
              <w:ind w:right="80"/>
              <w:spacing w:after="0"/>
              <w:rPr>
                <w:sz w:val="20"/>
                <w:szCs w:val="20"/>
                <w:color w:val="auto"/>
              </w:rPr>
            </w:pPr>
            <w:r>
              <w:rPr>
                <w:rFonts w:ascii="Arial" w:cs="Arial" w:eastAsia="Arial" w:hAnsi="Arial"/>
                <w:sz w:val="11"/>
                <w:szCs w:val="11"/>
                <w:color w:val="auto"/>
              </w:rPr>
              <w:t>NA</w:t>
            </w:r>
          </w:p>
        </w:tc>
        <w:tc>
          <w:tcPr>
            <w:tcW w:w="900" w:type="dxa"/>
            <w:vAlign w:val="bottom"/>
          </w:tcPr>
          <w:p>
            <w:pPr>
              <w:jc w:val="right"/>
              <w:spacing w:after="0"/>
              <w:rPr>
                <w:sz w:val="20"/>
                <w:szCs w:val="20"/>
                <w:color w:val="auto"/>
              </w:rPr>
            </w:pPr>
            <w:r>
              <w:rPr>
                <w:rFonts w:ascii="Arial" w:cs="Arial" w:eastAsia="Arial" w:hAnsi="Arial"/>
                <w:sz w:val="11"/>
                <w:szCs w:val="11"/>
                <w:color w:val="auto"/>
              </w:rPr>
              <w:t>217,253</w:t>
            </w:r>
          </w:p>
        </w:tc>
        <w:tc>
          <w:tcPr>
            <w:tcW w:w="10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1"/>
                <w:szCs w:val="11"/>
                <w:color w:val="auto"/>
              </w:rPr>
              <w:t>(53,376)</w:t>
            </w:r>
          </w:p>
        </w:tc>
        <w:tc>
          <w:tcPr>
            <w:tcW w:w="8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(83,527)</w:t>
            </w:r>
          </w:p>
        </w:tc>
        <w:tc>
          <w:tcPr>
            <w:tcW w:w="0" w:type="dxa"/>
            <w:vAlign w:val="bottom"/>
          </w:tcPr>
          <w:p>
            <w:pPr>
              <w:spacing w:after="0"/>
              <w:rPr>
                <w:sz w:val="1"/>
                <w:szCs w:val="1"/>
                <w:color w:val="auto"/>
              </w:rPr>
            </w:pPr>
          </w:p>
        </w:tc>
      </w:tr>
      <w:tr>
        <w:trPr>
          <w:trHeight w:val="150"/>
        </w:trPr>
        <w:tc>
          <w:tcPr>
            <w:tcW w:w="1140" w:type="dxa"/>
            <w:vAlign w:val="bottom"/>
            <w:shd w:val="clear" w:color="auto" w:fill="CCEEFF"/>
          </w:tcPr>
          <w:p>
            <w:pPr>
              <w:jc w:val="center"/>
              <w:ind w:left="83"/>
              <w:spacing w:after="0"/>
              <w:rPr>
                <w:sz w:val="20"/>
                <w:szCs w:val="20"/>
                <w:color w:val="auto"/>
              </w:rPr>
            </w:pPr>
            <w:r>
              <w:rPr>
                <w:rFonts w:ascii="Arial" w:cs="Arial" w:eastAsia="Arial" w:hAnsi="Arial"/>
                <w:sz w:val="11"/>
                <w:szCs w:val="11"/>
                <w:color w:val="auto"/>
                <w:w w:val="94"/>
              </w:rPr>
              <w:t>2009 LTIP</w:t>
            </w:r>
          </w:p>
        </w:tc>
        <w:tc>
          <w:tcPr>
            <w:tcW w:w="940" w:type="dxa"/>
            <w:vAlign w:val="bottom"/>
            <w:gridSpan w:val="2"/>
            <w:shd w:val="clear" w:color="auto" w:fill="CCEEFF"/>
          </w:tcPr>
          <w:p>
            <w:pPr>
              <w:jc w:val="center"/>
              <w:spacing w:after="0"/>
              <w:rPr>
                <w:sz w:val="20"/>
                <w:szCs w:val="20"/>
                <w:color w:val="auto"/>
              </w:rPr>
            </w:pPr>
            <w:r>
              <w:rPr>
                <w:rFonts w:ascii="Arial" w:cs="Arial" w:eastAsia="Arial" w:hAnsi="Arial"/>
                <w:sz w:val="11"/>
                <w:szCs w:val="11"/>
                <w:color w:val="auto"/>
                <w:w w:val="94"/>
              </w:rPr>
              <w:t>RSU</w:t>
            </w: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3/1/2018</w:t>
            </w: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4"/>
              </w:rPr>
              <w:t>$24.93</w:t>
            </w:r>
          </w:p>
        </w:tc>
        <w:tc>
          <w:tcPr>
            <w:tcW w:w="8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center"/>
              <w:ind w:right="80"/>
              <w:spacing w:after="0"/>
              <w:rPr>
                <w:sz w:val="20"/>
                <w:szCs w:val="20"/>
                <w:color w:val="auto"/>
              </w:rPr>
            </w:pPr>
            <w:r>
              <w:rPr>
                <w:rFonts w:ascii="Arial" w:cs="Arial" w:eastAsia="Arial" w:hAnsi="Arial"/>
                <w:sz w:val="11"/>
                <w:szCs w:val="11"/>
                <w:color w:val="auto"/>
                <w:w w:val="93"/>
              </w:rPr>
              <w:t>Performance/Service</w:t>
            </w:r>
          </w:p>
        </w:tc>
        <w:tc>
          <w:tcPr>
            <w:tcW w:w="860" w:type="dxa"/>
            <w:vAlign w:val="bottom"/>
            <w:gridSpan w:val="2"/>
            <w:shd w:val="clear" w:color="auto" w:fill="CCEEFF"/>
          </w:tcPr>
          <w:p>
            <w:pPr>
              <w:jc w:val="center"/>
              <w:ind w:right="100"/>
              <w:spacing w:after="0"/>
              <w:rPr>
                <w:sz w:val="20"/>
                <w:szCs w:val="20"/>
                <w:color w:val="auto"/>
              </w:rPr>
            </w:pPr>
            <w:r>
              <w:rPr>
                <w:rFonts w:ascii="Arial" w:cs="Arial" w:eastAsia="Arial" w:hAnsi="Arial"/>
                <w:sz w:val="11"/>
                <w:szCs w:val="11"/>
                <w:color w:val="auto"/>
                <w:w w:val="93"/>
              </w:rPr>
              <w:t>(c)</w:t>
            </w:r>
          </w:p>
        </w:tc>
        <w:tc>
          <w:tcPr>
            <w:tcW w:w="1020" w:type="dxa"/>
            <w:vAlign w:val="bottom"/>
            <w:gridSpan w:val="2"/>
            <w:shd w:val="clear" w:color="auto" w:fill="CCEEFF"/>
          </w:tcPr>
          <w:p>
            <w:pPr>
              <w:jc w:val="center"/>
              <w:ind w:right="80"/>
              <w:spacing w:after="0"/>
              <w:rPr>
                <w:sz w:val="20"/>
                <w:szCs w:val="20"/>
                <w:color w:val="auto"/>
              </w:rPr>
            </w:pPr>
            <w:r>
              <w:rPr>
                <w:rFonts w:ascii="Arial" w:cs="Arial" w:eastAsia="Arial" w:hAnsi="Arial"/>
                <w:sz w:val="11"/>
                <w:szCs w:val="11"/>
                <w:color w:val="auto"/>
                <w:w w:val="85"/>
              </w:rPr>
              <w:t>Cash</w:t>
            </w:r>
          </w:p>
        </w:tc>
        <w:tc>
          <w:tcPr>
            <w:tcW w:w="90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89"/>
              </w:rPr>
              <w:t>$27.55</w:t>
            </w: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66,272</w:t>
            </w:r>
          </w:p>
        </w:tc>
        <w:tc>
          <w:tcPr>
            <w:tcW w:w="100" w:type="dxa"/>
            <w:vAlign w:val="bottom"/>
            <w:shd w:val="clear" w:color="auto" w:fill="CCEEFF"/>
          </w:tcPr>
          <w:p>
            <w:pPr>
              <w:spacing w:after="0"/>
              <w:rPr>
                <w:sz w:val="13"/>
                <w:szCs w:val="1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(17,863)</w:t>
            </w: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(15,235)</w:t>
            </w:r>
          </w:p>
        </w:tc>
        <w:tc>
          <w:tcPr>
            <w:tcW w:w="0" w:type="dxa"/>
            <w:vAlign w:val="bottom"/>
          </w:tcPr>
          <w:p>
            <w:pPr>
              <w:spacing w:after="0"/>
              <w:rPr>
                <w:sz w:val="1"/>
                <w:szCs w:val="1"/>
                <w:color w:val="auto"/>
              </w:rPr>
            </w:pPr>
          </w:p>
        </w:tc>
      </w:tr>
      <w:tr>
        <w:trPr>
          <w:trHeight w:val="147"/>
        </w:trPr>
        <w:tc>
          <w:tcPr>
            <w:tcW w:w="1140" w:type="dxa"/>
            <w:vAlign w:val="bottom"/>
          </w:tcPr>
          <w:p>
            <w:pPr>
              <w:jc w:val="center"/>
              <w:ind w:left="83"/>
              <w:spacing w:after="0"/>
              <w:rPr>
                <w:sz w:val="20"/>
                <w:szCs w:val="20"/>
                <w:color w:val="auto"/>
              </w:rPr>
            </w:pPr>
            <w:r>
              <w:rPr>
                <w:rFonts w:ascii="Arial" w:cs="Arial" w:eastAsia="Arial" w:hAnsi="Arial"/>
                <w:sz w:val="11"/>
                <w:szCs w:val="11"/>
                <w:color w:val="auto"/>
                <w:w w:val="94"/>
              </w:rPr>
              <w:t>2009 LTIP</w:t>
            </w:r>
          </w:p>
        </w:tc>
        <w:tc>
          <w:tcPr>
            <w:tcW w:w="940" w:type="dxa"/>
            <w:vAlign w:val="bottom"/>
            <w:gridSpan w:val="2"/>
          </w:tcPr>
          <w:p>
            <w:pPr>
              <w:jc w:val="center"/>
              <w:spacing w:after="0"/>
              <w:rPr>
                <w:sz w:val="20"/>
                <w:szCs w:val="20"/>
                <w:color w:val="auto"/>
              </w:rPr>
            </w:pPr>
            <w:r>
              <w:rPr>
                <w:rFonts w:ascii="Arial" w:cs="Arial" w:eastAsia="Arial" w:hAnsi="Arial"/>
                <w:sz w:val="11"/>
                <w:szCs w:val="11"/>
                <w:color w:val="auto"/>
                <w:w w:val="94"/>
              </w:rPr>
              <w:t>RSU</w:t>
            </w:r>
          </w:p>
        </w:tc>
        <w:tc>
          <w:tcPr>
            <w:tcW w:w="920" w:type="dxa"/>
            <w:vAlign w:val="bottom"/>
          </w:tcPr>
          <w:p>
            <w:pPr>
              <w:jc w:val="right"/>
              <w:spacing w:after="0"/>
              <w:rPr>
                <w:sz w:val="20"/>
                <w:szCs w:val="20"/>
                <w:color w:val="auto"/>
              </w:rPr>
            </w:pPr>
            <w:r>
              <w:rPr>
                <w:rFonts w:ascii="Arial" w:cs="Arial" w:eastAsia="Arial" w:hAnsi="Arial"/>
                <w:sz w:val="11"/>
                <w:szCs w:val="11"/>
                <w:color w:val="auto"/>
              </w:rPr>
              <w:t>5/10/2018</w:t>
            </w:r>
          </w:p>
        </w:tc>
        <w:tc>
          <w:tcPr>
            <w:tcW w:w="100" w:type="dxa"/>
            <w:vAlign w:val="bottom"/>
          </w:tcPr>
          <w:p>
            <w:pPr>
              <w:spacing w:after="0"/>
              <w:rPr>
                <w:sz w:val="12"/>
                <w:szCs w:val="12"/>
                <w:color w:val="auto"/>
              </w:rPr>
            </w:pPr>
          </w:p>
        </w:tc>
        <w:tc>
          <w:tcPr>
            <w:tcW w:w="840" w:type="dxa"/>
            <w:vAlign w:val="bottom"/>
          </w:tcPr>
          <w:p>
            <w:pPr>
              <w:jc w:val="center"/>
              <w:spacing w:after="0"/>
              <w:rPr>
                <w:sz w:val="20"/>
                <w:szCs w:val="20"/>
                <w:color w:val="auto"/>
              </w:rPr>
            </w:pPr>
            <w:r>
              <w:rPr>
                <w:rFonts w:ascii="Arial" w:cs="Arial" w:eastAsia="Arial" w:hAnsi="Arial"/>
                <w:sz w:val="11"/>
                <w:szCs w:val="11"/>
                <w:color w:val="auto"/>
                <w:w w:val="94"/>
              </w:rPr>
              <w:t>$21.54</w:t>
            </w:r>
          </w:p>
        </w:tc>
        <w:tc>
          <w:tcPr>
            <w:tcW w:w="80" w:type="dxa"/>
            <w:vAlign w:val="bottom"/>
          </w:tcPr>
          <w:p>
            <w:pPr>
              <w:spacing w:after="0"/>
              <w:rPr>
                <w:sz w:val="12"/>
                <w:szCs w:val="12"/>
                <w:color w:val="auto"/>
              </w:rPr>
            </w:pPr>
          </w:p>
        </w:tc>
        <w:tc>
          <w:tcPr>
            <w:tcW w:w="1160" w:type="dxa"/>
            <w:vAlign w:val="bottom"/>
            <w:gridSpan w:val="2"/>
          </w:tcPr>
          <w:p>
            <w:pPr>
              <w:jc w:val="center"/>
              <w:ind w:right="60"/>
              <w:spacing w:after="0"/>
              <w:rPr>
                <w:sz w:val="20"/>
                <w:szCs w:val="20"/>
                <w:color w:val="auto"/>
              </w:rPr>
            </w:pPr>
            <w:r>
              <w:rPr>
                <w:rFonts w:ascii="Arial" w:cs="Arial" w:eastAsia="Arial" w:hAnsi="Arial"/>
                <w:sz w:val="11"/>
                <w:szCs w:val="11"/>
                <w:color w:val="auto"/>
                <w:w w:val="92"/>
              </w:rPr>
              <w:t>Service</w:t>
            </w:r>
          </w:p>
        </w:tc>
        <w:tc>
          <w:tcPr>
            <w:tcW w:w="860" w:type="dxa"/>
            <w:vAlign w:val="bottom"/>
            <w:gridSpan w:val="2"/>
          </w:tcPr>
          <w:p>
            <w:pPr>
              <w:jc w:val="center"/>
              <w:ind w:right="80"/>
              <w:spacing w:after="0"/>
              <w:rPr>
                <w:sz w:val="20"/>
                <w:szCs w:val="20"/>
                <w:color w:val="auto"/>
              </w:rPr>
            </w:pPr>
            <w:r>
              <w:rPr>
                <w:rFonts w:ascii="Arial" w:cs="Arial" w:eastAsia="Arial" w:hAnsi="Arial"/>
                <w:sz w:val="11"/>
                <w:szCs w:val="11"/>
                <w:color w:val="auto"/>
              </w:rPr>
              <w:t>(d)</w:t>
            </w:r>
          </w:p>
        </w:tc>
        <w:tc>
          <w:tcPr>
            <w:tcW w:w="1020" w:type="dxa"/>
            <w:vAlign w:val="bottom"/>
            <w:gridSpan w:val="2"/>
          </w:tcPr>
          <w:p>
            <w:pPr>
              <w:jc w:val="center"/>
              <w:ind w:right="80"/>
              <w:spacing w:after="0"/>
              <w:rPr>
                <w:sz w:val="20"/>
                <w:szCs w:val="20"/>
                <w:color w:val="auto"/>
              </w:rPr>
            </w:pPr>
            <w:r>
              <w:rPr>
                <w:rFonts w:ascii="Arial" w:cs="Arial" w:eastAsia="Arial" w:hAnsi="Arial"/>
                <w:sz w:val="11"/>
                <w:szCs w:val="11"/>
                <w:color w:val="auto"/>
                <w:w w:val="94"/>
              </w:rPr>
              <w:t>Stock</w:t>
            </w:r>
          </w:p>
        </w:tc>
        <w:tc>
          <w:tcPr>
            <w:tcW w:w="980" w:type="dxa"/>
            <w:vAlign w:val="bottom"/>
            <w:gridSpan w:val="2"/>
          </w:tcPr>
          <w:p>
            <w:pPr>
              <w:jc w:val="center"/>
              <w:ind w:right="80"/>
              <w:spacing w:after="0"/>
              <w:rPr>
                <w:sz w:val="20"/>
                <w:szCs w:val="20"/>
                <w:color w:val="auto"/>
              </w:rPr>
            </w:pPr>
            <w:r>
              <w:rPr>
                <w:rFonts w:ascii="Arial" w:cs="Arial" w:eastAsia="Arial" w:hAnsi="Arial"/>
                <w:sz w:val="11"/>
                <w:szCs w:val="11"/>
                <w:color w:val="auto"/>
              </w:rPr>
              <w:t>NA</w:t>
            </w:r>
          </w:p>
        </w:tc>
        <w:tc>
          <w:tcPr>
            <w:tcW w:w="900" w:type="dxa"/>
            <w:vAlign w:val="bottom"/>
          </w:tcPr>
          <w:p>
            <w:pPr>
              <w:jc w:val="right"/>
              <w:spacing w:after="0"/>
              <w:rPr>
                <w:sz w:val="20"/>
                <w:szCs w:val="20"/>
                <w:color w:val="auto"/>
              </w:rPr>
            </w:pPr>
            <w:r>
              <w:rPr>
                <w:rFonts w:ascii="Arial" w:cs="Arial" w:eastAsia="Arial" w:hAnsi="Arial"/>
                <w:sz w:val="11"/>
                <w:szCs w:val="11"/>
                <w:color w:val="auto"/>
              </w:rPr>
              <w:t>8,358</w:t>
            </w:r>
          </w:p>
        </w:tc>
        <w:tc>
          <w:tcPr>
            <w:tcW w:w="100" w:type="dxa"/>
            <w:vAlign w:val="bottom"/>
          </w:tcPr>
          <w:p>
            <w:pPr>
              <w:spacing w:after="0"/>
              <w:rPr>
                <w:sz w:val="12"/>
                <w:szCs w:val="12"/>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6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0"/>
        </w:trPr>
        <w:tc>
          <w:tcPr>
            <w:tcW w:w="1140" w:type="dxa"/>
            <w:vAlign w:val="bottom"/>
            <w:shd w:val="clear" w:color="auto" w:fill="CCEEFF"/>
          </w:tcPr>
          <w:p>
            <w:pPr>
              <w:jc w:val="center"/>
              <w:ind w:left="83"/>
              <w:spacing w:after="0"/>
              <w:rPr>
                <w:sz w:val="20"/>
                <w:szCs w:val="20"/>
                <w:color w:val="auto"/>
              </w:rPr>
            </w:pPr>
            <w:r>
              <w:rPr>
                <w:rFonts w:ascii="Arial" w:cs="Arial" w:eastAsia="Arial" w:hAnsi="Arial"/>
                <w:sz w:val="11"/>
                <w:szCs w:val="11"/>
                <w:color w:val="auto"/>
                <w:w w:val="94"/>
              </w:rPr>
              <w:t>2009 LTIP</w:t>
            </w:r>
          </w:p>
        </w:tc>
        <w:tc>
          <w:tcPr>
            <w:tcW w:w="940" w:type="dxa"/>
            <w:vAlign w:val="bottom"/>
            <w:gridSpan w:val="2"/>
            <w:shd w:val="clear" w:color="auto" w:fill="CCEEFF"/>
          </w:tcPr>
          <w:p>
            <w:pPr>
              <w:jc w:val="center"/>
              <w:spacing w:after="0"/>
              <w:rPr>
                <w:sz w:val="20"/>
                <w:szCs w:val="20"/>
                <w:color w:val="auto"/>
              </w:rPr>
            </w:pPr>
            <w:r>
              <w:rPr>
                <w:rFonts w:ascii="Arial" w:cs="Arial" w:eastAsia="Arial" w:hAnsi="Arial"/>
                <w:sz w:val="11"/>
                <w:szCs w:val="11"/>
                <w:color w:val="auto"/>
                <w:w w:val="94"/>
              </w:rPr>
              <w:t>RSU</w:t>
            </w: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1/7/2019</w:t>
            </w: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4"/>
              </w:rPr>
              <w:t>$16.47</w:t>
            </w:r>
          </w:p>
        </w:tc>
        <w:tc>
          <w:tcPr>
            <w:tcW w:w="8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center"/>
              <w:ind w:right="80"/>
              <w:spacing w:after="0"/>
              <w:rPr>
                <w:sz w:val="20"/>
                <w:szCs w:val="20"/>
                <w:color w:val="auto"/>
              </w:rPr>
            </w:pPr>
            <w:r>
              <w:rPr>
                <w:rFonts w:ascii="Arial" w:cs="Arial" w:eastAsia="Arial" w:hAnsi="Arial"/>
                <w:sz w:val="11"/>
                <w:szCs w:val="11"/>
                <w:color w:val="auto"/>
                <w:w w:val="93"/>
              </w:rPr>
              <w:t>Performance/Service</w:t>
            </w:r>
          </w:p>
        </w:tc>
        <w:tc>
          <w:tcPr>
            <w:tcW w:w="860" w:type="dxa"/>
            <w:vAlign w:val="bottom"/>
            <w:gridSpan w:val="2"/>
            <w:shd w:val="clear" w:color="auto" w:fill="CCEEFF"/>
          </w:tcPr>
          <w:p>
            <w:pPr>
              <w:jc w:val="center"/>
              <w:ind w:right="100"/>
              <w:spacing w:after="0"/>
              <w:rPr>
                <w:sz w:val="20"/>
                <w:szCs w:val="20"/>
                <w:color w:val="auto"/>
              </w:rPr>
            </w:pPr>
            <w:r>
              <w:rPr>
                <w:rFonts w:ascii="Arial" w:cs="Arial" w:eastAsia="Arial" w:hAnsi="Arial"/>
                <w:sz w:val="11"/>
                <w:szCs w:val="11"/>
                <w:color w:val="auto"/>
                <w:w w:val="88"/>
              </w:rPr>
              <w:t>(e)</w:t>
            </w:r>
          </w:p>
        </w:tc>
        <w:tc>
          <w:tcPr>
            <w:tcW w:w="1020" w:type="dxa"/>
            <w:vAlign w:val="bottom"/>
            <w:gridSpan w:val="2"/>
            <w:shd w:val="clear" w:color="auto" w:fill="CCEEFF"/>
          </w:tcPr>
          <w:p>
            <w:pPr>
              <w:jc w:val="center"/>
              <w:ind w:right="80"/>
              <w:spacing w:after="0"/>
              <w:rPr>
                <w:sz w:val="20"/>
                <w:szCs w:val="20"/>
                <w:color w:val="auto"/>
              </w:rPr>
            </w:pPr>
            <w:r>
              <w:rPr>
                <w:rFonts w:ascii="Arial" w:cs="Arial" w:eastAsia="Arial" w:hAnsi="Arial"/>
                <w:sz w:val="11"/>
                <w:szCs w:val="11"/>
                <w:color w:val="auto"/>
                <w:w w:val="94"/>
              </w:rPr>
              <w:t>Stock</w:t>
            </w:r>
          </w:p>
        </w:tc>
        <w:tc>
          <w:tcPr>
            <w:tcW w:w="980" w:type="dxa"/>
            <w:vAlign w:val="bottom"/>
            <w:gridSpan w:val="2"/>
            <w:shd w:val="clear" w:color="auto" w:fill="CCEEFF"/>
          </w:tcPr>
          <w:p>
            <w:pPr>
              <w:jc w:val="center"/>
              <w:ind w:right="80"/>
              <w:spacing w:after="0"/>
              <w:rPr>
                <w:sz w:val="20"/>
                <w:szCs w:val="20"/>
                <w:color w:val="auto"/>
              </w:rPr>
            </w:pPr>
            <w:r>
              <w:rPr>
                <w:rFonts w:ascii="Arial" w:cs="Arial" w:eastAsia="Arial" w:hAnsi="Arial"/>
                <w:sz w:val="11"/>
                <w:szCs w:val="11"/>
                <w:color w:val="auto"/>
              </w:rPr>
              <w:t>NA</w:t>
            </w: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414,620</w:t>
            </w:r>
          </w:p>
        </w:tc>
        <w:tc>
          <w:tcPr>
            <w:tcW w:w="100" w:type="dxa"/>
            <w:vAlign w:val="bottom"/>
            <w:shd w:val="clear" w:color="auto" w:fill="CCEEFF"/>
          </w:tcPr>
          <w:p>
            <w:pPr>
              <w:spacing w:after="0"/>
              <w:rPr>
                <w:sz w:val="13"/>
                <w:szCs w:val="13"/>
                <w:color w:val="auto"/>
              </w:rPr>
            </w:pPr>
          </w:p>
        </w:tc>
        <w:tc>
          <w:tcPr>
            <w:tcW w:w="13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39,620</w:t>
            </w: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(198,103)</w:t>
            </w:r>
          </w:p>
        </w:tc>
        <w:tc>
          <w:tcPr>
            <w:tcW w:w="0" w:type="dxa"/>
            <w:vAlign w:val="bottom"/>
          </w:tcPr>
          <w:p>
            <w:pPr>
              <w:spacing w:after="0"/>
              <w:rPr>
                <w:sz w:val="1"/>
                <w:szCs w:val="1"/>
                <w:color w:val="auto"/>
              </w:rPr>
            </w:pPr>
          </w:p>
        </w:tc>
      </w:tr>
      <w:tr>
        <w:trPr>
          <w:trHeight w:val="147"/>
        </w:trPr>
        <w:tc>
          <w:tcPr>
            <w:tcW w:w="1140" w:type="dxa"/>
            <w:vAlign w:val="bottom"/>
          </w:tcPr>
          <w:p>
            <w:pPr>
              <w:jc w:val="center"/>
              <w:ind w:left="83"/>
              <w:spacing w:after="0"/>
              <w:rPr>
                <w:sz w:val="20"/>
                <w:szCs w:val="20"/>
                <w:color w:val="auto"/>
              </w:rPr>
            </w:pPr>
            <w:r>
              <w:rPr>
                <w:rFonts w:ascii="Arial" w:cs="Arial" w:eastAsia="Arial" w:hAnsi="Arial"/>
                <w:sz w:val="11"/>
                <w:szCs w:val="11"/>
                <w:color w:val="auto"/>
                <w:w w:val="94"/>
              </w:rPr>
              <w:t>2009 LTIP</w:t>
            </w:r>
          </w:p>
        </w:tc>
        <w:tc>
          <w:tcPr>
            <w:tcW w:w="940" w:type="dxa"/>
            <w:vAlign w:val="bottom"/>
            <w:gridSpan w:val="2"/>
          </w:tcPr>
          <w:p>
            <w:pPr>
              <w:jc w:val="center"/>
              <w:spacing w:after="0"/>
              <w:rPr>
                <w:sz w:val="20"/>
                <w:szCs w:val="20"/>
                <w:color w:val="auto"/>
              </w:rPr>
            </w:pPr>
            <w:r>
              <w:rPr>
                <w:rFonts w:ascii="Arial" w:cs="Arial" w:eastAsia="Arial" w:hAnsi="Arial"/>
                <w:sz w:val="11"/>
                <w:szCs w:val="11"/>
                <w:color w:val="auto"/>
                <w:w w:val="94"/>
              </w:rPr>
              <w:t>RSU</w:t>
            </w:r>
          </w:p>
        </w:tc>
        <w:tc>
          <w:tcPr>
            <w:tcW w:w="920" w:type="dxa"/>
            <w:vAlign w:val="bottom"/>
          </w:tcPr>
          <w:p>
            <w:pPr>
              <w:jc w:val="right"/>
              <w:spacing w:after="0"/>
              <w:rPr>
                <w:sz w:val="20"/>
                <w:szCs w:val="20"/>
                <w:color w:val="auto"/>
              </w:rPr>
            </w:pPr>
            <w:r>
              <w:rPr>
                <w:rFonts w:ascii="Arial" w:cs="Arial" w:eastAsia="Arial" w:hAnsi="Arial"/>
                <w:sz w:val="11"/>
                <w:szCs w:val="11"/>
                <w:color w:val="auto"/>
              </w:rPr>
              <w:t>1/7/2019</w:t>
            </w:r>
          </w:p>
        </w:tc>
        <w:tc>
          <w:tcPr>
            <w:tcW w:w="100" w:type="dxa"/>
            <w:vAlign w:val="bottom"/>
          </w:tcPr>
          <w:p>
            <w:pPr>
              <w:spacing w:after="0"/>
              <w:rPr>
                <w:sz w:val="12"/>
                <w:szCs w:val="12"/>
                <w:color w:val="auto"/>
              </w:rPr>
            </w:pPr>
          </w:p>
        </w:tc>
        <w:tc>
          <w:tcPr>
            <w:tcW w:w="840" w:type="dxa"/>
            <w:vAlign w:val="bottom"/>
          </w:tcPr>
          <w:p>
            <w:pPr>
              <w:jc w:val="center"/>
              <w:spacing w:after="0"/>
              <w:rPr>
                <w:sz w:val="20"/>
                <w:szCs w:val="20"/>
                <w:color w:val="auto"/>
              </w:rPr>
            </w:pPr>
            <w:r>
              <w:rPr>
                <w:rFonts w:ascii="Arial" w:cs="Arial" w:eastAsia="Arial" w:hAnsi="Arial"/>
                <w:sz w:val="11"/>
                <w:szCs w:val="11"/>
                <w:color w:val="auto"/>
                <w:w w:val="94"/>
              </w:rPr>
              <w:t>$16.47</w:t>
            </w:r>
          </w:p>
        </w:tc>
        <w:tc>
          <w:tcPr>
            <w:tcW w:w="80" w:type="dxa"/>
            <w:vAlign w:val="bottom"/>
          </w:tcPr>
          <w:p>
            <w:pPr>
              <w:spacing w:after="0"/>
              <w:rPr>
                <w:sz w:val="12"/>
                <w:szCs w:val="12"/>
                <w:color w:val="auto"/>
              </w:rPr>
            </w:pPr>
          </w:p>
        </w:tc>
        <w:tc>
          <w:tcPr>
            <w:tcW w:w="1160" w:type="dxa"/>
            <w:vAlign w:val="bottom"/>
            <w:gridSpan w:val="2"/>
          </w:tcPr>
          <w:p>
            <w:pPr>
              <w:jc w:val="center"/>
              <w:ind w:right="80"/>
              <w:spacing w:after="0"/>
              <w:rPr>
                <w:sz w:val="20"/>
                <w:szCs w:val="20"/>
                <w:color w:val="auto"/>
              </w:rPr>
            </w:pPr>
            <w:r>
              <w:rPr>
                <w:rFonts w:ascii="Arial" w:cs="Arial" w:eastAsia="Arial" w:hAnsi="Arial"/>
                <w:sz w:val="11"/>
                <w:szCs w:val="11"/>
                <w:color w:val="auto"/>
                <w:w w:val="93"/>
              </w:rPr>
              <w:t>Performance/Service</w:t>
            </w:r>
          </w:p>
        </w:tc>
        <w:tc>
          <w:tcPr>
            <w:tcW w:w="860" w:type="dxa"/>
            <w:vAlign w:val="bottom"/>
            <w:gridSpan w:val="2"/>
          </w:tcPr>
          <w:p>
            <w:pPr>
              <w:jc w:val="center"/>
              <w:ind w:right="100"/>
              <w:spacing w:after="0"/>
              <w:rPr>
                <w:sz w:val="20"/>
                <w:szCs w:val="20"/>
                <w:color w:val="auto"/>
              </w:rPr>
            </w:pPr>
            <w:r>
              <w:rPr>
                <w:rFonts w:ascii="Arial" w:cs="Arial" w:eastAsia="Arial" w:hAnsi="Arial"/>
                <w:sz w:val="11"/>
                <w:szCs w:val="11"/>
                <w:color w:val="auto"/>
              </w:rPr>
              <w:t>(f)</w:t>
            </w:r>
          </w:p>
        </w:tc>
        <w:tc>
          <w:tcPr>
            <w:tcW w:w="1020" w:type="dxa"/>
            <w:vAlign w:val="bottom"/>
            <w:gridSpan w:val="2"/>
          </w:tcPr>
          <w:p>
            <w:pPr>
              <w:jc w:val="center"/>
              <w:ind w:right="80"/>
              <w:spacing w:after="0"/>
              <w:rPr>
                <w:sz w:val="20"/>
                <w:szCs w:val="20"/>
                <w:color w:val="auto"/>
              </w:rPr>
            </w:pPr>
            <w:r>
              <w:rPr>
                <w:rFonts w:ascii="Arial" w:cs="Arial" w:eastAsia="Arial" w:hAnsi="Arial"/>
                <w:sz w:val="11"/>
                <w:szCs w:val="11"/>
                <w:color w:val="auto"/>
                <w:w w:val="85"/>
              </w:rPr>
              <w:t>Cash</w:t>
            </w:r>
          </w:p>
        </w:tc>
        <w:tc>
          <w:tcPr>
            <w:tcW w:w="900" w:type="dxa"/>
            <w:vAlign w:val="bottom"/>
          </w:tcPr>
          <w:p>
            <w:pPr>
              <w:jc w:val="center"/>
              <w:spacing w:after="0"/>
              <w:rPr>
                <w:sz w:val="20"/>
                <w:szCs w:val="20"/>
                <w:color w:val="auto"/>
              </w:rPr>
            </w:pPr>
            <w:r>
              <w:rPr>
                <w:rFonts w:ascii="Arial" w:cs="Arial" w:eastAsia="Arial" w:hAnsi="Arial"/>
                <w:sz w:val="11"/>
                <w:szCs w:val="11"/>
                <w:color w:val="auto"/>
                <w:w w:val="89"/>
              </w:rPr>
              <w:t>$27.55</w:t>
            </w:r>
          </w:p>
        </w:tc>
        <w:tc>
          <w:tcPr>
            <w:tcW w:w="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109,654</w:t>
            </w:r>
          </w:p>
        </w:tc>
        <w:tc>
          <w:tcPr>
            <w:tcW w:w="100" w:type="dxa"/>
            <w:vAlign w:val="bottom"/>
          </w:tcPr>
          <w:p>
            <w:pPr>
              <w:spacing w:after="0"/>
              <w:rPr>
                <w:sz w:val="12"/>
                <w:szCs w:val="12"/>
                <w:color w:val="auto"/>
              </w:rPr>
            </w:pPr>
          </w:p>
        </w:tc>
        <w:tc>
          <w:tcPr>
            <w:tcW w:w="1300" w:type="dxa"/>
            <w:vAlign w:val="bottom"/>
          </w:tcPr>
          <w:p>
            <w:pPr>
              <w:jc w:val="right"/>
              <w:ind w:right="3"/>
              <w:spacing w:after="0"/>
              <w:rPr>
                <w:sz w:val="20"/>
                <w:szCs w:val="20"/>
                <w:color w:val="auto"/>
              </w:rPr>
            </w:pPr>
            <w:r>
              <w:rPr>
                <w:rFonts w:ascii="Arial" w:cs="Arial" w:eastAsia="Arial" w:hAnsi="Arial"/>
                <w:sz w:val="11"/>
                <w:szCs w:val="11"/>
                <w:color w:val="auto"/>
              </w:rPr>
              <w:t>13,705</w:t>
            </w:r>
          </w:p>
        </w:tc>
        <w:tc>
          <w:tcPr>
            <w:tcW w:w="8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0"/>
        </w:trPr>
        <w:tc>
          <w:tcPr>
            <w:tcW w:w="1140" w:type="dxa"/>
            <w:vAlign w:val="bottom"/>
            <w:shd w:val="clear" w:color="auto" w:fill="CCEEFF"/>
          </w:tcPr>
          <w:p>
            <w:pPr>
              <w:jc w:val="center"/>
              <w:ind w:left="83"/>
              <w:spacing w:after="0"/>
              <w:rPr>
                <w:sz w:val="20"/>
                <w:szCs w:val="20"/>
                <w:color w:val="auto"/>
              </w:rPr>
            </w:pPr>
            <w:r>
              <w:rPr>
                <w:rFonts w:ascii="Arial" w:cs="Arial" w:eastAsia="Arial" w:hAnsi="Arial"/>
                <w:sz w:val="11"/>
                <w:szCs w:val="11"/>
                <w:color w:val="auto"/>
                <w:w w:val="94"/>
              </w:rPr>
              <w:t>2009 LTIP</w:t>
            </w:r>
          </w:p>
        </w:tc>
        <w:tc>
          <w:tcPr>
            <w:tcW w:w="940" w:type="dxa"/>
            <w:vAlign w:val="bottom"/>
            <w:gridSpan w:val="2"/>
            <w:shd w:val="clear" w:color="auto" w:fill="CCEEFF"/>
          </w:tcPr>
          <w:p>
            <w:pPr>
              <w:jc w:val="center"/>
              <w:spacing w:after="0"/>
              <w:rPr>
                <w:sz w:val="20"/>
                <w:szCs w:val="20"/>
                <w:color w:val="auto"/>
              </w:rPr>
            </w:pPr>
            <w:r>
              <w:rPr>
                <w:rFonts w:ascii="Arial" w:cs="Arial" w:eastAsia="Arial" w:hAnsi="Arial"/>
                <w:sz w:val="11"/>
                <w:szCs w:val="11"/>
                <w:color w:val="auto"/>
                <w:w w:val="94"/>
              </w:rPr>
              <w:t>RSU</w:t>
            </w: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5/24/2019</w:t>
            </w: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4"/>
              </w:rPr>
              <w:t>$27.86</w:t>
            </w:r>
          </w:p>
        </w:tc>
        <w:tc>
          <w:tcPr>
            <w:tcW w:w="8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center"/>
              <w:ind w:right="60"/>
              <w:spacing w:after="0"/>
              <w:rPr>
                <w:sz w:val="20"/>
                <w:szCs w:val="20"/>
                <w:color w:val="auto"/>
              </w:rPr>
            </w:pPr>
            <w:r>
              <w:rPr>
                <w:rFonts w:ascii="Arial" w:cs="Arial" w:eastAsia="Arial" w:hAnsi="Arial"/>
                <w:sz w:val="11"/>
                <w:szCs w:val="11"/>
                <w:color w:val="auto"/>
                <w:w w:val="92"/>
              </w:rPr>
              <w:t>Service</w:t>
            </w:r>
          </w:p>
        </w:tc>
        <w:tc>
          <w:tcPr>
            <w:tcW w:w="860" w:type="dxa"/>
            <w:vAlign w:val="bottom"/>
            <w:gridSpan w:val="2"/>
            <w:shd w:val="clear" w:color="auto" w:fill="CCEEFF"/>
          </w:tcPr>
          <w:p>
            <w:pPr>
              <w:jc w:val="center"/>
              <w:ind w:right="80"/>
              <w:spacing w:after="0"/>
              <w:rPr>
                <w:sz w:val="20"/>
                <w:szCs w:val="20"/>
                <w:color w:val="auto"/>
              </w:rPr>
            </w:pPr>
            <w:r>
              <w:rPr>
                <w:rFonts w:ascii="Arial" w:cs="Arial" w:eastAsia="Arial" w:hAnsi="Arial"/>
                <w:sz w:val="11"/>
                <w:szCs w:val="11"/>
                <w:color w:val="auto"/>
              </w:rPr>
              <w:t>(d)</w:t>
            </w:r>
          </w:p>
        </w:tc>
        <w:tc>
          <w:tcPr>
            <w:tcW w:w="1020" w:type="dxa"/>
            <w:vAlign w:val="bottom"/>
            <w:gridSpan w:val="2"/>
            <w:shd w:val="clear" w:color="auto" w:fill="CCEEFF"/>
          </w:tcPr>
          <w:p>
            <w:pPr>
              <w:jc w:val="center"/>
              <w:ind w:right="80"/>
              <w:spacing w:after="0"/>
              <w:rPr>
                <w:sz w:val="20"/>
                <w:szCs w:val="20"/>
                <w:color w:val="auto"/>
              </w:rPr>
            </w:pPr>
            <w:r>
              <w:rPr>
                <w:rFonts w:ascii="Arial" w:cs="Arial" w:eastAsia="Arial" w:hAnsi="Arial"/>
                <w:sz w:val="11"/>
                <w:szCs w:val="11"/>
                <w:color w:val="auto"/>
                <w:w w:val="94"/>
              </w:rPr>
              <w:t>Stock</w:t>
            </w:r>
          </w:p>
        </w:tc>
        <w:tc>
          <w:tcPr>
            <w:tcW w:w="980" w:type="dxa"/>
            <w:vAlign w:val="bottom"/>
            <w:gridSpan w:val="2"/>
            <w:shd w:val="clear" w:color="auto" w:fill="CCEEFF"/>
          </w:tcPr>
          <w:p>
            <w:pPr>
              <w:jc w:val="center"/>
              <w:ind w:right="80"/>
              <w:spacing w:after="0"/>
              <w:rPr>
                <w:sz w:val="20"/>
                <w:szCs w:val="20"/>
                <w:color w:val="auto"/>
              </w:rPr>
            </w:pPr>
            <w:r>
              <w:rPr>
                <w:rFonts w:ascii="Arial" w:cs="Arial" w:eastAsia="Arial" w:hAnsi="Arial"/>
                <w:sz w:val="11"/>
                <w:szCs w:val="11"/>
                <w:color w:val="auto"/>
              </w:rPr>
              <w:t>NA</w:t>
            </w: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11,170</w:t>
            </w:r>
          </w:p>
        </w:tc>
        <w:tc>
          <w:tcPr>
            <w:tcW w:w="10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7"/>
        </w:trPr>
        <w:tc>
          <w:tcPr>
            <w:tcW w:w="1140" w:type="dxa"/>
            <w:vAlign w:val="bottom"/>
          </w:tcPr>
          <w:p>
            <w:pPr>
              <w:jc w:val="center"/>
              <w:ind w:left="83"/>
              <w:spacing w:after="0"/>
              <w:rPr>
                <w:sz w:val="20"/>
                <w:szCs w:val="20"/>
                <w:color w:val="auto"/>
              </w:rPr>
            </w:pPr>
            <w:r>
              <w:rPr>
                <w:rFonts w:ascii="Arial" w:cs="Arial" w:eastAsia="Arial" w:hAnsi="Arial"/>
                <w:sz w:val="11"/>
                <w:szCs w:val="11"/>
                <w:color w:val="auto"/>
                <w:w w:val="94"/>
              </w:rPr>
              <w:t>2019 LTIP</w:t>
            </w:r>
          </w:p>
        </w:tc>
        <w:tc>
          <w:tcPr>
            <w:tcW w:w="940" w:type="dxa"/>
            <w:vAlign w:val="bottom"/>
            <w:gridSpan w:val="2"/>
          </w:tcPr>
          <w:p>
            <w:pPr>
              <w:jc w:val="center"/>
              <w:spacing w:after="0"/>
              <w:rPr>
                <w:sz w:val="20"/>
                <w:szCs w:val="20"/>
                <w:color w:val="auto"/>
              </w:rPr>
            </w:pPr>
            <w:r>
              <w:rPr>
                <w:rFonts w:ascii="Arial" w:cs="Arial" w:eastAsia="Arial" w:hAnsi="Arial"/>
                <w:sz w:val="11"/>
                <w:szCs w:val="11"/>
                <w:color w:val="auto"/>
                <w:w w:val="94"/>
              </w:rPr>
              <w:t>RSU</w:t>
            </w:r>
          </w:p>
        </w:tc>
        <w:tc>
          <w:tcPr>
            <w:tcW w:w="920" w:type="dxa"/>
            <w:vAlign w:val="bottom"/>
          </w:tcPr>
          <w:p>
            <w:pPr>
              <w:jc w:val="right"/>
              <w:spacing w:after="0"/>
              <w:rPr>
                <w:sz w:val="20"/>
                <w:szCs w:val="20"/>
                <w:color w:val="auto"/>
              </w:rPr>
            </w:pPr>
            <w:r>
              <w:rPr>
                <w:rFonts w:ascii="Arial" w:cs="Arial" w:eastAsia="Arial" w:hAnsi="Arial"/>
                <w:sz w:val="11"/>
                <w:szCs w:val="11"/>
                <w:color w:val="auto"/>
              </w:rPr>
              <w:t>1/8/2020</w:t>
            </w:r>
          </w:p>
        </w:tc>
        <w:tc>
          <w:tcPr>
            <w:tcW w:w="100" w:type="dxa"/>
            <w:vAlign w:val="bottom"/>
          </w:tcPr>
          <w:p>
            <w:pPr>
              <w:spacing w:after="0"/>
              <w:rPr>
                <w:sz w:val="12"/>
                <w:szCs w:val="12"/>
                <w:color w:val="auto"/>
              </w:rPr>
            </w:pPr>
          </w:p>
        </w:tc>
        <w:tc>
          <w:tcPr>
            <w:tcW w:w="840" w:type="dxa"/>
            <w:vAlign w:val="bottom"/>
          </w:tcPr>
          <w:p>
            <w:pPr>
              <w:jc w:val="center"/>
              <w:spacing w:after="0"/>
              <w:rPr>
                <w:sz w:val="20"/>
                <w:szCs w:val="20"/>
                <w:color w:val="auto"/>
              </w:rPr>
            </w:pPr>
            <w:r>
              <w:rPr>
                <w:rFonts w:ascii="Arial" w:cs="Arial" w:eastAsia="Arial" w:hAnsi="Arial"/>
                <w:sz w:val="11"/>
                <w:szCs w:val="11"/>
                <w:color w:val="auto"/>
                <w:w w:val="94"/>
              </w:rPr>
              <w:t>$30.94</w:t>
            </w:r>
          </w:p>
        </w:tc>
        <w:tc>
          <w:tcPr>
            <w:tcW w:w="80" w:type="dxa"/>
            <w:vAlign w:val="bottom"/>
          </w:tcPr>
          <w:p>
            <w:pPr>
              <w:spacing w:after="0"/>
              <w:rPr>
                <w:sz w:val="12"/>
                <w:szCs w:val="12"/>
                <w:color w:val="auto"/>
              </w:rPr>
            </w:pPr>
          </w:p>
        </w:tc>
        <w:tc>
          <w:tcPr>
            <w:tcW w:w="1160" w:type="dxa"/>
            <w:vAlign w:val="bottom"/>
            <w:gridSpan w:val="2"/>
          </w:tcPr>
          <w:p>
            <w:pPr>
              <w:jc w:val="center"/>
              <w:ind w:right="80"/>
              <w:spacing w:after="0"/>
              <w:rPr>
                <w:sz w:val="20"/>
                <w:szCs w:val="20"/>
                <w:color w:val="auto"/>
              </w:rPr>
            </w:pPr>
            <w:r>
              <w:rPr>
                <w:rFonts w:ascii="Arial" w:cs="Arial" w:eastAsia="Arial" w:hAnsi="Arial"/>
                <w:sz w:val="11"/>
                <w:szCs w:val="11"/>
                <w:color w:val="auto"/>
                <w:w w:val="93"/>
              </w:rPr>
              <w:t>Performance/Service</w:t>
            </w:r>
          </w:p>
        </w:tc>
        <w:tc>
          <w:tcPr>
            <w:tcW w:w="860" w:type="dxa"/>
            <w:vAlign w:val="bottom"/>
            <w:gridSpan w:val="2"/>
          </w:tcPr>
          <w:p>
            <w:pPr>
              <w:jc w:val="center"/>
              <w:ind w:right="80"/>
              <w:spacing w:after="0"/>
              <w:rPr>
                <w:sz w:val="20"/>
                <w:szCs w:val="20"/>
                <w:color w:val="auto"/>
              </w:rPr>
            </w:pPr>
            <w:r>
              <w:rPr>
                <w:rFonts w:ascii="Arial" w:cs="Arial" w:eastAsia="Arial" w:hAnsi="Arial"/>
                <w:sz w:val="11"/>
                <w:szCs w:val="11"/>
                <w:color w:val="auto"/>
              </w:rPr>
              <w:t>(g)</w:t>
            </w:r>
          </w:p>
        </w:tc>
        <w:tc>
          <w:tcPr>
            <w:tcW w:w="1020" w:type="dxa"/>
            <w:vAlign w:val="bottom"/>
            <w:gridSpan w:val="2"/>
          </w:tcPr>
          <w:p>
            <w:pPr>
              <w:jc w:val="center"/>
              <w:ind w:right="80"/>
              <w:spacing w:after="0"/>
              <w:rPr>
                <w:sz w:val="20"/>
                <w:szCs w:val="20"/>
                <w:color w:val="auto"/>
              </w:rPr>
            </w:pPr>
            <w:r>
              <w:rPr>
                <w:rFonts w:ascii="Arial" w:cs="Arial" w:eastAsia="Arial" w:hAnsi="Arial"/>
                <w:sz w:val="11"/>
                <w:szCs w:val="11"/>
                <w:color w:val="auto"/>
                <w:w w:val="94"/>
              </w:rPr>
              <w:t>Stock</w:t>
            </w:r>
          </w:p>
        </w:tc>
        <w:tc>
          <w:tcPr>
            <w:tcW w:w="980" w:type="dxa"/>
            <w:vAlign w:val="bottom"/>
            <w:gridSpan w:val="2"/>
          </w:tcPr>
          <w:p>
            <w:pPr>
              <w:jc w:val="center"/>
              <w:ind w:right="80"/>
              <w:spacing w:after="0"/>
              <w:rPr>
                <w:sz w:val="20"/>
                <w:szCs w:val="20"/>
                <w:color w:val="auto"/>
              </w:rPr>
            </w:pPr>
            <w:r>
              <w:rPr>
                <w:rFonts w:ascii="Arial" w:cs="Arial" w:eastAsia="Arial" w:hAnsi="Arial"/>
                <w:sz w:val="11"/>
                <w:szCs w:val="11"/>
                <w:color w:val="auto"/>
              </w:rPr>
              <w:t>NA</w:t>
            </w:r>
          </w:p>
        </w:tc>
        <w:tc>
          <w:tcPr>
            <w:tcW w:w="900" w:type="dxa"/>
            <w:vAlign w:val="bottom"/>
          </w:tcPr>
          <w:p>
            <w:pPr>
              <w:jc w:val="right"/>
              <w:spacing w:after="0"/>
              <w:rPr>
                <w:sz w:val="20"/>
                <w:szCs w:val="20"/>
                <w:color w:val="auto"/>
              </w:rPr>
            </w:pPr>
            <w:r>
              <w:rPr>
                <w:rFonts w:ascii="Arial" w:cs="Arial" w:eastAsia="Arial" w:hAnsi="Arial"/>
                <w:sz w:val="11"/>
                <w:szCs w:val="11"/>
                <w:color w:val="auto"/>
              </w:rPr>
              <w:t>195,149</w:t>
            </w:r>
          </w:p>
        </w:tc>
        <w:tc>
          <w:tcPr>
            <w:tcW w:w="100" w:type="dxa"/>
            <w:vAlign w:val="bottom"/>
          </w:tcPr>
          <w:p>
            <w:pPr>
              <w:spacing w:after="0"/>
              <w:rPr>
                <w:sz w:val="12"/>
                <w:szCs w:val="12"/>
                <w:color w:val="auto"/>
              </w:rPr>
            </w:pPr>
          </w:p>
        </w:tc>
        <w:tc>
          <w:tcPr>
            <w:tcW w:w="1300" w:type="dxa"/>
            <w:vAlign w:val="bottom"/>
          </w:tcPr>
          <w:p>
            <w:pPr>
              <w:jc w:val="right"/>
              <w:ind w:right="3"/>
              <w:spacing w:after="0"/>
              <w:rPr>
                <w:sz w:val="20"/>
                <w:szCs w:val="20"/>
                <w:color w:val="auto"/>
              </w:rPr>
            </w:pPr>
            <w:r>
              <w:rPr>
                <w:rFonts w:ascii="Arial" w:cs="Arial" w:eastAsia="Arial" w:hAnsi="Arial"/>
                <w:sz w:val="11"/>
                <w:szCs w:val="11"/>
                <w:color w:val="auto"/>
              </w:rPr>
              <w:t>115,676</w:t>
            </w:r>
          </w:p>
        </w:tc>
        <w:tc>
          <w:tcPr>
            <w:tcW w:w="8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(66,930)</w:t>
            </w:r>
          </w:p>
        </w:tc>
        <w:tc>
          <w:tcPr>
            <w:tcW w:w="0" w:type="dxa"/>
            <w:vAlign w:val="bottom"/>
          </w:tcPr>
          <w:p>
            <w:pPr>
              <w:spacing w:after="0"/>
              <w:rPr>
                <w:sz w:val="1"/>
                <w:szCs w:val="1"/>
                <w:color w:val="auto"/>
              </w:rPr>
            </w:pPr>
          </w:p>
        </w:tc>
      </w:tr>
      <w:tr>
        <w:trPr>
          <w:trHeight w:val="150"/>
        </w:trPr>
        <w:tc>
          <w:tcPr>
            <w:tcW w:w="1140" w:type="dxa"/>
            <w:vAlign w:val="bottom"/>
            <w:shd w:val="clear" w:color="auto" w:fill="CCEEFF"/>
          </w:tcPr>
          <w:p>
            <w:pPr>
              <w:jc w:val="center"/>
              <w:ind w:left="83"/>
              <w:spacing w:after="0"/>
              <w:rPr>
                <w:sz w:val="20"/>
                <w:szCs w:val="20"/>
                <w:color w:val="auto"/>
              </w:rPr>
            </w:pPr>
            <w:r>
              <w:rPr>
                <w:rFonts w:ascii="Arial" w:cs="Arial" w:eastAsia="Arial" w:hAnsi="Arial"/>
                <w:sz w:val="11"/>
                <w:szCs w:val="11"/>
                <w:color w:val="auto"/>
                <w:w w:val="94"/>
              </w:rPr>
              <w:t>2019 LTIP</w:t>
            </w:r>
          </w:p>
        </w:tc>
        <w:tc>
          <w:tcPr>
            <w:tcW w:w="940" w:type="dxa"/>
            <w:vAlign w:val="bottom"/>
            <w:gridSpan w:val="2"/>
            <w:shd w:val="clear" w:color="auto" w:fill="CCEEFF"/>
          </w:tcPr>
          <w:p>
            <w:pPr>
              <w:jc w:val="center"/>
              <w:spacing w:after="0"/>
              <w:rPr>
                <w:sz w:val="20"/>
                <w:szCs w:val="20"/>
                <w:color w:val="auto"/>
              </w:rPr>
            </w:pPr>
            <w:r>
              <w:rPr>
                <w:rFonts w:ascii="Arial" w:cs="Arial" w:eastAsia="Arial" w:hAnsi="Arial"/>
                <w:sz w:val="11"/>
                <w:szCs w:val="11"/>
                <w:color w:val="auto"/>
                <w:w w:val="94"/>
              </w:rPr>
              <w:t>RSU</w:t>
            </w: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1/8/2020</w:t>
            </w: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4"/>
              </w:rPr>
              <w:t>$30.94</w:t>
            </w:r>
          </w:p>
        </w:tc>
        <w:tc>
          <w:tcPr>
            <w:tcW w:w="8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center"/>
              <w:ind w:right="80"/>
              <w:spacing w:after="0"/>
              <w:rPr>
                <w:sz w:val="20"/>
                <w:szCs w:val="20"/>
                <w:color w:val="auto"/>
              </w:rPr>
            </w:pPr>
            <w:r>
              <w:rPr>
                <w:rFonts w:ascii="Arial" w:cs="Arial" w:eastAsia="Arial" w:hAnsi="Arial"/>
                <w:sz w:val="11"/>
                <w:szCs w:val="11"/>
                <w:color w:val="auto"/>
                <w:w w:val="93"/>
              </w:rPr>
              <w:t>Performance/Service</w:t>
            </w:r>
          </w:p>
        </w:tc>
        <w:tc>
          <w:tcPr>
            <w:tcW w:w="860" w:type="dxa"/>
            <w:vAlign w:val="bottom"/>
            <w:gridSpan w:val="2"/>
            <w:shd w:val="clear" w:color="auto" w:fill="CCEEFF"/>
          </w:tcPr>
          <w:p>
            <w:pPr>
              <w:jc w:val="center"/>
              <w:ind w:right="80"/>
              <w:spacing w:after="0"/>
              <w:rPr>
                <w:sz w:val="20"/>
                <w:szCs w:val="20"/>
                <w:color w:val="auto"/>
              </w:rPr>
            </w:pPr>
            <w:r>
              <w:rPr>
                <w:rFonts w:ascii="Arial" w:cs="Arial" w:eastAsia="Arial" w:hAnsi="Arial"/>
                <w:sz w:val="11"/>
                <w:szCs w:val="11"/>
                <w:color w:val="auto"/>
              </w:rPr>
              <w:t>(h)</w:t>
            </w:r>
          </w:p>
        </w:tc>
        <w:tc>
          <w:tcPr>
            <w:tcW w:w="1020" w:type="dxa"/>
            <w:vAlign w:val="bottom"/>
            <w:gridSpan w:val="2"/>
            <w:shd w:val="clear" w:color="auto" w:fill="CCEEFF"/>
          </w:tcPr>
          <w:p>
            <w:pPr>
              <w:jc w:val="center"/>
              <w:ind w:right="80"/>
              <w:spacing w:after="0"/>
              <w:rPr>
                <w:sz w:val="20"/>
                <w:szCs w:val="20"/>
                <w:color w:val="auto"/>
              </w:rPr>
            </w:pPr>
            <w:r>
              <w:rPr>
                <w:rFonts w:ascii="Arial" w:cs="Arial" w:eastAsia="Arial" w:hAnsi="Arial"/>
                <w:sz w:val="11"/>
                <w:szCs w:val="11"/>
                <w:color w:val="auto"/>
                <w:w w:val="85"/>
              </w:rPr>
              <w:t>Cash</w:t>
            </w:r>
          </w:p>
        </w:tc>
        <w:tc>
          <w:tcPr>
            <w:tcW w:w="90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89"/>
              </w:rPr>
              <w:t>$27.55</w:t>
            </w: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121,310</w:t>
            </w:r>
          </w:p>
        </w:tc>
        <w:tc>
          <w:tcPr>
            <w:tcW w:w="100" w:type="dxa"/>
            <w:vAlign w:val="bottom"/>
            <w:shd w:val="clear" w:color="auto" w:fill="CCEEFF"/>
          </w:tcPr>
          <w:p>
            <w:pPr>
              <w:spacing w:after="0"/>
              <w:rPr>
                <w:sz w:val="13"/>
                <w:szCs w:val="13"/>
                <w:color w:val="auto"/>
              </w:rPr>
            </w:pPr>
          </w:p>
        </w:tc>
        <w:tc>
          <w:tcPr>
            <w:tcW w:w="13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71,573</w:t>
            </w: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7"/>
        </w:trPr>
        <w:tc>
          <w:tcPr>
            <w:tcW w:w="1140" w:type="dxa"/>
            <w:vAlign w:val="bottom"/>
          </w:tcPr>
          <w:p>
            <w:pPr>
              <w:jc w:val="center"/>
              <w:ind w:left="83"/>
              <w:spacing w:after="0"/>
              <w:rPr>
                <w:sz w:val="20"/>
                <w:szCs w:val="20"/>
                <w:color w:val="auto"/>
              </w:rPr>
            </w:pPr>
            <w:r>
              <w:rPr>
                <w:rFonts w:ascii="Arial" w:cs="Arial" w:eastAsia="Arial" w:hAnsi="Arial"/>
                <w:sz w:val="11"/>
                <w:szCs w:val="11"/>
                <w:color w:val="auto"/>
                <w:w w:val="94"/>
              </w:rPr>
              <w:t>2019 LTIP</w:t>
            </w:r>
          </w:p>
        </w:tc>
        <w:tc>
          <w:tcPr>
            <w:tcW w:w="940" w:type="dxa"/>
            <w:vAlign w:val="bottom"/>
            <w:gridSpan w:val="2"/>
          </w:tcPr>
          <w:p>
            <w:pPr>
              <w:jc w:val="center"/>
              <w:spacing w:after="0"/>
              <w:rPr>
                <w:sz w:val="20"/>
                <w:szCs w:val="20"/>
                <w:color w:val="auto"/>
              </w:rPr>
            </w:pPr>
            <w:r>
              <w:rPr>
                <w:rFonts w:ascii="Arial" w:cs="Arial" w:eastAsia="Arial" w:hAnsi="Arial"/>
                <w:sz w:val="11"/>
                <w:szCs w:val="11"/>
                <w:color w:val="auto"/>
                <w:w w:val="94"/>
              </w:rPr>
              <w:t>RSU</w:t>
            </w:r>
          </w:p>
        </w:tc>
        <w:tc>
          <w:tcPr>
            <w:tcW w:w="920" w:type="dxa"/>
            <w:vAlign w:val="bottom"/>
          </w:tcPr>
          <w:p>
            <w:pPr>
              <w:jc w:val="right"/>
              <w:spacing w:after="0"/>
              <w:rPr>
                <w:sz w:val="20"/>
                <w:szCs w:val="20"/>
                <w:color w:val="auto"/>
              </w:rPr>
            </w:pPr>
            <w:r>
              <w:rPr>
                <w:rFonts w:ascii="Arial" w:cs="Arial" w:eastAsia="Arial" w:hAnsi="Arial"/>
                <w:sz w:val="11"/>
                <w:szCs w:val="11"/>
                <w:color w:val="auto"/>
              </w:rPr>
              <w:t>4/29/2020</w:t>
            </w:r>
          </w:p>
        </w:tc>
        <w:tc>
          <w:tcPr>
            <w:tcW w:w="100" w:type="dxa"/>
            <w:vAlign w:val="bottom"/>
          </w:tcPr>
          <w:p>
            <w:pPr>
              <w:spacing w:after="0"/>
              <w:rPr>
                <w:sz w:val="12"/>
                <w:szCs w:val="12"/>
                <w:color w:val="auto"/>
              </w:rPr>
            </w:pPr>
          </w:p>
        </w:tc>
        <w:tc>
          <w:tcPr>
            <w:tcW w:w="840" w:type="dxa"/>
            <w:vAlign w:val="bottom"/>
          </w:tcPr>
          <w:p>
            <w:pPr>
              <w:jc w:val="center"/>
              <w:spacing w:after="0"/>
              <w:rPr>
                <w:sz w:val="20"/>
                <w:szCs w:val="20"/>
                <w:color w:val="auto"/>
              </w:rPr>
            </w:pPr>
            <w:r>
              <w:rPr>
                <w:rFonts w:ascii="Arial" w:cs="Arial" w:eastAsia="Arial" w:hAnsi="Arial"/>
                <w:sz w:val="11"/>
                <w:szCs w:val="11"/>
                <w:color w:val="auto"/>
                <w:w w:val="94"/>
              </w:rPr>
              <w:t>$22.01</w:t>
            </w:r>
          </w:p>
        </w:tc>
        <w:tc>
          <w:tcPr>
            <w:tcW w:w="80" w:type="dxa"/>
            <w:vAlign w:val="bottom"/>
          </w:tcPr>
          <w:p>
            <w:pPr>
              <w:spacing w:after="0"/>
              <w:rPr>
                <w:sz w:val="12"/>
                <w:szCs w:val="12"/>
                <w:color w:val="auto"/>
              </w:rPr>
            </w:pPr>
          </w:p>
        </w:tc>
        <w:tc>
          <w:tcPr>
            <w:tcW w:w="1160" w:type="dxa"/>
            <w:vAlign w:val="bottom"/>
            <w:gridSpan w:val="2"/>
          </w:tcPr>
          <w:p>
            <w:pPr>
              <w:jc w:val="center"/>
              <w:ind w:right="60"/>
              <w:spacing w:after="0"/>
              <w:rPr>
                <w:sz w:val="20"/>
                <w:szCs w:val="20"/>
                <w:color w:val="auto"/>
              </w:rPr>
            </w:pPr>
            <w:r>
              <w:rPr>
                <w:rFonts w:ascii="Arial" w:cs="Arial" w:eastAsia="Arial" w:hAnsi="Arial"/>
                <w:sz w:val="11"/>
                <w:szCs w:val="11"/>
                <w:color w:val="auto"/>
                <w:w w:val="92"/>
              </w:rPr>
              <w:t>Service</w:t>
            </w:r>
          </w:p>
        </w:tc>
        <w:tc>
          <w:tcPr>
            <w:tcW w:w="860" w:type="dxa"/>
            <w:vAlign w:val="bottom"/>
            <w:gridSpan w:val="2"/>
          </w:tcPr>
          <w:p>
            <w:pPr>
              <w:jc w:val="center"/>
              <w:ind w:right="80"/>
              <w:spacing w:after="0"/>
              <w:rPr>
                <w:sz w:val="20"/>
                <w:szCs w:val="20"/>
                <w:color w:val="auto"/>
              </w:rPr>
            </w:pPr>
            <w:r>
              <w:rPr>
                <w:rFonts w:ascii="Arial" w:cs="Arial" w:eastAsia="Arial" w:hAnsi="Arial"/>
                <w:sz w:val="11"/>
                <w:szCs w:val="11"/>
                <w:color w:val="auto"/>
              </w:rPr>
              <w:t>(d)</w:t>
            </w:r>
          </w:p>
        </w:tc>
        <w:tc>
          <w:tcPr>
            <w:tcW w:w="1020" w:type="dxa"/>
            <w:vAlign w:val="bottom"/>
            <w:gridSpan w:val="2"/>
          </w:tcPr>
          <w:p>
            <w:pPr>
              <w:jc w:val="center"/>
              <w:ind w:right="80"/>
              <w:spacing w:after="0"/>
              <w:rPr>
                <w:sz w:val="20"/>
                <w:szCs w:val="20"/>
                <w:color w:val="auto"/>
              </w:rPr>
            </w:pPr>
            <w:r>
              <w:rPr>
                <w:rFonts w:ascii="Arial" w:cs="Arial" w:eastAsia="Arial" w:hAnsi="Arial"/>
                <w:sz w:val="11"/>
                <w:szCs w:val="11"/>
                <w:color w:val="auto"/>
                <w:w w:val="94"/>
              </w:rPr>
              <w:t>Stock</w:t>
            </w:r>
          </w:p>
        </w:tc>
        <w:tc>
          <w:tcPr>
            <w:tcW w:w="980" w:type="dxa"/>
            <w:vAlign w:val="bottom"/>
            <w:gridSpan w:val="2"/>
          </w:tcPr>
          <w:p>
            <w:pPr>
              <w:jc w:val="center"/>
              <w:ind w:right="80"/>
              <w:spacing w:after="0"/>
              <w:rPr>
                <w:sz w:val="20"/>
                <w:szCs w:val="20"/>
                <w:color w:val="auto"/>
              </w:rPr>
            </w:pPr>
            <w:r>
              <w:rPr>
                <w:rFonts w:ascii="Arial" w:cs="Arial" w:eastAsia="Arial" w:hAnsi="Arial"/>
                <w:sz w:val="11"/>
                <w:szCs w:val="11"/>
                <w:color w:val="auto"/>
              </w:rPr>
              <w:t>NA</w:t>
            </w:r>
          </w:p>
        </w:tc>
        <w:tc>
          <w:tcPr>
            <w:tcW w:w="900" w:type="dxa"/>
            <w:vAlign w:val="bottom"/>
          </w:tcPr>
          <w:p>
            <w:pPr>
              <w:jc w:val="right"/>
              <w:spacing w:after="0"/>
              <w:rPr>
                <w:sz w:val="20"/>
                <w:szCs w:val="20"/>
                <w:color w:val="auto"/>
              </w:rPr>
            </w:pPr>
            <w:r>
              <w:rPr>
                <w:rFonts w:ascii="Arial" w:cs="Arial" w:eastAsia="Arial" w:hAnsi="Arial"/>
                <w:sz w:val="11"/>
                <w:szCs w:val="11"/>
                <w:color w:val="auto"/>
              </w:rPr>
              <w:t>13,630</w:t>
            </w:r>
          </w:p>
        </w:tc>
        <w:tc>
          <w:tcPr>
            <w:tcW w:w="100" w:type="dxa"/>
            <w:vAlign w:val="bottom"/>
          </w:tcPr>
          <w:p>
            <w:pPr>
              <w:spacing w:after="0"/>
              <w:rPr>
                <w:sz w:val="12"/>
                <w:szCs w:val="12"/>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6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0"/>
        </w:trPr>
        <w:tc>
          <w:tcPr>
            <w:tcW w:w="1140" w:type="dxa"/>
            <w:vAlign w:val="bottom"/>
            <w:shd w:val="clear" w:color="auto" w:fill="CCEEFF"/>
          </w:tcPr>
          <w:p>
            <w:pPr>
              <w:jc w:val="center"/>
              <w:ind w:left="83"/>
              <w:spacing w:after="0"/>
              <w:rPr>
                <w:sz w:val="20"/>
                <w:szCs w:val="20"/>
                <w:color w:val="auto"/>
              </w:rPr>
            </w:pPr>
            <w:r>
              <w:rPr>
                <w:rFonts w:ascii="Arial" w:cs="Arial" w:eastAsia="Arial" w:hAnsi="Arial"/>
                <w:sz w:val="11"/>
                <w:szCs w:val="11"/>
                <w:color w:val="auto"/>
                <w:w w:val="94"/>
              </w:rPr>
              <w:t>2019 LTIP</w:t>
            </w:r>
          </w:p>
        </w:tc>
        <w:tc>
          <w:tcPr>
            <w:tcW w:w="940" w:type="dxa"/>
            <w:vAlign w:val="bottom"/>
            <w:gridSpan w:val="2"/>
            <w:shd w:val="clear" w:color="auto" w:fill="CCEEFF"/>
          </w:tcPr>
          <w:p>
            <w:pPr>
              <w:jc w:val="center"/>
              <w:spacing w:after="0"/>
              <w:rPr>
                <w:sz w:val="20"/>
                <w:szCs w:val="20"/>
                <w:color w:val="auto"/>
              </w:rPr>
            </w:pPr>
            <w:r>
              <w:rPr>
                <w:rFonts w:ascii="Arial" w:cs="Arial" w:eastAsia="Arial" w:hAnsi="Arial"/>
                <w:sz w:val="11"/>
                <w:szCs w:val="11"/>
                <w:color w:val="auto"/>
                <w:w w:val="94"/>
              </w:rPr>
              <w:t>RSU</w:t>
            </w: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1/8/2021</w:t>
            </w: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4"/>
              </w:rPr>
              <w:t>$19.73</w:t>
            </w:r>
          </w:p>
        </w:tc>
        <w:tc>
          <w:tcPr>
            <w:tcW w:w="8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center"/>
              <w:ind w:right="60"/>
              <w:spacing w:after="0"/>
              <w:rPr>
                <w:sz w:val="20"/>
                <w:szCs w:val="20"/>
                <w:color w:val="auto"/>
              </w:rPr>
            </w:pPr>
            <w:r>
              <w:rPr>
                <w:rFonts w:ascii="Arial" w:cs="Arial" w:eastAsia="Arial" w:hAnsi="Arial"/>
                <w:sz w:val="11"/>
                <w:szCs w:val="11"/>
                <w:color w:val="auto"/>
                <w:w w:val="92"/>
              </w:rPr>
              <w:t>Service</w:t>
            </w:r>
          </w:p>
        </w:tc>
        <w:tc>
          <w:tcPr>
            <w:tcW w:w="860" w:type="dxa"/>
            <w:vAlign w:val="bottom"/>
            <w:gridSpan w:val="2"/>
            <w:shd w:val="clear" w:color="auto" w:fill="CCEEFF"/>
          </w:tcPr>
          <w:p>
            <w:pPr>
              <w:jc w:val="center"/>
              <w:ind w:right="80"/>
              <w:spacing w:after="0"/>
              <w:rPr>
                <w:sz w:val="20"/>
                <w:szCs w:val="20"/>
                <w:color w:val="auto"/>
              </w:rPr>
            </w:pPr>
            <w:r>
              <w:rPr>
                <w:rFonts w:ascii="Arial" w:cs="Arial" w:eastAsia="Arial" w:hAnsi="Arial"/>
                <w:sz w:val="11"/>
                <w:szCs w:val="11"/>
                <w:color w:val="auto"/>
              </w:rPr>
              <w:t>(i)</w:t>
            </w:r>
          </w:p>
        </w:tc>
        <w:tc>
          <w:tcPr>
            <w:tcW w:w="1020" w:type="dxa"/>
            <w:vAlign w:val="bottom"/>
            <w:gridSpan w:val="2"/>
            <w:shd w:val="clear" w:color="auto" w:fill="CCEEFF"/>
          </w:tcPr>
          <w:p>
            <w:pPr>
              <w:jc w:val="center"/>
              <w:ind w:right="80"/>
              <w:spacing w:after="0"/>
              <w:rPr>
                <w:sz w:val="20"/>
                <w:szCs w:val="20"/>
                <w:color w:val="auto"/>
              </w:rPr>
            </w:pPr>
            <w:r>
              <w:rPr>
                <w:rFonts w:ascii="Arial" w:cs="Arial" w:eastAsia="Arial" w:hAnsi="Arial"/>
                <w:sz w:val="11"/>
                <w:szCs w:val="11"/>
                <w:color w:val="auto"/>
                <w:w w:val="94"/>
              </w:rPr>
              <w:t>Stock</w:t>
            </w:r>
          </w:p>
        </w:tc>
        <w:tc>
          <w:tcPr>
            <w:tcW w:w="980" w:type="dxa"/>
            <w:vAlign w:val="bottom"/>
            <w:gridSpan w:val="2"/>
            <w:shd w:val="clear" w:color="auto" w:fill="CCEEFF"/>
          </w:tcPr>
          <w:p>
            <w:pPr>
              <w:jc w:val="center"/>
              <w:ind w:right="80"/>
              <w:spacing w:after="0"/>
              <w:rPr>
                <w:sz w:val="20"/>
                <w:szCs w:val="20"/>
                <w:color w:val="auto"/>
              </w:rPr>
            </w:pPr>
            <w:r>
              <w:rPr>
                <w:rFonts w:ascii="Arial" w:cs="Arial" w:eastAsia="Arial" w:hAnsi="Arial"/>
                <w:sz w:val="11"/>
                <w:szCs w:val="11"/>
                <w:color w:val="auto"/>
              </w:rPr>
              <w:t>NA</w:t>
            </w: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95,000</w:t>
            </w:r>
          </w:p>
        </w:tc>
        <w:tc>
          <w:tcPr>
            <w:tcW w:w="10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7"/>
        </w:trPr>
        <w:tc>
          <w:tcPr>
            <w:tcW w:w="1140" w:type="dxa"/>
            <w:vAlign w:val="bottom"/>
          </w:tcPr>
          <w:p>
            <w:pPr>
              <w:jc w:val="center"/>
              <w:ind w:left="83"/>
              <w:spacing w:after="0"/>
              <w:rPr>
                <w:sz w:val="20"/>
                <w:szCs w:val="20"/>
                <w:color w:val="auto"/>
              </w:rPr>
            </w:pPr>
            <w:r>
              <w:rPr>
                <w:rFonts w:ascii="Arial" w:cs="Arial" w:eastAsia="Arial" w:hAnsi="Arial"/>
                <w:sz w:val="11"/>
                <w:szCs w:val="11"/>
                <w:color w:val="auto"/>
                <w:w w:val="94"/>
              </w:rPr>
              <w:t>2019 LTIP</w:t>
            </w:r>
          </w:p>
        </w:tc>
        <w:tc>
          <w:tcPr>
            <w:tcW w:w="940" w:type="dxa"/>
            <w:vAlign w:val="bottom"/>
            <w:gridSpan w:val="2"/>
          </w:tcPr>
          <w:p>
            <w:pPr>
              <w:jc w:val="center"/>
              <w:spacing w:after="0"/>
              <w:rPr>
                <w:sz w:val="20"/>
                <w:szCs w:val="20"/>
                <w:color w:val="auto"/>
              </w:rPr>
            </w:pPr>
            <w:r>
              <w:rPr>
                <w:rFonts w:ascii="Arial" w:cs="Arial" w:eastAsia="Arial" w:hAnsi="Arial"/>
                <w:sz w:val="11"/>
                <w:szCs w:val="11"/>
                <w:color w:val="auto"/>
                <w:w w:val="94"/>
              </w:rPr>
              <w:t>RSU</w:t>
            </w:r>
          </w:p>
        </w:tc>
        <w:tc>
          <w:tcPr>
            <w:tcW w:w="920" w:type="dxa"/>
            <w:vAlign w:val="bottom"/>
          </w:tcPr>
          <w:p>
            <w:pPr>
              <w:jc w:val="right"/>
              <w:spacing w:after="0"/>
              <w:rPr>
                <w:sz w:val="20"/>
                <w:szCs w:val="20"/>
                <w:color w:val="auto"/>
              </w:rPr>
            </w:pPr>
            <w:r>
              <w:rPr>
                <w:rFonts w:ascii="Arial" w:cs="Arial" w:eastAsia="Arial" w:hAnsi="Arial"/>
                <w:sz w:val="11"/>
                <w:szCs w:val="11"/>
                <w:color w:val="auto"/>
              </w:rPr>
              <w:t>1/8/2021</w:t>
            </w:r>
          </w:p>
        </w:tc>
        <w:tc>
          <w:tcPr>
            <w:tcW w:w="100" w:type="dxa"/>
            <w:vAlign w:val="bottom"/>
          </w:tcPr>
          <w:p>
            <w:pPr>
              <w:spacing w:after="0"/>
              <w:rPr>
                <w:sz w:val="12"/>
                <w:szCs w:val="12"/>
                <w:color w:val="auto"/>
              </w:rPr>
            </w:pPr>
          </w:p>
        </w:tc>
        <w:tc>
          <w:tcPr>
            <w:tcW w:w="840" w:type="dxa"/>
            <w:vAlign w:val="bottom"/>
          </w:tcPr>
          <w:p>
            <w:pPr>
              <w:jc w:val="center"/>
              <w:spacing w:after="0"/>
              <w:rPr>
                <w:sz w:val="20"/>
                <w:szCs w:val="20"/>
                <w:color w:val="auto"/>
              </w:rPr>
            </w:pPr>
            <w:r>
              <w:rPr>
                <w:rFonts w:ascii="Arial" w:cs="Arial" w:eastAsia="Arial" w:hAnsi="Arial"/>
                <w:sz w:val="11"/>
                <w:szCs w:val="11"/>
                <w:color w:val="auto"/>
                <w:w w:val="94"/>
              </w:rPr>
              <w:t>$19.73</w:t>
            </w:r>
          </w:p>
        </w:tc>
        <w:tc>
          <w:tcPr>
            <w:tcW w:w="80" w:type="dxa"/>
            <w:vAlign w:val="bottom"/>
          </w:tcPr>
          <w:p>
            <w:pPr>
              <w:spacing w:after="0"/>
              <w:rPr>
                <w:sz w:val="12"/>
                <w:szCs w:val="12"/>
                <w:color w:val="auto"/>
              </w:rPr>
            </w:pPr>
          </w:p>
        </w:tc>
        <w:tc>
          <w:tcPr>
            <w:tcW w:w="1160" w:type="dxa"/>
            <w:vAlign w:val="bottom"/>
            <w:gridSpan w:val="2"/>
          </w:tcPr>
          <w:p>
            <w:pPr>
              <w:jc w:val="center"/>
              <w:ind w:right="60"/>
              <w:spacing w:after="0"/>
              <w:rPr>
                <w:sz w:val="20"/>
                <w:szCs w:val="20"/>
                <w:color w:val="auto"/>
              </w:rPr>
            </w:pPr>
            <w:r>
              <w:rPr>
                <w:rFonts w:ascii="Arial" w:cs="Arial" w:eastAsia="Arial" w:hAnsi="Arial"/>
                <w:sz w:val="11"/>
                <w:szCs w:val="11"/>
                <w:color w:val="auto"/>
                <w:w w:val="92"/>
              </w:rPr>
              <w:t>Service</w:t>
            </w:r>
          </w:p>
        </w:tc>
        <w:tc>
          <w:tcPr>
            <w:tcW w:w="860" w:type="dxa"/>
            <w:vAlign w:val="bottom"/>
            <w:gridSpan w:val="2"/>
          </w:tcPr>
          <w:p>
            <w:pPr>
              <w:jc w:val="center"/>
              <w:ind w:right="80"/>
              <w:spacing w:after="0"/>
              <w:rPr>
                <w:sz w:val="20"/>
                <w:szCs w:val="20"/>
                <w:color w:val="auto"/>
              </w:rPr>
            </w:pPr>
            <w:r>
              <w:rPr>
                <w:rFonts w:ascii="Arial" w:cs="Arial" w:eastAsia="Arial" w:hAnsi="Arial"/>
                <w:sz w:val="11"/>
                <w:szCs w:val="11"/>
                <w:color w:val="auto"/>
              </w:rPr>
              <w:t>(j)</w:t>
            </w:r>
          </w:p>
        </w:tc>
        <w:tc>
          <w:tcPr>
            <w:tcW w:w="1020" w:type="dxa"/>
            <w:vAlign w:val="bottom"/>
            <w:gridSpan w:val="2"/>
          </w:tcPr>
          <w:p>
            <w:pPr>
              <w:jc w:val="center"/>
              <w:ind w:right="80"/>
              <w:spacing w:after="0"/>
              <w:rPr>
                <w:sz w:val="20"/>
                <w:szCs w:val="20"/>
                <w:color w:val="auto"/>
              </w:rPr>
            </w:pPr>
            <w:r>
              <w:rPr>
                <w:rFonts w:ascii="Arial" w:cs="Arial" w:eastAsia="Arial" w:hAnsi="Arial"/>
                <w:sz w:val="11"/>
                <w:szCs w:val="11"/>
                <w:color w:val="auto"/>
                <w:w w:val="85"/>
              </w:rPr>
              <w:t>Cash</w:t>
            </w:r>
          </w:p>
        </w:tc>
        <w:tc>
          <w:tcPr>
            <w:tcW w:w="900" w:type="dxa"/>
            <w:vAlign w:val="bottom"/>
          </w:tcPr>
          <w:p>
            <w:pPr>
              <w:jc w:val="center"/>
              <w:spacing w:after="0"/>
              <w:rPr>
                <w:sz w:val="20"/>
                <w:szCs w:val="20"/>
                <w:color w:val="auto"/>
              </w:rPr>
            </w:pPr>
            <w:r>
              <w:rPr>
                <w:rFonts w:ascii="Arial" w:cs="Arial" w:eastAsia="Arial" w:hAnsi="Arial"/>
                <w:sz w:val="11"/>
                <w:szCs w:val="11"/>
                <w:color w:val="auto"/>
                <w:w w:val="89"/>
              </w:rPr>
              <w:t>$27.55</w:t>
            </w:r>
          </w:p>
        </w:tc>
        <w:tc>
          <w:tcPr>
            <w:tcW w:w="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50,000</w:t>
            </w:r>
          </w:p>
        </w:tc>
        <w:tc>
          <w:tcPr>
            <w:tcW w:w="100" w:type="dxa"/>
            <w:vAlign w:val="bottom"/>
          </w:tcPr>
          <w:p>
            <w:pPr>
              <w:spacing w:after="0"/>
              <w:rPr>
                <w:sz w:val="12"/>
                <w:szCs w:val="12"/>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6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0"/>
        </w:trPr>
        <w:tc>
          <w:tcPr>
            <w:tcW w:w="1140" w:type="dxa"/>
            <w:vAlign w:val="bottom"/>
            <w:shd w:val="clear" w:color="auto" w:fill="CCEEFF"/>
          </w:tcPr>
          <w:p>
            <w:pPr>
              <w:jc w:val="center"/>
              <w:ind w:left="83"/>
              <w:spacing w:after="0"/>
              <w:rPr>
                <w:sz w:val="20"/>
                <w:szCs w:val="20"/>
                <w:color w:val="auto"/>
              </w:rPr>
            </w:pPr>
            <w:r>
              <w:rPr>
                <w:rFonts w:ascii="Arial" w:cs="Arial" w:eastAsia="Arial" w:hAnsi="Arial"/>
                <w:sz w:val="11"/>
                <w:szCs w:val="11"/>
                <w:color w:val="auto"/>
                <w:w w:val="94"/>
              </w:rPr>
              <w:t>2019 LTIP</w:t>
            </w:r>
          </w:p>
        </w:tc>
        <w:tc>
          <w:tcPr>
            <w:tcW w:w="940" w:type="dxa"/>
            <w:vAlign w:val="bottom"/>
            <w:gridSpan w:val="2"/>
            <w:shd w:val="clear" w:color="auto" w:fill="CCEEFF"/>
          </w:tcPr>
          <w:p>
            <w:pPr>
              <w:jc w:val="center"/>
              <w:spacing w:after="0"/>
              <w:rPr>
                <w:sz w:val="20"/>
                <w:szCs w:val="20"/>
                <w:color w:val="auto"/>
              </w:rPr>
            </w:pPr>
            <w:r>
              <w:rPr>
                <w:rFonts w:ascii="Arial" w:cs="Arial" w:eastAsia="Arial" w:hAnsi="Arial"/>
                <w:sz w:val="11"/>
                <w:szCs w:val="11"/>
                <w:color w:val="auto"/>
                <w:w w:val="94"/>
              </w:rPr>
              <w:t>RSU</w:t>
            </w: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1/8/2021</w:t>
            </w: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4"/>
              </w:rPr>
              <w:t>$19.73</w:t>
            </w:r>
          </w:p>
        </w:tc>
        <w:tc>
          <w:tcPr>
            <w:tcW w:w="8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center"/>
              <w:ind w:right="80"/>
              <w:spacing w:after="0"/>
              <w:rPr>
                <w:sz w:val="20"/>
                <w:szCs w:val="20"/>
                <w:color w:val="auto"/>
              </w:rPr>
            </w:pPr>
            <w:r>
              <w:rPr>
                <w:rFonts w:ascii="Arial" w:cs="Arial" w:eastAsia="Arial" w:hAnsi="Arial"/>
                <w:sz w:val="11"/>
                <w:szCs w:val="11"/>
                <w:color w:val="auto"/>
                <w:w w:val="93"/>
              </w:rPr>
              <w:t>Performance/Service</w:t>
            </w:r>
          </w:p>
        </w:tc>
        <w:tc>
          <w:tcPr>
            <w:tcW w:w="860" w:type="dxa"/>
            <w:vAlign w:val="bottom"/>
            <w:gridSpan w:val="2"/>
            <w:shd w:val="clear" w:color="auto" w:fill="CCEEFF"/>
          </w:tcPr>
          <w:p>
            <w:pPr>
              <w:jc w:val="center"/>
              <w:ind w:right="80"/>
              <w:spacing w:after="0"/>
              <w:rPr>
                <w:sz w:val="20"/>
                <w:szCs w:val="20"/>
                <w:color w:val="auto"/>
              </w:rPr>
            </w:pPr>
            <w:r>
              <w:rPr>
                <w:rFonts w:ascii="Arial" w:cs="Arial" w:eastAsia="Arial" w:hAnsi="Arial"/>
                <w:sz w:val="11"/>
                <w:szCs w:val="11"/>
                <w:color w:val="auto"/>
              </w:rPr>
              <w:t>(k)</w:t>
            </w:r>
          </w:p>
        </w:tc>
        <w:tc>
          <w:tcPr>
            <w:tcW w:w="1020" w:type="dxa"/>
            <w:vAlign w:val="bottom"/>
            <w:gridSpan w:val="2"/>
            <w:shd w:val="clear" w:color="auto" w:fill="CCEEFF"/>
          </w:tcPr>
          <w:p>
            <w:pPr>
              <w:jc w:val="center"/>
              <w:ind w:right="80"/>
              <w:spacing w:after="0"/>
              <w:rPr>
                <w:sz w:val="20"/>
                <w:szCs w:val="20"/>
                <w:color w:val="auto"/>
              </w:rPr>
            </w:pPr>
            <w:r>
              <w:rPr>
                <w:rFonts w:ascii="Arial" w:cs="Arial" w:eastAsia="Arial" w:hAnsi="Arial"/>
                <w:sz w:val="11"/>
                <w:szCs w:val="11"/>
                <w:color w:val="auto"/>
                <w:w w:val="94"/>
              </w:rPr>
              <w:t>Stock</w:t>
            </w:r>
          </w:p>
        </w:tc>
        <w:tc>
          <w:tcPr>
            <w:tcW w:w="980" w:type="dxa"/>
            <w:vAlign w:val="bottom"/>
            <w:gridSpan w:val="2"/>
            <w:shd w:val="clear" w:color="auto" w:fill="CCEEFF"/>
          </w:tcPr>
          <w:p>
            <w:pPr>
              <w:jc w:val="center"/>
              <w:ind w:right="80"/>
              <w:spacing w:after="0"/>
              <w:rPr>
                <w:sz w:val="20"/>
                <w:szCs w:val="20"/>
                <w:color w:val="auto"/>
              </w:rPr>
            </w:pPr>
            <w:r>
              <w:rPr>
                <w:rFonts w:ascii="Arial" w:cs="Arial" w:eastAsia="Arial" w:hAnsi="Arial"/>
                <w:sz w:val="11"/>
                <w:szCs w:val="11"/>
                <w:color w:val="auto"/>
              </w:rPr>
              <w:t>NA</w:t>
            </w: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300,000</w:t>
            </w:r>
          </w:p>
        </w:tc>
        <w:tc>
          <w:tcPr>
            <w:tcW w:w="10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7"/>
        </w:trPr>
        <w:tc>
          <w:tcPr>
            <w:tcW w:w="1140" w:type="dxa"/>
            <w:vAlign w:val="bottom"/>
          </w:tcPr>
          <w:p>
            <w:pPr>
              <w:jc w:val="center"/>
              <w:ind w:left="83"/>
              <w:spacing w:after="0"/>
              <w:rPr>
                <w:sz w:val="20"/>
                <w:szCs w:val="20"/>
                <w:color w:val="auto"/>
              </w:rPr>
            </w:pPr>
            <w:r>
              <w:rPr>
                <w:rFonts w:ascii="Arial" w:cs="Arial" w:eastAsia="Arial" w:hAnsi="Arial"/>
                <w:sz w:val="11"/>
                <w:szCs w:val="11"/>
                <w:color w:val="auto"/>
                <w:w w:val="94"/>
              </w:rPr>
              <w:t>2019 LTIP</w:t>
            </w:r>
          </w:p>
        </w:tc>
        <w:tc>
          <w:tcPr>
            <w:tcW w:w="940" w:type="dxa"/>
            <w:vAlign w:val="bottom"/>
            <w:gridSpan w:val="2"/>
          </w:tcPr>
          <w:p>
            <w:pPr>
              <w:jc w:val="center"/>
              <w:spacing w:after="0"/>
              <w:rPr>
                <w:sz w:val="20"/>
                <w:szCs w:val="20"/>
                <w:color w:val="auto"/>
              </w:rPr>
            </w:pPr>
            <w:r>
              <w:rPr>
                <w:rFonts w:ascii="Arial" w:cs="Arial" w:eastAsia="Arial" w:hAnsi="Arial"/>
                <w:sz w:val="11"/>
                <w:szCs w:val="11"/>
                <w:color w:val="auto"/>
                <w:w w:val="94"/>
              </w:rPr>
              <w:t>RSU</w:t>
            </w:r>
          </w:p>
        </w:tc>
        <w:tc>
          <w:tcPr>
            <w:tcW w:w="920" w:type="dxa"/>
            <w:vAlign w:val="bottom"/>
          </w:tcPr>
          <w:p>
            <w:pPr>
              <w:jc w:val="right"/>
              <w:spacing w:after="0"/>
              <w:rPr>
                <w:sz w:val="20"/>
                <w:szCs w:val="20"/>
                <w:color w:val="auto"/>
              </w:rPr>
            </w:pPr>
            <w:r>
              <w:rPr>
                <w:rFonts w:ascii="Arial" w:cs="Arial" w:eastAsia="Arial" w:hAnsi="Arial"/>
                <w:sz w:val="11"/>
                <w:szCs w:val="11"/>
                <w:color w:val="auto"/>
              </w:rPr>
              <w:t>1/8/2021</w:t>
            </w:r>
          </w:p>
        </w:tc>
        <w:tc>
          <w:tcPr>
            <w:tcW w:w="100" w:type="dxa"/>
            <w:vAlign w:val="bottom"/>
          </w:tcPr>
          <w:p>
            <w:pPr>
              <w:spacing w:after="0"/>
              <w:rPr>
                <w:sz w:val="12"/>
                <w:szCs w:val="12"/>
                <w:color w:val="auto"/>
              </w:rPr>
            </w:pPr>
          </w:p>
        </w:tc>
        <w:tc>
          <w:tcPr>
            <w:tcW w:w="840" w:type="dxa"/>
            <w:vAlign w:val="bottom"/>
          </w:tcPr>
          <w:p>
            <w:pPr>
              <w:jc w:val="center"/>
              <w:spacing w:after="0"/>
              <w:rPr>
                <w:sz w:val="20"/>
                <w:szCs w:val="20"/>
                <w:color w:val="auto"/>
              </w:rPr>
            </w:pPr>
            <w:r>
              <w:rPr>
                <w:rFonts w:ascii="Arial" w:cs="Arial" w:eastAsia="Arial" w:hAnsi="Arial"/>
                <w:sz w:val="11"/>
                <w:szCs w:val="11"/>
                <w:color w:val="auto"/>
                <w:w w:val="94"/>
              </w:rPr>
              <w:t>$19.73</w:t>
            </w:r>
          </w:p>
        </w:tc>
        <w:tc>
          <w:tcPr>
            <w:tcW w:w="80" w:type="dxa"/>
            <w:vAlign w:val="bottom"/>
          </w:tcPr>
          <w:p>
            <w:pPr>
              <w:spacing w:after="0"/>
              <w:rPr>
                <w:sz w:val="12"/>
                <w:szCs w:val="12"/>
                <w:color w:val="auto"/>
              </w:rPr>
            </w:pPr>
          </w:p>
        </w:tc>
        <w:tc>
          <w:tcPr>
            <w:tcW w:w="1160" w:type="dxa"/>
            <w:vAlign w:val="bottom"/>
            <w:gridSpan w:val="2"/>
          </w:tcPr>
          <w:p>
            <w:pPr>
              <w:jc w:val="center"/>
              <w:ind w:right="80"/>
              <w:spacing w:after="0"/>
              <w:rPr>
                <w:sz w:val="20"/>
                <w:szCs w:val="20"/>
                <w:color w:val="auto"/>
              </w:rPr>
            </w:pPr>
            <w:r>
              <w:rPr>
                <w:rFonts w:ascii="Arial" w:cs="Arial" w:eastAsia="Arial" w:hAnsi="Arial"/>
                <w:sz w:val="11"/>
                <w:szCs w:val="11"/>
                <w:color w:val="auto"/>
                <w:w w:val="93"/>
              </w:rPr>
              <w:t>Performance/Service</w:t>
            </w:r>
          </w:p>
        </w:tc>
        <w:tc>
          <w:tcPr>
            <w:tcW w:w="860" w:type="dxa"/>
            <w:vAlign w:val="bottom"/>
            <w:gridSpan w:val="2"/>
          </w:tcPr>
          <w:p>
            <w:pPr>
              <w:jc w:val="center"/>
              <w:ind w:right="80"/>
              <w:spacing w:after="0"/>
              <w:rPr>
                <w:sz w:val="20"/>
                <w:szCs w:val="20"/>
                <w:color w:val="auto"/>
              </w:rPr>
            </w:pPr>
            <w:r>
              <w:rPr>
                <w:rFonts w:ascii="Arial" w:cs="Arial" w:eastAsia="Arial" w:hAnsi="Arial"/>
                <w:sz w:val="11"/>
                <w:szCs w:val="11"/>
                <w:color w:val="auto"/>
              </w:rPr>
              <w:t>(l)</w:t>
            </w:r>
          </w:p>
        </w:tc>
        <w:tc>
          <w:tcPr>
            <w:tcW w:w="1020" w:type="dxa"/>
            <w:vAlign w:val="bottom"/>
            <w:gridSpan w:val="2"/>
          </w:tcPr>
          <w:p>
            <w:pPr>
              <w:jc w:val="center"/>
              <w:ind w:right="80"/>
              <w:spacing w:after="0"/>
              <w:rPr>
                <w:sz w:val="20"/>
                <w:szCs w:val="20"/>
                <w:color w:val="auto"/>
              </w:rPr>
            </w:pPr>
            <w:r>
              <w:rPr>
                <w:rFonts w:ascii="Arial" w:cs="Arial" w:eastAsia="Arial" w:hAnsi="Arial"/>
                <w:sz w:val="11"/>
                <w:szCs w:val="11"/>
                <w:color w:val="auto"/>
                <w:w w:val="85"/>
              </w:rPr>
              <w:t>Cash</w:t>
            </w:r>
          </w:p>
        </w:tc>
        <w:tc>
          <w:tcPr>
            <w:tcW w:w="900" w:type="dxa"/>
            <w:vAlign w:val="bottom"/>
          </w:tcPr>
          <w:p>
            <w:pPr>
              <w:jc w:val="center"/>
              <w:spacing w:after="0"/>
              <w:rPr>
                <w:sz w:val="20"/>
                <w:szCs w:val="20"/>
                <w:color w:val="auto"/>
              </w:rPr>
            </w:pPr>
            <w:r>
              <w:rPr>
                <w:rFonts w:ascii="Arial" w:cs="Arial" w:eastAsia="Arial" w:hAnsi="Arial"/>
                <w:sz w:val="11"/>
                <w:szCs w:val="11"/>
                <w:color w:val="auto"/>
                <w:w w:val="89"/>
              </w:rPr>
              <w:t>$27.55</w:t>
            </w:r>
          </w:p>
        </w:tc>
        <w:tc>
          <w:tcPr>
            <w:tcW w:w="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100,000</w:t>
            </w:r>
          </w:p>
        </w:tc>
        <w:tc>
          <w:tcPr>
            <w:tcW w:w="100" w:type="dxa"/>
            <w:vAlign w:val="bottom"/>
          </w:tcPr>
          <w:p>
            <w:pPr>
              <w:spacing w:after="0"/>
              <w:rPr>
                <w:sz w:val="12"/>
                <w:szCs w:val="12"/>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6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0"/>
        </w:trPr>
        <w:tc>
          <w:tcPr>
            <w:tcW w:w="1140" w:type="dxa"/>
            <w:vAlign w:val="bottom"/>
            <w:shd w:val="clear" w:color="auto" w:fill="CCEEFF"/>
          </w:tcPr>
          <w:p>
            <w:pPr>
              <w:jc w:val="center"/>
              <w:ind w:left="83"/>
              <w:spacing w:after="0"/>
              <w:rPr>
                <w:sz w:val="20"/>
                <w:szCs w:val="20"/>
                <w:color w:val="auto"/>
              </w:rPr>
            </w:pPr>
            <w:r>
              <w:rPr>
                <w:rFonts w:ascii="Arial" w:cs="Arial" w:eastAsia="Arial" w:hAnsi="Arial"/>
                <w:sz w:val="11"/>
                <w:szCs w:val="11"/>
                <w:color w:val="auto"/>
                <w:w w:val="94"/>
              </w:rPr>
              <w:t>2019 LTIP</w:t>
            </w:r>
          </w:p>
        </w:tc>
        <w:tc>
          <w:tcPr>
            <w:tcW w:w="940" w:type="dxa"/>
            <w:vAlign w:val="bottom"/>
            <w:gridSpan w:val="2"/>
            <w:shd w:val="clear" w:color="auto" w:fill="CCEEFF"/>
          </w:tcPr>
          <w:p>
            <w:pPr>
              <w:jc w:val="center"/>
              <w:spacing w:after="0"/>
              <w:rPr>
                <w:sz w:val="20"/>
                <w:szCs w:val="20"/>
                <w:color w:val="auto"/>
              </w:rPr>
            </w:pPr>
            <w:r>
              <w:rPr>
                <w:rFonts w:ascii="Arial" w:cs="Arial" w:eastAsia="Arial" w:hAnsi="Arial"/>
                <w:sz w:val="11"/>
                <w:szCs w:val="11"/>
                <w:color w:val="auto"/>
                <w:w w:val="94"/>
              </w:rPr>
              <w:t>RSU</w:t>
            </w: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2/10/2021</w:t>
            </w: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4"/>
              </w:rPr>
              <w:t>$22.96</w:t>
            </w:r>
          </w:p>
        </w:tc>
        <w:tc>
          <w:tcPr>
            <w:tcW w:w="8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center"/>
              <w:ind w:right="80"/>
              <w:spacing w:after="0"/>
              <w:rPr>
                <w:sz w:val="20"/>
                <w:szCs w:val="20"/>
                <w:color w:val="auto"/>
              </w:rPr>
            </w:pPr>
            <w:r>
              <w:rPr>
                <w:rFonts w:ascii="Arial" w:cs="Arial" w:eastAsia="Arial" w:hAnsi="Arial"/>
                <w:sz w:val="11"/>
                <w:szCs w:val="11"/>
                <w:color w:val="auto"/>
                <w:w w:val="93"/>
              </w:rPr>
              <w:t>Performance/Service</w:t>
            </w:r>
          </w:p>
        </w:tc>
        <w:tc>
          <w:tcPr>
            <w:tcW w:w="860" w:type="dxa"/>
            <w:vAlign w:val="bottom"/>
            <w:gridSpan w:val="2"/>
            <w:shd w:val="clear" w:color="auto" w:fill="CCEEFF"/>
          </w:tcPr>
          <w:p>
            <w:pPr>
              <w:jc w:val="center"/>
              <w:ind w:right="100"/>
              <w:spacing w:after="0"/>
              <w:rPr>
                <w:sz w:val="20"/>
                <w:szCs w:val="20"/>
                <w:color w:val="auto"/>
              </w:rPr>
            </w:pPr>
            <w:r>
              <w:rPr>
                <w:rFonts w:ascii="Arial" w:cs="Arial" w:eastAsia="Arial" w:hAnsi="Arial"/>
                <w:sz w:val="11"/>
                <w:szCs w:val="11"/>
                <w:color w:val="auto"/>
                <w:w w:val="96"/>
              </w:rPr>
              <w:t>(m)</w:t>
            </w:r>
          </w:p>
        </w:tc>
        <w:tc>
          <w:tcPr>
            <w:tcW w:w="1020" w:type="dxa"/>
            <w:vAlign w:val="bottom"/>
            <w:gridSpan w:val="2"/>
            <w:shd w:val="clear" w:color="auto" w:fill="CCEEFF"/>
          </w:tcPr>
          <w:p>
            <w:pPr>
              <w:jc w:val="center"/>
              <w:ind w:right="80"/>
              <w:spacing w:after="0"/>
              <w:rPr>
                <w:sz w:val="20"/>
                <w:szCs w:val="20"/>
                <w:color w:val="auto"/>
              </w:rPr>
            </w:pPr>
            <w:r>
              <w:rPr>
                <w:rFonts w:ascii="Arial" w:cs="Arial" w:eastAsia="Arial" w:hAnsi="Arial"/>
                <w:sz w:val="11"/>
                <w:szCs w:val="11"/>
                <w:color w:val="auto"/>
                <w:w w:val="94"/>
              </w:rPr>
              <w:t>Stock</w:t>
            </w:r>
          </w:p>
        </w:tc>
        <w:tc>
          <w:tcPr>
            <w:tcW w:w="980" w:type="dxa"/>
            <w:vAlign w:val="bottom"/>
            <w:gridSpan w:val="2"/>
            <w:shd w:val="clear" w:color="auto" w:fill="CCEEFF"/>
          </w:tcPr>
          <w:p>
            <w:pPr>
              <w:jc w:val="center"/>
              <w:ind w:right="80"/>
              <w:spacing w:after="0"/>
              <w:rPr>
                <w:sz w:val="20"/>
                <w:szCs w:val="20"/>
                <w:color w:val="auto"/>
              </w:rPr>
            </w:pPr>
            <w:r>
              <w:rPr>
                <w:rFonts w:ascii="Arial" w:cs="Arial" w:eastAsia="Arial" w:hAnsi="Arial"/>
                <w:sz w:val="11"/>
                <w:szCs w:val="11"/>
                <w:color w:val="auto"/>
              </w:rPr>
              <w:t>NA</w:t>
            </w: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307,986</w:t>
            </w:r>
          </w:p>
        </w:tc>
        <w:tc>
          <w:tcPr>
            <w:tcW w:w="10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(35,558)</w:t>
            </w:r>
          </w:p>
        </w:tc>
        <w:tc>
          <w:tcPr>
            <w:tcW w:w="0" w:type="dxa"/>
            <w:vAlign w:val="bottom"/>
          </w:tcPr>
          <w:p>
            <w:pPr>
              <w:spacing w:after="0"/>
              <w:rPr>
                <w:sz w:val="1"/>
                <w:szCs w:val="1"/>
                <w:color w:val="auto"/>
              </w:rPr>
            </w:pPr>
          </w:p>
        </w:tc>
      </w:tr>
      <w:tr>
        <w:trPr>
          <w:trHeight w:val="147"/>
        </w:trPr>
        <w:tc>
          <w:tcPr>
            <w:tcW w:w="1140" w:type="dxa"/>
            <w:vAlign w:val="bottom"/>
          </w:tcPr>
          <w:p>
            <w:pPr>
              <w:jc w:val="center"/>
              <w:ind w:left="83"/>
              <w:spacing w:after="0"/>
              <w:rPr>
                <w:sz w:val="20"/>
                <w:szCs w:val="20"/>
                <w:color w:val="auto"/>
              </w:rPr>
            </w:pPr>
            <w:r>
              <w:rPr>
                <w:rFonts w:ascii="Arial" w:cs="Arial" w:eastAsia="Arial" w:hAnsi="Arial"/>
                <w:sz w:val="11"/>
                <w:szCs w:val="11"/>
                <w:color w:val="auto"/>
                <w:w w:val="94"/>
              </w:rPr>
              <w:t>2019 LTIP</w:t>
            </w:r>
          </w:p>
        </w:tc>
        <w:tc>
          <w:tcPr>
            <w:tcW w:w="940" w:type="dxa"/>
            <w:vAlign w:val="bottom"/>
            <w:gridSpan w:val="2"/>
          </w:tcPr>
          <w:p>
            <w:pPr>
              <w:jc w:val="center"/>
              <w:spacing w:after="0"/>
              <w:rPr>
                <w:sz w:val="20"/>
                <w:szCs w:val="20"/>
                <w:color w:val="auto"/>
              </w:rPr>
            </w:pPr>
            <w:r>
              <w:rPr>
                <w:rFonts w:ascii="Arial" w:cs="Arial" w:eastAsia="Arial" w:hAnsi="Arial"/>
                <w:sz w:val="11"/>
                <w:szCs w:val="11"/>
                <w:color w:val="auto"/>
                <w:w w:val="94"/>
              </w:rPr>
              <w:t>RSU</w:t>
            </w:r>
          </w:p>
        </w:tc>
        <w:tc>
          <w:tcPr>
            <w:tcW w:w="920" w:type="dxa"/>
            <w:vAlign w:val="bottom"/>
          </w:tcPr>
          <w:p>
            <w:pPr>
              <w:jc w:val="right"/>
              <w:spacing w:after="0"/>
              <w:rPr>
                <w:sz w:val="20"/>
                <w:szCs w:val="20"/>
                <w:color w:val="auto"/>
              </w:rPr>
            </w:pPr>
            <w:r>
              <w:rPr>
                <w:rFonts w:ascii="Arial" w:cs="Arial" w:eastAsia="Arial" w:hAnsi="Arial"/>
                <w:sz w:val="11"/>
                <w:szCs w:val="11"/>
                <w:color w:val="auto"/>
              </w:rPr>
              <w:t>2/10/2021</w:t>
            </w:r>
          </w:p>
        </w:tc>
        <w:tc>
          <w:tcPr>
            <w:tcW w:w="100" w:type="dxa"/>
            <w:vAlign w:val="bottom"/>
          </w:tcPr>
          <w:p>
            <w:pPr>
              <w:spacing w:after="0"/>
              <w:rPr>
                <w:sz w:val="12"/>
                <w:szCs w:val="12"/>
                <w:color w:val="auto"/>
              </w:rPr>
            </w:pPr>
          </w:p>
        </w:tc>
        <w:tc>
          <w:tcPr>
            <w:tcW w:w="840" w:type="dxa"/>
            <w:vAlign w:val="bottom"/>
          </w:tcPr>
          <w:p>
            <w:pPr>
              <w:jc w:val="center"/>
              <w:spacing w:after="0"/>
              <w:rPr>
                <w:sz w:val="20"/>
                <w:szCs w:val="20"/>
                <w:color w:val="auto"/>
              </w:rPr>
            </w:pPr>
            <w:r>
              <w:rPr>
                <w:rFonts w:ascii="Arial" w:cs="Arial" w:eastAsia="Arial" w:hAnsi="Arial"/>
                <w:sz w:val="11"/>
                <w:szCs w:val="11"/>
                <w:color w:val="auto"/>
                <w:w w:val="94"/>
              </w:rPr>
              <w:t>$22.96</w:t>
            </w:r>
          </w:p>
        </w:tc>
        <w:tc>
          <w:tcPr>
            <w:tcW w:w="80" w:type="dxa"/>
            <w:vAlign w:val="bottom"/>
          </w:tcPr>
          <w:p>
            <w:pPr>
              <w:spacing w:after="0"/>
              <w:rPr>
                <w:sz w:val="12"/>
                <w:szCs w:val="12"/>
                <w:color w:val="auto"/>
              </w:rPr>
            </w:pPr>
          </w:p>
        </w:tc>
        <w:tc>
          <w:tcPr>
            <w:tcW w:w="1160" w:type="dxa"/>
            <w:vAlign w:val="bottom"/>
            <w:gridSpan w:val="2"/>
          </w:tcPr>
          <w:p>
            <w:pPr>
              <w:jc w:val="center"/>
              <w:ind w:right="80"/>
              <w:spacing w:after="0"/>
              <w:rPr>
                <w:sz w:val="20"/>
                <w:szCs w:val="20"/>
                <w:color w:val="auto"/>
              </w:rPr>
            </w:pPr>
            <w:r>
              <w:rPr>
                <w:rFonts w:ascii="Arial" w:cs="Arial" w:eastAsia="Arial" w:hAnsi="Arial"/>
                <w:sz w:val="11"/>
                <w:szCs w:val="11"/>
                <w:color w:val="auto"/>
                <w:w w:val="93"/>
              </w:rPr>
              <w:t>Performance/Service</w:t>
            </w:r>
          </w:p>
        </w:tc>
        <w:tc>
          <w:tcPr>
            <w:tcW w:w="860" w:type="dxa"/>
            <w:vAlign w:val="bottom"/>
            <w:gridSpan w:val="2"/>
          </w:tcPr>
          <w:p>
            <w:pPr>
              <w:jc w:val="center"/>
              <w:ind w:right="80"/>
              <w:spacing w:after="0"/>
              <w:rPr>
                <w:sz w:val="20"/>
                <w:szCs w:val="20"/>
                <w:color w:val="auto"/>
              </w:rPr>
            </w:pPr>
            <w:r>
              <w:rPr>
                <w:rFonts w:ascii="Arial" w:cs="Arial" w:eastAsia="Arial" w:hAnsi="Arial"/>
                <w:sz w:val="11"/>
                <w:szCs w:val="11"/>
                <w:color w:val="auto"/>
              </w:rPr>
              <w:t>(n)</w:t>
            </w:r>
          </w:p>
        </w:tc>
        <w:tc>
          <w:tcPr>
            <w:tcW w:w="1020" w:type="dxa"/>
            <w:vAlign w:val="bottom"/>
            <w:gridSpan w:val="2"/>
          </w:tcPr>
          <w:p>
            <w:pPr>
              <w:jc w:val="center"/>
              <w:ind w:right="80"/>
              <w:spacing w:after="0"/>
              <w:rPr>
                <w:sz w:val="20"/>
                <w:szCs w:val="20"/>
                <w:color w:val="auto"/>
              </w:rPr>
            </w:pPr>
            <w:r>
              <w:rPr>
                <w:rFonts w:ascii="Arial" w:cs="Arial" w:eastAsia="Arial" w:hAnsi="Arial"/>
                <w:sz w:val="11"/>
                <w:szCs w:val="11"/>
                <w:color w:val="auto"/>
                <w:w w:val="85"/>
              </w:rPr>
              <w:t>Cash</w:t>
            </w:r>
          </w:p>
        </w:tc>
        <w:tc>
          <w:tcPr>
            <w:tcW w:w="900" w:type="dxa"/>
            <w:vAlign w:val="bottom"/>
          </w:tcPr>
          <w:p>
            <w:pPr>
              <w:jc w:val="center"/>
              <w:spacing w:after="0"/>
              <w:rPr>
                <w:sz w:val="20"/>
                <w:szCs w:val="20"/>
                <w:color w:val="auto"/>
              </w:rPr>
            </w:pPr>
            <w:r>
              <w:rPr>
                <w:rFonts w:ascii="Arial" w:cs="Arial" w:eastAsia="Arial" w:hAnsi="Arial"/>
                <w:sz w:val="11"/>
                <w:szCs w:val="11"/>
                <w:color w:val="auto"/>
                <w:w w:val="89"/>
              </w:rPr>
              <w:t>$27.55</w:t>
            </w:r>
          </w:p>
        </w:tc>
        <w:tc>
          <w:tcPr>
            <w:tcW w:w="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208,117</w:t>
            </w:r>
          </w:p>
        </w:tc>
        <w:tc>
          <w:tcPr>
            <w:tcW w:w="100" w:type="dxa"/>
            <w:vAlign w:val="bottom"/>
          </w:tcPr>
          <w:p>
            <w:pPr>
              <w:spacing w:after="0"/>
              <w:rPr>
                <w:sz w:val="12"/>
                <w:szCs w:val="12"/>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6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0"/>
        </w:trPr>
        <w:tc>
          <w:tcPr>
            <w:tcW w:w="1140" w:type="dxa"/>
            <w:vAlign w:val="bottom"/>
            <w:shd w:val="clear" w:color="auto" w:fill="CCEEFF"/>
          </w:tcPr>
          <w:p>
            <w:pPr>
              <w:jc w:val="center"/>
              <w:ind w:left="83"/>
              <w:spacing w:after="0"/>
              <w:rPr>
                <w:sz w:val="20"/>
                <w:szCs w:val="20"/>
                <w:color w:val="auto"/>
              </w:rPr>
            </w:pPr>
            <w:r>
              <w:rPr>
                <w:rFonts w:ascii="Arial" w:cs="Arial" w:eastAsia="Arial" w:hAnsi="Arial"/>
                <w:sz w:val="11"/>
                <w:szCs w:val="11"/>
                <w:color w:val="auto"/>
                <w:w w:val="94"/>
              </w:rPr>
              <w:t>2019 LTIP</w:t>
            </w:r>
          </w:p>
        </w:tc>
        <w:tc>
          <w:tcPr>
            <w:tcW w:w="940" w:type="dxa"/>
            <w:vAlign w:val="bottom"/>
            <w:gridSpan w:val="2"/>
            <w:shd w:val="clear" w:color="auto" w:fill="CCEEFF"/>
          </w:tcPr>
          <w:p>
            <w:pPr>
              <w:jc w:val="center"/>
              <w:spacing w:after="0"/>
              <w:rPr>
                <w:sz w:val="20"/>
                <w:szCs w:val="20"/>
                <w:color w:val="auto"/>
              </w:rPr>
            </w:pPr>
            <w:r>
              <w:rPr>
                <w:rFonts w:ascii="Arial" w:cs="Arial" w:eastAsia="Arial" w:hAnsi="Arial"/>
                <w:sz w:val="11"/>
                <w:szCs w:val="11"/>
                <w:color w:val="auto"/>
                <w:w w:val="94"/>
              </w:rPr>
              <w:t>RSU</w:t>
            </w: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3/15/2021</w:t>
            </w: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4"/>
              </w:rPr>
              <w:t>$25.45</w:t>
            </w:r>
          </w:p>
        </w:tc>
        <w:tc>
          <w:tcPr>
            <w:tcW w:w="8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center"/>
              <w:ind w:right="80"/>
              <w:spacing w:after="0"/>
              <w:rPr>
                <w:sz w:val="20"/>
                <w:szCs w:val="20"/>
                <w:color w:val="auto"/>
              </w:rPr>
            </w:pPr>
            <w:r>
              <w:rPr>
                <w:rFonts w:ascii="Arial" w:cs="Arial" w:eastAsia="Arial" w:hAnsi="Arial"/>
                <w:sz w:val="11"/>
                <w:szCs w:val="11"/>
                <w:color w:val="auto"/>
                <w:w w:val="93"/>
              </w:rPr>
              <w:t>Performance/Service</w:t>
            </w:r>
          </w:p>
        </w:tc>
        <w:tc>
          <w:tcPr>
            <w:tcW w:w="860" w:type="dxa"/>
            <w:vAlign w:val="bottom"/>
            <w:gridSpan w:val="2"/>
            <w:shd w:val="clear" w:color="auto" w:fill="CCEEFF"/>
          </w:tcPr>
          <w:p>
            <w:pPr>
              <w:jc w:val="center"/>
              <w:ind w:right="80"/>
              <w:spacing w:after="0"/>
              <w:rPr>
                <w:sz w:val="20"/>
                <w:szCs w:val="20"/>
                <w:color w:val="auto"/>
              </w:rPr>
            </w:pPr>
            <w:r>
              <w:rPr>
                <w:rFonts w:ascii="Arial" w:cs="Arial" w:eastAsia="Arial" w:hAnsi="Arial"/>
                <w:sz w:val="11"/>
                <w:szCs w:val="11"/>
                <w:color w:val="auto"/>
              </w:rPr>
              <w:t>(o)</w:t>
            </w:r>
          </w:p>
        </w:tc>
        <w:tc>
          <w:tcPr>
            <w:tcW w:w="1020" w:type="dxa"/>
            <w:vAlign w:val="bottom"/>
            <w:gridSpan w:val="2"/>
            <w:shd w:val="clear" w:color="auto" w:fill="CCEEFF"/>
          </w:tcPr>
          <w:p>
            <w:pPr>
              <w:jc w:val="center"/>
              <w:ind w:right="80"/>
              <w:spacing w:after="0"/>
              <w:rPr>
                <w:sz w:val="20"/>
                <w:szCs w:val="20"/>
                <w:color w:val="auto"/>
              </w:rPr>
            </w:pPr>
            <w:r>
              <w:rPr>
                <w:rFonts w:ascii="Arial" w:cs="Arial" w:eastAsia="Arial" w:hAnsi="Arial"/>
                <w:sz w:val="11"/>
                <w:szCs w:val="11"/>
                <w:color w:val="auto"/>
                <w:w w:val="94"/>
              </w:rPr>
              <w:t>Stock</w:t>
            </w:r>
          </w:p>
        </w:tc>
        <w:tc>
          <w:tcPr>
            <w:tcW w:w="980" w:type="dxa"/>
            <w:vAlign w:val="bottom"/>
            <w:gridSpan w:val="2"/>
            <w:shd w:val="clear" w:color="auto" w:fill="CCEEFF"/>
          </w:tcPr>
          <w:p>
            <w:pPr>
              <w:jc w:val="center"/>
              <w:ind w:right="80"/>
              <w:spacing w:after="0"/>
              <w:rPr>
                <w:sz w:val="20"/>
                <w:szCs w:val="20"/>
                <w:color w:val="auto"/>
              </w:rPr>
            </w:pPr>
            <w:r>
              <w:rPr>
                <w:rFonts w:ascii="Arial" w:cs="Arial" w:eastAsia="Arial" w:hAnsi="Arial"/>
                <w:sz w:val="11"/>
                <w:szCs w:val="11"/>
                <w:color w:val="auto"/>
              </w:rPr>
              <w:t>NA</w:t>
            </w: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27,350</w:t>
            </w:r>
          </w:p>
        </w:tc>
        <w:tc>
          <w:tcPr>
            <w:tcW w:w="10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7"/>
        </w:trPr>
        <w:tc>
          <w:tcPr>
            <w:tcW w:w="1140" w:type="dxa"/>
            <w:vAlign w:val="bottom"/>
          </w:tcPr>
          <w:p>
            <w:pPr>
              <w:jc w:val="center"/>
              <w:ind w:left="83"/>
              <w:spacing w:after="0"/>
              <w:rPr>
                <w:sz w:val="20"/>
                <w:szCs w:val="20"/>
                <w:color w:val="auto"/>
              </w:rPr>
            </w:pPr>
            <w:r>
              <w:rPr>
                <w:rFonts w:ascii="Arial" w:cs="Arial" w:eastAsia="Arial" w:hAnsi="Arial"/>
                <w:sz w:val="11"/>
                <w:szCs w:val="11"/>
                <w:color w:val="auto"/>
                <w:w w:val="94"/>
              </w:rPr>
              <w:t>2019 LTIP</w:t>
            </w:r>
          </w:p>
        </w:tc>
        <w:tc>
          <w:tcPr>
            <w:tcW w:w="940" w:type="dxa"/>
            <w:vAlign w:val="bottom"/>
            <w:gridSpan w:val="2"/>
          </w:tcPr>
          <w:p>
            <w:pPr>
              <w:jc w:val="center"/>
              <w:spacing w:after="0"/>
              <w:rPr>
                <w:sz w:val="20"/>
                <w:szCs w:val="20"/>
                <w:color w:val="auto"/>
              </w:rPr>
            </w:pPr>
            <w:r>
              <w:rPr>
                <w:rFonts w:ascii="Arial" w:cs="Arial" w:eastAsia="Arial" w:hAnsi="Arial"/>
                <w:sz w:val="11"/>
                <w:szCs w:val="11"/>
                <w:color w:val="auto"/>
                <w:w w:val="94"/>
              </w:rPr>
              <w:t>RSU</w:t>
            </w:r>
          </w:p>
        </w:tc>
        <w:tc>
          <w:tcPr>
            <w:tcW w:w="920" w:type="dxa"/>
            <w:vAlign w:val="bottom"/>
          </w:tcPr>
          <w:p>
            <w:pPr>
              <w:jc w:val="right"/>
              <w:spacing w:after="0"/>
              <w:rPr>
                <w:sz w:val="20"/>
                <w:szCs w:val="20"/>
                <w:color w:val="auto"/>
              </w:rPr>
            </w:pPr>
            <w:r>
              <w:rPr>
                <w:rFonts w:ascii="Arial" w:cs="Arial" w:eastAsia="Arial" w:hAnsi="Arial"/>
                <w:sz w:val="11"/>
                <w:szCs w:val="11"/>
                <w:color w:val="auto"/>
              </w:rPr>
              <w:t>4/28/2021</w:t>
            </w:r>
          </w:p>
        </w:tc>
        <w:tc>
          <w:tcPr>
            <w:tcW w:w="100" w:type="dxa"/>
            <w:vAlign w:val="bottom"/>
          </w:tcPr>
          <w:p>
            <w:pPr>
              <w:spacing w:after="0"/>
              <w:rPr>
                <w:sz w:val="12"/>
                <w:szCs w:val="12"/>
                <w:color w:val="auto"/>
              </w:rPr>
            </w:pPr>
          </w:p>
        </w:tc>
        <w:tc>
          <w:tcPr>
            <w:tcW w:w="840" w:type="dxa"/>
            <w:vAlign w:val="bottom"/>
          </w:tcPr>
          <w:p>
            <w:pPr>
              <w:jc w:val="center"/>
              <w:spacing w:after="0"/>
              <w:rPr>
                <w:sz w:val="20"/>
                <w:szCs w:val="20"/>
                <w:color w:val="auto"/>
              </w:rPr>
            </w:pPr>
            <w:r>
              <w:rPr>
                <w:rFonts w:ascii="Arial" w:cs="Arial" w:eastAsia="Arial" w:hAnsi="Arial"/>
                <w:sz w:val="11"/>
                <w:szCs w:val="11"/>
                <w:color w:val="auto"/>
                <w:w w:val="94"/>
              </w:rPr>
              <w:t>$24.69</w:t>
            </w:r>
          </w:p>
        </w:tc>
        <w:tc>
          <w:tcPr>
            <w:tcW w:w="80" w:type="dxa"/>
            <w:vAlign w:val="bottom"/>
          </w:tcPr>
          <w:p>
            <w:pPr>
              <w:spacing w:after="0"/>
              <w:rPr>
                <w:sz w:val="12"/>
                <w:szCs w:val="12"/>
                <w:color w:val="auto"/>
              </w:rPr>
            </w:pPr>
          </w:p>
        </w:tc>
        <w:tc>
          <w:tcPr>
            <w:tcW w:w="1160" w:type="dxa"/>
            <w:vAlign w:val="bottom"/>
            <w:gridSpan w:val="2"/>
          </w:tcPr>
          <w:p>
            <w:pPr>
              <w:jc w:val="center"/>
              <w:ind w:right="60"/>
              <w:spacing w:after="0"/>
              <w:rPr>
                <w:sz w:val="20"/>
                <w:szCs w:val="20"/>
                <w:color w:val="auto"/>
              </w:rPr>
            </w:pPr>
            <w:r>
              <w:rPr>
                <w:rFonts w:ascii="Arial" w:cs="Arial" w:eastAsia="Arial" w:hAnsi="Arial"/>
                <w:sz w:val="11"/>
                <w:szCs w:val="11"/>
                <w:color w:val="auto"/>
                <w:w w:val="92"/>
              </w:rPr>
              <w:t>Service</w:t>
            </w:r>
          </w:p>
        </w:tc>
        <w:tc>
          <w:tcPr>
            <w:tcW w:w="860" w:type="dxa"/>
            <w:vAlign w:val="bottom"/>
            <w:gridSpan w:val="2"/>
          </w:tcPr>
          <w:p>
            <w:pPr>
              <w:jc w:val="center"/>
              <w:ind w:right="80"/>
              <w:spacing w:after="0"/>
              <w:rPr>
                <w:sz w:val="20"/>
                <w:szCs w:val="20"/>
                <w:color w:val="auto"/>
              </w:rPr>
            </w:pPr>
            <w:r>
              <w:rPr>
                <w:rFonts w:ascii="Arial" w:cs="Arial" w:eastAsia="Arial" w:hAnsi="Arial"/>
                <w:sz w:val="11"/>
                <w:szCs w:val="11"/>
                <w:color w:val="auto"/>
              </w:rPr>
              <w:t>(d)</w:t>
            </w:r>
          </w:p>
        </w:tc>
        <w:tc>
          <w:tcPr>
            <w:tcW w:w="1020" w:type="dxa"/>
            <w:vAlign w:val="bottom"/>
            <w:gridSpan w:val="2"/>
          </w:tcPr>
          <w:p>
            <w:pPr>
              <w:jc w:val="center"/>
              <w:ind w:right="80"/>
              <w:spacing w:after="0"/>
              <w:rPr>
                <w:sz w:val="20"/>
                <w:szCs w:val="20"/>
                <w:color w:val="auto"/>
              </w:rPr>
            </w:pPr>
            <w:r>
              <w:rPr>
                <w:rFonts w:ascii="Arial" w:cs="Arial" w:eastAsia="Arial" w:hAnsi="Arial"/>
                <w:sz w:val="11"/>
                <w:szCs w:val="11"/>
                <w:color w:val="auto"/>
                <w:w w:val="94"/>
              </w:rPr>
              <w:t>Stock</w:t>
            </w:r>
          </w:p>
        </w:tc>
        <w:tc>
          <w:tcPr>
            <w:tcW w:w="980" w:type="dxa"/>
            <w:vAlign w:val="bottom"/>
            <w:gridSpan w:val="2"/>
          </w:tcPr>
          <w:p>
            <w:pPr>
              <w:jc w:val="center"/>
              <w:ind w:right="80"/>
              <w:spacing w:after="0"/>
              <w:rPr>
                <w:sz w:val="20"/>
                <w:szCs w:val="20"/>
                <w:color w:val="auto"/>
              </w:rPr>
            </w:pPr>
            <w:r>
              <w:rPr>
                <w:rFonts w:ascii="Arial" w:cs="Arial" w:eastAsia="Arial" w:hAnsi="Arial"/>
                <w:sz w:val="11"/>
                <w:szCs w:val="11"/>
                <w:color w:val="auto"/>
              </w:rPr>
              <w:t>NA</w:t>
            </w:r>
          </w:p>
        </w:tc>
        <w:tc>
          <w:tcPr>
            <w:tcW w:w="900" w:type="dxa"/>
            <w:vAlign w:val="bottom"/>
          </w:tcPr>
          <w:p>
            <w:pPr>
              <w:jc w:val="right"/>
              <w:spacing w:after="0"/>
              <w:rPr>
                <w:sz w:val="20"/>
                <w:szCs w:val="20"/>
                <w:color w:val="auto"/>
              </w:rPr>
            </w:pPr>
            <w:r>
              <w:rPr>
                <w:rFonts w:ascii="Arial" w:cs="Arial" w:eastAsia="Arial" w:hAnsi="Arial"/>
                <w:sz w:val="11"/>
                <w:szCs w:val="11"/>
                <w:color w:val="auto"/>
              </w:rPr>
              <w:t>14,586</w:t>
            </w:r>
          </w:p>
        </w:tc>
        <w:tc>
          <w:tcPr>
            <w:tcW w:w="100" w:type="dxa"/>
            <w:vAlign w:val="bottom"/>
          </w:tcPr>
          <w:p>
            <w:pPr>
              <w:spacing w:after="0"/>
              <w:rPr>
                <w:sz w:val="12"/>
                <w:szCs w:val="12"/>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6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0"/>
        </w:trPr>
        <w:tc>
          <w:tcPr>
            <w:tcW w:w="1140" w:type="dxa"/>
            <w:vAlign w:val="bottom"/>
            <w:shd w:val="clear" w:color="auto" w:fill="CCEEFF"/>
          </w:tcPr>
          <w:p>
            <w:pPr>
              <w:jc w:val="center"/>
              <w:ind w:left="83"/>
              <w:spacing w:after="0"/>
              <w:rPr>
                <w:sz w:val="20"/>
                <w:szCs w:val="20"/>
                <w:color w:val="auto"/>
              </w:rPr>
            </w:pPr>
            <w:r>
              <w:rPr>
                <w:rFonts w:ascii="Arial" w:cs="Arial" w:eastAsia="Arial" w:hAnsi="Arial"/>
                <w:sz w:val="11"/>
                <w:szCs w:val="11"/>
                <w:color w:val="auto"/>
                <w:w w:val="94"/>
              </w:rPr>
              <w:t>2019 LTIP</w:t>
            </w:r>
          </w:p>
        </w:tc>
        <w:tc>
          <w:tcPr>
            <w:tcW w:w="940" w:type="dxa"/>
            <w:vAlign w:val="bottom"/>
            <w:gridSpan w:val="2"/>
            <w:shd w:val="clear" w:color="auto" w:fill="CCEEFF"/>
          </w:tcPr>
          <w:p>
            <w:pPr>
              <w:jc w:val="center"/>
              <w:spacing w:after="0"/>
              <w:rPr>
                <w:sz w:val="20"/>
                <w:szCs w:val="20"/>
                <w:color w:val="auto"/>
              </w:rPr>
            </w:pPr>
            <w:r>
              <w:rPr>
                <w:rFonts w:ascii="Arial" w:cs="Arial" w:eastAsia="Arial" w:hAnsi="Arial"/>
                <w:sz w:val="11"/>
                <w:szCs w:val="11"/>
                <w:color w:val="auto"/>
                <w:w w:val="94"/>
              </w:rPr>
              <w:t>RSU</w:t>
            </w: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5/3/2021</w:t>
            </w: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4"/>
              </w:rPr>
              <w:t>$23.81</w:t>
            </w:r>
          </w:p>
        </w:tc>
        <w:tc>
          <w:tcPr>
            <w:tcW w:w="8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center"/>
              <w:ind w:right="60"/>
              <w:spacing w:after="0"/>
              <w:rPr>
                <w:sz w:val="20"/>
                <w:szCs w:val="20"/>
                <w:color w:val="auto"/>
              </w:rPr>
            </w:pPr>
            <w:r>
              <w:rPr>
                <w:rFonts w:ascii="Arial" w:cs="Arial" w:eastAsia="Arial" w:hAnsi="Arial"/>
                <w:sz w:val="11"/>
                <w:szCs w:val="11"/>
                <w:color w:val="auto"/>
                <w:w w:val="92"/>
              </w:rPr>
              <w:t>Service</w:t>
            </w:r>
          </w:p>
        </w:tc>
        <w:tc>
          <w:tcPr>
            <w:tcW w:w="860" w:type="dxa"/>
            <w:vAlign w:val="bottom"/>
            <w:gridSpan w:val="2"/>
            <w:shd w:val="clear" w:color="auto" w:fill="CCEEFF"/>
          </w:tcPr>
          <w:p>
            <w:pPr>
              <w:jc w:val="center"/>
              <w:ind w:right="80"/>
              <w:spacing w:after="0"/>
              <w:rPr>
                <w:sz w:val="20"/>
                <w:szCs w:val="20"/>
                <w:color w:val="auto"/>
              </w:rPr>
            </w:pPr>
            <w:r>
              <w:rPr>
                <w:rFonts w:ascii="Arial" w:cs="Arial" w:eastAsia="Arial" w:hAnsi="Arial"/>
                <w:sz w:val="11"/>
                <w:szCs w:val="11"/>
                <w:color w:val="auto"/>
              </w:rPr>
              <w:t>(p)</w:t>
            </w:r>
          </w:p>
        </w:tc>
        <w:tc>
          <w:tcPr>
            <w:tcW w:w="1020" w:type="dxa"/>
            <w:vAlign w:val="bottom"/>
            <w:gridSpan w:val="2"/>
            <w:shd w:val="clear" w:color="auto" w:fill="CCEEFF"/>
          </w:tcPr>
          <w:p>
            <w:pPr>
              <w:jc w:val="center"/>
              <w:ind w:right="80"/>
              <w:spacing w:after="0"/>
              <w:rPr>
                <w:sz w:val="20"/>
                <w:szCs w:val="20"/>
                <w:color w:val="auto"/>
              </w:rPr>
            </w:pPr>
            <w:r>
              <w:rPr>
                <w:rFonts w:ascii="Arial" w:cs="Arial" w:eastAsia="Arial" w:hAnsi="Arial"/>
                <w:sz w:val="11"/>
                <w:szCs w:val="11"/>
                <w:color w:val="auto"/>
                <w:w w:val="94"/>
              </w:rPr>
              <w:t>Stock</w:t>
            </w:r>
          </w:p>
        </w:tc>
        <w:tc>
          <w:tcPr>
            <w:tcW w:w="980" w:type="dxa"/>
            <w:vAlign w:val="bottom"/>
            <w:gridSpan w:val="2"/>
            <w:shd w:val="clear" w:color="auto" w:fill="CCEEFF"/>
          </w:tcPr>
          <w:p>
            <w:pPr>
              <w:jc w:val="center"/>
              <w:ind w:right="80"/>
              <w:spacing w:after="0"/>
              <w:rPr>
                <w:sz w:val="20"/>
                <w:szCs w:val="20"/>
                <w:color w:val="auto"/>
              </w:rPr>
            </w:pPr>
            <w:r>
              <w:rPr>
                <w:rFonts w:ascii="Arial" w:cs="Arial" w:eastAsia="Arial" w:hAnsi="Arial"/>
                <w:sz w:val="11"/>
                <w:szCs w:val="11"/>
                <w:color w:val="auto"/>
              </w:rPr>
              <w:t>NA</w:t>
            </w: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31,500</w:t>
            </w:r>
          </w:p>
        </w:tc>
        <w:tc>
          <w:tcPr>
            <w:tcW w:w="10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5"/>
        </w:trPr>
        <w:tc>
          <w:tcPr>
            <w:tcW w:w="1140" w:type="dxa"/>
            <w:vAlign w:val="bottom"/>
          </w:tcPr>
          <w:p>
            <w:pPr>
              <w:jc w:val="center"/>
              <w:ind w:left="83"/>
              <w:spacing w:after="0"/>
              <w:rPr>
                <w:sz w:val="20"/>
                <w:szCs w:val="20"/>
                <w:color w:val="auto"/>
              </w:rPr>
            </w:pPr>
            <w:r>
              <w:rPr>
                <w:rFonts w:ascii="Arial" w:cs="Arial" w:eastAsia="Arial" w:hAnsi="Arial"/>
                <w:sz w:val="11"/>
                <w:szCs w:val="11"/>
                <w:color w:val="auto"/>
                <w:w w:val="94"/>
              </w:rPr>
              <w:t>2019 LTIP</w:t>
            </w:r>
          </w:p>
        </w:tc>
        <w:tc>
          <w:tcPr>
            <w:tcW w:w="940" w:type="dxa"/>
            <w:vAlign w:val="bottom"/>
            <w:gridSpan w:val="2"/>
          </w:tcPr>
          <w:p>
            <w:pPr>
              <w:jc w:val="center"/>
              <w:spacing w:after="0"/>
              <w:rPr>
                <w:sz w:val="20"/>
                <w:szCs w:val="20"/>
                <w:color w:val="auto"/>
              </w:rPr>
            </w:pPr>
            <w:r>
              <w:rPr>
                <w:rFonts w:ascii="Arial" w:cs="Arial" w:eastAsia="Arial" w:hAnsi="Arial"/>
                <w:sz w:val="11"/>
                <w:szCs w:val="11"/>
                <w:color w:val="auto"/>
                <w:w w:val="94"/>
              </w:rPr>
              <w:t>RSU</w:t>
            </w:r>
          </w:p>
        </w:tc>
        <w:tc>
          <w:tcPr>
            <w:tcW w:w="920" w:type="dxa"/>
            <w:vAlign w:val="bottom"/>
          </w:tcPr>
          <w:p>
            <w:pPr>
              <w:jc w:val="right"/>
              <w:spacing w:after="0"/>
              <w:rPr>
                <w:sz w:val="20"/>
                <w:szCs w:val="20"/>
                <w:color w:val="auto"/>
              </w:rPr>
            </w:pPr>
            <w:r>
              <w:rPr>
                <w:rFonts w:ascii="Arial" w:cs="Arial" w:eastAsia="Arial" w:hAnsi="Arial"/>
                <w:sz w:val="11"/>
                <w:szCs w:val="11"/>
                <w:color w:val="auto"/>
              </w:rPr>
              <w:t>8/16/2021</w:t>
            </w:r>
          </w:p>
        </w:tc>
        <w:tc>
          <w:tcPr>
            <w:tcW w:w="100" w:type="dxa"/>
            <w:vAlign w:val="bottom"/>
          </w:tcPr>
          <w:p>
            <w:pPr>
              <w:spacing w:after="0"/>
              <w:rPr>
                <w:sz w:val="12"/>
                <w:szCs w:val="12"/>
                <w:color w:val="auto"/>
              </w:rPr>
            </w:pPr>
          </w:p>
        </w:tc>
        <w:tc>
          <w:tcPr>
            <w:tcW w:w="840" w:type="dxa"/>
            <w:vAlign w:val="bottom"/>
          </w:tcPr>
          <w:p>
            <w:pPr>
              <w:jc w:val="center"/>
              <w:spacing w:after="0"/>
              <w:rPr>
                <w:sz w:val="20"/>
                <w:szCs w:val="20"/>
                <w:color w:val="auto"/>
              </w:rPr>
            </w:pPr>
            <w:r>
              <w:rPr>
                <w:rFonts w:ascii="Arial" w:cs="Arial" w:eastAsia="Arial" w:hAnsi="Arial"/>
                <w:sz w:val="11"/>
                <w:szCs w:val="11"/>
                <w:color w:val="auto"/>
                <w:w w:val="94"/>
              </w:rPr>
              <w:t>$27.46</w:t>
            </w:r>
          </w:p>
        </w:tc>
        <w:tc>
          <w:tcPr>
            <w:tcW w:w="80" w:type="dxa"/>
            <w:vAlign w:val="bottom"/>
          </w:tcPr>
          <w:p>
            <w:pPr>
              <w:spacing w:after="0"/>
              <w:rPr>
                <w:sz w:val="12"/>
                <w:szCs w:val="12"/>
                <w:color w:val="auto"/>
              </w:rPr>
            </w:pPr>
          </w:p>
        </w:tc>
        <w:tc>
          <w:tcPr>
            <w:tcW w:w="1160" w:type="dxa"/>
            <w:vAlign w:val="bottom"/>
            <w:gridSpan w:val="2"/>
          </w:tcPr>
          <w:p>
            <w:pPr>
              <w:jc w:val="center"/>
              <w:ind w:right="80"/>
              <w:spacing w:after="0"/>
              <w:rPr>
                <w:sz w:val="20"/>
                <w:szCs w:val="20"/>
                <w:color w:val="auto"/>
              </w:rPr>
            </w:pPr>
            <w:r>
              <w:rPr>
                <w:rFonts w:ascii="Arial" w:cs="Arial" w:eastAsia="Arial" w:hAnsi="Arial"/>
                <w:sz w:val="11"/>
                <w:szCs w:val="11"/>
                <w:color w:val="auto"/>
                <w:w w:val="93"/>
              </w:rPr>
              <w:t>Performance/Service</w:t>
            </w:r>
          </w:p>
        </w:tc>
        <w:tc>
          <w:tcPr>
            <w:tcW w:w="860" w:type="dxa"/>
            <w:vAlign w:val="bottom"/>
            <w:gridSpan w:val="2"/>
          </w:tcPr>
          <w:p>
            <w:pPr>
              <w:jc w:val="center"/>
              <w:ind w:right="80"/>
              <w:spacing w:after="0"/>
              <w:rPr>
                <w:sz w:val="20"/>
                <w:szCs w:val="20"/>
                <w:color w:val="auto"/>
              </w:rPr>
            </w:pPr>
            <w:r>
              <w:rPr>
                <w:rFonts w:ascii="Arial" w:cs="Arial" w:eastAsia="Arial" w:hAnsi="Arial"/>
                <w:sz w:val="11"/>
                <w:szCs w:val="11"/>
                <w:color w:val="auto"/>
              </w:rPr>
              <w:t>(q)</w:t>
            </w:r>
          </w:p>
        </w:tc>
        <w:tc>
          <w:tcPr>
            <w:tcW w:w="1020" w:type="dxa"/>
            <w:vAlign w:val="bottom"/>
            <w:gridSpan w:val="2"/>
          </w:tcPr>
          <w:p>
            <w:pPr>
              <w:jc w:val="center"/>
              <w:ind w:right="80"/>
              <w:spacing w:after="0"/>
              <w:rPr>
                <w:sz w:val="20"/>
                <w:szCs w:val="20"/>
                <w:color w:val="auto"/>
              </w:rPr>
            </w:pPr>
            <w:r>
              <w:rPr>
                <w:rFonts w:ascii="Arial" w:cs="Arial" w:eastAsia="Arial" w:hAnsi="Arial"/>
                <w:sz w:val="11"/>
                <w:szCs w:val="11"/>
                <w:color w:val="auto"/>
                <w:w w:val="94"/>
              </w:rPr>
              <w:t>Stock</w:t>
            </w:r>
          </w:p>
        </w:tc>
        <w:tc>
          <w:tcPr>
            <w:tcW w:w="980" w:type="dxa"/>
            <w:vAlign w:val="bottom"/>
            <w:gridSpan w:val="2"/>
          </w:tcPr>
          <w:p>
            <w:pPr>
              <w:jc w:val="center"/>
              <w:ind w:right="80"/>
              <w:spacing w:after="0"/>
              <w:rPr>
                <w:sz w:val="20"/>
                <w:szCs w:val="20"/>
                <w:color w:val="auto"/>
              </w:rPr>
            </w:pPr>
            <w:r>
              <w:rPr>
                <w:rFonts w:ascii="Arial" w:cs="Arial" w:eastAsia="Arial" w:hAnsi="Arial"/>
                <w:sz w:val="11"/>
                <w:szCs w:val="11"/>
                <w:color w:val="auto"/>
              </w:rPr>
              <w:t>NA</w:t>
            </w:r>
          </w:p>
        </w:tc>
        <w:tc>
          <w:tcPr>
            <w:tcW w:w="900" w:type="dxa"/>
            <w:vAlign w:val="bottom"/>
          </w:tcPr>
          <w:p>
            <w:pPr>
              <w:jc w:val="right"/>
              <w:spacing w:after="0"/>
              <w:rPr>
                <w:sz w:val="20"/>
                <w:szCs w:val="20"/>
                <w:color w:val="auto"/>
              </w:rPr>
            </w:pPr>
            <w:r>
              <w:rPr>
                <w:rFonts w:ascii="Arial" w:cs="Arial" w:eastAsia="Arial" w:hAnsi="Arial"/>
                <w:sz w:val="11"/>
                <w:szCs w:val="11"/>
                <w:color w:val="auto"/>
              </w:rPr>
              <w:t>5,470</w:t>
            </w:r>
          </w:p>
        </w:tc>
        <w:tc>
          <w:tcPr>
            <w:tcW w:w="100" w:type="dxa"/>
            <w:vAlign w:val="bottom"/>
          </w:tcPr>
          <w:p>
            <w:pPr>
              <w:spacing w:after="0"/>
              <w:rPr>
                <w:sz w:val="12"/>
                <w:szCs w:val="12"/>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6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520" w:hanging="515"/>
        <w:spacing w:after="0" w:line="251" w:lineRule="auto"/>
        <w:tabs>
          <w:tab w:leader="none" w:pos="251" w:val="left"/>
        </w:tabs>
        <w:numPr>
          <w:ilvl w:val="0"/>
          <w:numId w:val="35"/>
        </w:numPr>
        <w:rPr>
          <w:rFonts w:ascii="Arial" w:cs="Arial" w:eastAsia="Arial" w:hAnsi="Arial"/>
          <w:sz w:val="11"/>
          <w:szCs w:val="11"/>
          <w:color w:val="auto"/>
        </w:rPr>
      </w:pPr>
      <w:r>
        <w:rPr>
          <w:rFonts w:ascii="Arial" w:cs="Arial" w:eastAsia="Arial" w:hAnsi="Arial"/>
          <w:sz w:val="11"/>
          <w:szCs w:val="11"/>
          <w:color w:val="auto"/>
        </w:rPr>
        <w:t>The restricted stock units vest in ratable tranches on December 31, 2018, December 31, 2019 and December 31, 2020. Compensation cost related to these units totals $2.8 million based on a closing stock price for the Company’s common stock of $24.93 per share on March 1, 2018. Compensation cost will be amortized to profit/loss over the remaining vesting period.</w:t>
      </w:r>
    </w:p>
    <w:p>
      <w:pPr>
        <w:ind w:left="520" w:hanging="515"/>
        <w:spacing w:after="0" w:line="241" w:lineRule="auto"/>
        <w:tabs>
          <w:tab w:leader="none" w:pos="309" w:val="left"/>
        </w:tabs>
        <w:numPr>
          <w:ilvl w:val="0"/>
          <w:numId w:val="35"/>
        </w:numPr>
        <w:rPr>
          <w:rFonts w:ascii="Arial" w:cs="Arial" w:eastAsia="Arial" w:hAnsi="Arial"/>
          <w:sz w:val="11"/>
          <w:szCs w:val="11"/>
          <w:color w:val="auto"/>
        </w:rPr>
      </w:pPr>
      <w:r>
        <w:rPr>
          <w:rFonts w:ascii="Arial" w:cs="Arial" w:eastAsia="Arial" w:hAnsi="Arial"/>
          <w:sz w:val="11"/>
          <w:szCs w:val="11"/>
          <w:color w:val="auto"/>
        </w:rPr>
        <w:t>The restricted stock units vested or will vest in ratable tranches on December 31, 2019, December 31, 2020 and December 31, 2021. Performance target achievement was 65%. Expected compensation cost related to these units totals $2.1 million based on a closing stock price for the Company’s common stock of $24.93 per share on March 1, 2018. Compensation cost will be amortized to profit/loss over the remaining vesting period.</w:t>
      </w:r>
    </w:p>
    <w:p>
      <w:pPr>
        <w:ind w:left="520" w:hanging="515"/>
        <w:spacing w:after="0" w:line="241" w:lineRule="auto"/>
        <w:tabs>
          <w:tab w:leader="none" w:pos="304" w:val="left"/>
        </w:tabs>
        <w:numPr>
          <w:ilvl w:val="0"/>
          <w:numId w:val="35"/>
        </w:numPr>
        <w:rPr>
          <w:rFonts w:ascii="Arial" w:cs="Arial" w:eastAsia="Arial" w:hAnsi="Arial"/>
          <w:sz w:val="11"/>
          <w:szCs w:val="11"/>
          <w:color w:val="auto"/>
        </w:rPr>
      </w:pPr>
      <w:r>
        <w:rPr>
          <w:rFonts w:ascii="Arial" w:cs="Arial" w:eastAsia="Arial" w:hAnsi="Arial"/>
          <w:sz w:val="11"/>
          <w:szCs w:val="11"/>
          <w:color w:val="auto"/>
        </w:rPr>
        <w:t>The restricted stock units vested or will vest in ratable tranches on December 31, 2019, December 31, 2020 and December 31, 2021. Performance target achievement was 65%. Expected compensation cost related to these units totals $0.9 million based on a closing stock price for the Company’s common stock of $27.55 per share on December 26, 2021. Compensation cost will be amortized to profit/loss over the remaining vesting period.</w:t>
      </w:r>
    </w:p>
    <w:p>
      <w:pPr>
        <w:ind w:left="520" w:hanging="515"/>
        <w:spacing w:after="0" w:line="241" w:lineRule="auto"/>
        <w:tabs>
          <w:tab w:leader="none" w:pos="306" w:val="left"/>
        </w:tabs>
        <w:numPr>
          <w:ilvl w:val="0"/>
          <w:numId w:val="35"/>
        </w:numPr>
        <w:rPr>
          <w:rFonts w:ascii="Arial" w:cs="Arial" w:eastAsia="Arial" w:hAnsi="Arial"/>
          <w:sz w:val="11"/>
          <w:szCs w:val="11"/>
          <w:color w:val="auto"/>
        </w:rPr>
      </w:pPr>
      <w:r>
        <w:rPr>
          <w:rFonts w:ascii="Arial" w:cs="Arial" w:eastAsia="Arial" w:hAnsi="Arial"/>
          <w:sz w:val="11"/>
          <w:szCs w:val="11"/>
          <w:color w:val="auto"/>
        </w:rPr>
        <w:t>These restricted stock units were granted to the non-employees who currently serve on the Company’s Board of Directors. Each participating director’s units will vest upon his or her departure from the Company’s Board of Directors. Compensation cost was recognized in profit/loss upon the grant date.</w:t>
      </w:r>
    </w:p>
    <w:p>
      <w:pPr>
        <w:ind w:left="520" w:hanging="515"/>
        <w:spacing w:after="0" w:line="241" w:lineRule="auto"/>
        <w:tabs>
          <w:tab w:leader="none" w:pos="290" w:val="left"/>
        </w:tabs>
        <w:numPr>
          <w:ilvl w:val="0"/>
          <w:numId w:val="35"/>
        </w:numPr>
        <w:rPr>
          <w:rFonts w:ascii="Arial" w:cs="Arial" w:eastAsia="Arial" w:hAnsi="Arial"/>
          <w:sz w:val="11"/>
          <w:szCs w:val="11"/>
          <w:color w:val="auto"/>
        </w:rPr>
      </w:pPr>
      <w:r>
        <w:rPr>
          <w:rFonts w:ascii="Arial" w:cs="Arial" w:eastAsia="Arial" w:hAnsi="Arial"/>
          <w:sz w:val="11"/>
          <w:szCs w:val="11"/>
          <w:color w:val="auto"/>
        </w:rPr>
        <w:t>The restricted stock units vested or will vest in ratable tranches on December 31, 2020, December 31, 2021 and December 31, 2022. Performance target achievement was 112.5%. Expected compensation cost related to these units totals $4.9 million based on a closing stock price for the Company’s common stock of $16.47 per share on January 7, 2019. Compensation cost will be amortized to profit/loss over the remaining vesting period.</w:t>
      </w:r>
    </w:p>
    <w:p>
      <w:pPr>
        <w:ind w:left="520" w:hanging="515"/>
        <w:spacing w:after="0" w:line="306" w:lineRule="auto"/>
        <w:tabs>
          <w:tab w:leader="none" w:pos="240" w:val="left"/>
        </w:tabs>
        <w:numPr>
          <w:ilvl w:val="0"/>
          <w:numId w:val="35"/>
        </w:numPr>
        <w:rPr>
          <w:rFonts w:ascii="Arial" w:cs="Arial" w:eastAsia="Arial" w:hAnsi="Arial"/>
          <w:sz w:val="10"/>
          <w:szCs w:val="10"/>
          <w:color w:val="auto"/>
        </w:rPr>
      </w:pPr>
      <w:r>
        <w:rPr>
          <w:rFonts w:ascii="Arial" w:cs="Arial" w:eastAsia="Arial" w:hAnsi="Arial"/>
          <w:sz w:val="10"/>
          <w:szCs w:val="10"/>
          <w:color w:val="auto"/>
        </w:rPr>
        <w:t>The restricted stock units vest in ratable tranches on December 31, 2020, December 31, 2021 and December 31, 2022. Performance target achievement was 112.5%. Expected compensation cost related to these units totals $3.5 million based on a closing stock price for the Company’s common stock of $27.55 per share on December 26, 2021. Compensation cost will be amortized to profit/loss upon satisfaction of the performance conditions over the remaining vesting period.</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85" w:name="page86"/>
    <w:bookmarkEnd w:id="8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NOTES TO CONSOLIDATED FINANCIAL STATEMENTS</w:t>
      </w:r>
    </w:p>
    <w:p>
      <w:pPr>
        <w:spacing w:after="0" w:line="259" w:lineRule="exact"/>
        <w:rPr>
          <w:sz w:val="20"/>
          <w:szCs w:val="20"/>
          <w:color w:val="auto"/>
        </w:rPr>
      </w:pPr>
    </w:p>
    <w:p>
      <w:pPr>
        <w:jc w:val="center"/>
        <w:ind w:left="520" w:hanging="515"/>
        <w:spacing w:after="0" w:line="276" w:lineRule="auto"/>
        <w:tabs>
          <w:tab w:leader="none" w:pos="259" w:val="left"/>
        </w:tabs>
        <w:numPr>
          <w:ilvl w:val="0"/>
          <w:numId w:val="36"/>
        </w:numPr>
        <w:rPr>
          <w:rFonts w:ascii="Arial" w:cs="Arial" w:eastAsia="Arial" w:hAnsi="Arial"/>
          <w:sz w:val="10"/>
          <w:szCs w:val="10"/>
          <w:color w:val="auto"/>
        </w:rPr>
      </w:pPr>
      <w:r>
        <w:rPr>
          <w:rFonts w:ascii="Arial" w:cs="Arial" w:eastAsia="Arial" w:hAnsi="Arial"/>
          <w:sz w:val="10"/>
          <w:szCs w:val="10"/>
          <w:color w:val="auto"/>
        </w:rPr>
        <w:t>The restricted stock units will vest in ratable tranches on December 31, 2021, December 31, 2022 and December 31, 2023. Performance target achievement was 159%. Expected compensation cost related to these units totals $2.7 million based on a closing stock price for the Company’s common stock of $30.94 per share on January 8, 2020. Compensation cost will be amortized to profit/loss upon satisfaction of the performance conditions over the remaining vesting period.</w:t>
      </w:r>
    </w:p>
    <w:p>
      <w:pPr>
        <w:ind w:left="520" w:hanging="515"/>
        <w:spacing w:after="0" w:line="265" w:lineRule="auto"/>
        <w:tabs>
          <w:tab w:leader="none" w:pos="259" w:val="left"/>
        </w:tabs>
        <w:numPr>
          <w:ilvl w:val="0"/>
          <w:numId w:val="36"/>
        </w:numPr>
        <w:rPr>
          <w:rFonts w:ascii="Arial" w:cs="Arial" w:eastAsia="Arial" w:hAnsi="Arial"/>
          <w:sz w:val="10"/>
          <w:szCs w:val="10"/>
          <w:color w:val="auto"/>
        </w:rPr>
      </w:pPr>
      <w:r>
        <w:rPr>
          <w:rFonts w:ascii="Arial" w:cs="Arial" w:eastAsia="Arial" w:hAnsi="Arial"/>
          <w:sz w:val="10"/>
          <w:szCs w:val="10"/>
          <w:color w:val="auto"/>
        </w:rPr>
        <w:t>The restricted stock units will vest in ratable tranches on December 31, 2021, December 31, 2022 and December 31, 2023. Performance target achievement was 159%. Expected compensation cost related to these units totals $5.5 million based on a closing stock price for the Company’s common stock of $27.55 per share on December 26, 2021. Compensation cost will be amortized to profit/loss upon satisfaction of the performance conditions over the remaining vesting period.</w:t>
      </w:r>
    </w:p>
    <w:p>
      <w:pPr>
        <w:ind w:left="520" w:hanging="515"/>
        <w:spacing w:after="0" w:line="241" w:lineRule="auto"/>
        <w:tabs>
          <w:tab w:leader="none" w:pos="256" w:val="left"/>
        </w:tabs>
        <w:numPr>
          <w:ilvl w:val="0"/>
          <w:numId w:val="36"/>
        </w:numPr>
        <w:rPr>
          <w:rFonts w:ascii="Arial" w:cs="Arial" w:eastAsia="Arial" w:hAnsi="Arial"/>
          <w:sz w:val="11"/>
          <w:szCs w:val="11"/>
          <w:color w:val="auto"/>
        </w:rPr>
      </w:pPr>
      <w:r>
        <w:rPr>
          <w:rFonts w:ascii="Arial" w:cs="Arial" w:eastAsia="Arial" w:hAnsi="Arial"/>
          <w:sz w:val="11"/>
          <w:szCs w:val="11"/>
          <w:color w:val="auto"/>
        </w:rPr>
        <w:t>The restricted stock units will vest in ratable tranches on July 1, 2022, July 1, 2023 and July 1, 2024. Expected compensation cost related to these units totals $1.9 million based on a closing stock price for the Company’s common stock of $19.73 per share on January 8, 2020. Compensation cost will be amortized to profit/loss over the remaining vesting period.</w:t>
      </w:r>
    </w:p>
    <w:p>
      <w:pPr>
        <w:ind w:left="520" w:hanging="515"/>
        <w:spacing w:after="0" w:line="241" w:lineRule="auto"/>
        <w:tabs>
          <w:tab w:leader="none" w:pos="256" w:val="left"/>
        </w:tabs>
        <w:numPr>
          <w:ilvl w:val="0"/>
          <w:numId w:val="36"/>
        </w:numPr>
        <w:rPr>
          <w:rFonts w:ascii="Arial" w:cs="Arial" w:eastAsia="Arial" w:hAnsi="Arial"/>
          <w:sz w:val="11"/>
          <w:szCs w:val="11"/>
          <w:color w:val="auto"/>
        </w:rPr>
      </w:pPr>
      <w:r>
        <w:rPr>
          <w:rFonts w:ascii="Arial" w:cs="Arial" w:eastAsia="Arial" w:hAnsi="Arial"/>
          <w:sz w:val="11"/>
          <w:szCs w:val="11"/>
          <w:color w:val="auto"/>
        </w:rPr>
        <w:t>The restricted stock units will vest in ratable tranches on July 1, 2022, July 1, 2023 and July 1, 2024. Expected compensation cost related to these units totals $1.4 million based on a closing stock price for the Company’s common stock of $27.55 per share on December 26, 2021. Compensation cost will be amortized to profit/loss upon satisfaction of the performance conditions over the remaining vesting period.</w:t>
      </w:r>
    </w:p>
    <w:p>
      <w:pPr>
        <w:ind w:left="520" w:hanging="515"/>
        <w:spacing w:after="0" w:line="241" w:lineRule="auto"/>
        <w:tabs>
          <w:tab w:leader="none" w:pos="285" w:val="left"/>
        </w:tabs>
        <w:numPr>
          <w:ilvl w:val="0"/>
          <w:numId w:val="36"/>
        </w:numPr>
        <w:rPr>
          <w:rFonts w:ascii="Arial" w:cs="Arial" w:eastAsia="Arial" w:hAnsi="Arial"/>
          <w:sz w:val="11"/>
          <w:szCs w:val="11"/>
          <w:color w:val="auto"/>
        </w:rPr>
      </w:pPr>
      <w:r>
        <w:rPr>
          <w:rFonts w:ascii="Arial" w:cs="Arial" w:eastAsia="Arial" w:hAnsi="Arial"/>
          <w:sz w:val="11"/>
          <w:szCs w:val="11"/>
          <w:color w:val="auto"/>
        </w:rPr>
        <w:t>If performance conditions related to the Company’s 2021-2023 cash flows are satisfied, the restricted stock units will vest in ratable tranches on July 1, 2024, July 1, 2025 and July 1, 2026. Assuming we achieve 100% target performance, expected compensation cost related to these units totals $5.9 million based on a closing stock price for the Company’s common stock of $19.73 per share on January 8, 2021. Compensation cost will be amortized to profit/loss upon satisfaction of the performance conditions over the remaining vesting period.</w:t>
      </w:r>
    </w:p>
    <w:p>
      <w:pPr>
        <w:ind w:left="520" w:hanging="515"/>
        <w:spacing w:after="0" w:line="241" w:lineRule="auto"/>
        <w:tabs>
          <w:tab w:leader="none" w:pos="262" w:val="left"/>
        </w:tabs>
        <w:numPr>
          <w:ilvl w:val="0"/>
          <w:numId w:val="36"/>
        </w:numPr>
        <w:rPr>
          <w:rFonts w:ascii="Arial" w:cs="Arial" w:eastAsia="Arial" w:hAnsi="Arial"/>
          <w:sz w:val="11"/>
          <w:szCs w:val="11"/>
          <w:color w:val="auto"/>
        </w:rPr>
      </w:pPr>
      <w:r>
        <w:rPr>
          <w:rFonts w:ascii="Arial" w:cs="Arial" w:eastAsia="Arial" w:hAnsi="Arial"/>
          <w:sz w:val="11"/>
          <w:szCs w:val="11"/>
          <w:color w:val="auto"/>
        </w:rPr>
        <w:t>If performance conditions related to the Company’s 2021-2023 cash flows are satisfied, the restricted stock units will vest in ratable tranches on July 1, 2024, July 1, 2025 and July 1, 2026. Assuming we achieve 100% target performance, expected compensation cost related to these units totals $2.9 million based on a closing stock price for the Company’s common stock of $27.55 per share on December 26, 2021. Compensation cost will be amortized to profit/loss upon satisfaction of the performance conditions over the remaining vesting period.</w:t>
      </w:r>
    </w:p>
    <w:p>
      <w:pPr>
        <w:ind w:left="520" w:hanging="515"/>
        <w:spacing w:after="0" w:line="241" w:lineRule="auto"/>
        <w:tabs>
          <w:tab w:leader="none" w:pos="304" w:val="left"/>
        </w:tabs>
        <w:numPr>
          <w:ilvl w:val="0"/>
          <w:numId w:val="36"/>
        </w:numPr>
        <w:rPr>
          <w:rFonts w:ascii="Arial" w:cs="Arial" w:eastAsia="Arial" w:hAnsi="Arial"/>
          <w:sz w:val="11"/>
          <w:szCs w:val="11"/>
          <w:color w:val="auto"/>
        </w:rPr>
      </w:pPr>
      <w:r>
        <w:rPr>
          <w:rFonts w:ascii="Arial" w:cs="Arial" w:eastAsia="Arial" w:hAnsi="Arial"/>
          <w:sz w:val="11"/>
          <w:szCs w:val="11"/>
          <w:color w:val="auto"/>
        </w:rPr>
        <w:t>If performance conditions related to the Company’s 2021 operating results are satisfied, the restricted stock units will vest in ratable tranches on December 31, 2022, December 31, 2023 and December 31, 2024. Assuming we achieve 100% target performance, expected compensation cost related to these units totals $7.1 million based on a closing stock price for the Company’s common stock of $22.96 per share on February 10, 2021. Compensation cost will be amortized to profit/loss upon satisfaction of the performance conditions over the remaining vesting period.</w:t>
      </w:r>
    </w:p>
    <w:p>
      <w:pPr>
        <w:ind w:left="520" w:hanging="515"/>
        <w:spacing w:after="0" w:line="241" w:lineRule="auto"/>
        <w:tabs>
          <w:tab w:leader="none" w:pos="276" w:val="left"/>
        </w:tabs>
        <w:numPr>
          <w:ilvl w:val="0"/>
          <w:numId w:val="36"/>
        </w:numPr>
        <w:rPr>
          <w:rFonts w:ascii="Arial" w:cs="Arial" w:eastAsia="Arial" w:hAnsi="Arial"/>
          <w:sz w:val="11"/>
          <w:szCs w:val="11"/>
          <w:color w:val="auto"/>
        </w:rPr>
      </w:pPr>
      <w:r>
        <w:rPr>
          <w:rFonts w:ascii="Arial" w:cs="Arial" w:eastAsia="Arial" w:hAnsi="Arial"/>
          <w:sz w:val="11"/>
          <w:szCs w:val="11"/>
          <w:color w:val="auto"/>
        </w:rPr>
        <w:t>If performance conditions related to the Company’s 2021 operating results are satisfied, the restricted stock units will vest in ratable tranches on December 31, 2022, December 31, 2023 and December 31, 2024. Assuming we achieve 100% target performance, expected compensation cost related to these units totals $7.1 million based on a closing stock price for the Company’s common stock of $27.55 per share on December 26, 2021. Compensation cost will be amortized to profit/loss upon satisfaction of the performance conditions over the remaining vesting period.</w:t>
      </w:r>
    </w:p>
    <w:p>
      <w:pPr>
        <w:ind w:left="520" w:hanging="515"/>
        <w:spacing w:after="0" w:line="241" w:lineRule="auto"/>
        <w:tabs>
          <w:tab w:leader="none" w:pos="276" w:val="left"/>
        </w:tabs>
        <w:numPr>
          <w:ilvl w:val="0"/>
          <w:numId w:val="36"/>
        </w:numPr>
        <w:rPr>
          <w:rFonts w:ascii="Arial" w:cs="Arial" w:eastAsia="Arial" w:hAnsi="Arial"/>
          <w:sz w:val="11"/>
          <w:szCs w:val="11"/>
          <w:color w:val="auto"/>
        </w:rPr>
      </w:pPr>
      <w:r>
        <w:rPr>
          <w:rFonts w:ascii="Arial" w:cs="Arial" w:eastAsia="Arial" w:hAnsi="Arial"/>
          <w:sz w:val="11"/>
          <w:szCs w:val="11"/>
          <w:color w:val="auto"/>
        </w:rPr>
        <w:t>If performance conditions related to the Company’s 2021 operating results are satisfied, the restricted stock units will vest in ratable tranches on December 31, 2022, December 31, 2023 and December 31, 2024. Assuming we achieve 100% target performance, expected compensation cost related to these units totals $0.7 million based on a closing stock price for the Company’s common stock of $25.45 per share on March 15, 2021. Compensation cost will be amortized to profit/loss upon satisfaction of the performance conditions over the remaining vesting period.</w:t>
      </w:r>
    </w:p>
    <w:p>
      <w:pPr>
        <w:ind w:left="520" w:hanging="515"/>
        <w:spacing w:after="0" w:line="241" w:lineRule="auto"/>
        <w:tabs>
          <w:tab w:leader="none" w:pos="263" w:val="left"/>
        </w:tabs>
        <w:numPr>
          <w:ilvl w:val="0"/>
          <w:numId w:val="36"/>
        </w:numPr>
        <w:rPr>
          <w:rFonts w:ascii="Arial" w:cs="Arial" w:eastAsia="Arial" w:hAnsi="Arial"/>
          <w:sz w:val="11"/>
          <w:szCs w:val="11"/>
          <w:color w:val="auto"/>
        </w:rPr>
      </w:pPr>
      <w:r>
        <w:rPr>
          <w:rFonts w:ascii="Arial" w:cs="Arial" w:eastAsia="Arial" w:hAnsi="Arial"/>
          <w:sz w:val="11"/>
          <w:szCs w:val="11"/>
          <w:color w:val="auto"/>
        </w:rPr>
        <w:t>The restricted stock units will vest in ratable tranches on December 31, 2022, December 31, 2023 and December 31, 2024. Expected compensation cost related to these units totals $0.8 million based on a closing stock price for the Company’s common stock of $23.81 per share on May 3, 2021. Compensation cost will be amortized to profit/loss over the remaining vesting period.</w:t>
      </w:r>
    </w:p>
    <w:p>
      <w:pPr>
        <w:ind w:left="520" w:hanging="515"/>
        <w:spacing w:after="0" w:line="249" w:lineRule="auto"/>
        <w:tabs>
          <w:tab w:leader="none" w:pos="276" w:val="left"/>
        </w:tabs>
        <w:numPr>
          <w:ilvl w:val="0"/>
          <w:numId w:val="36"/>
        </w:numPr>
        <w:rPr>
          <w:rFonts w:ascii="Arial" w:cs="Arial" w:eastAsia="Arial" w:hAnsi="Arial"/>
          <w:sz w:val="11"/>
          <w:szCs w:val="11"/>
          <w:color w:val="auto"/>
        </w:rPr>
      </w:pPr>
      <w:r>
        <w:rPr>
          <w:rFonts w:ascii="Arial" w:cs="Arial" w:eastAsia="Arial" w:hAnsi="Arial"/>
          <w:sz w:val="11"/>
          <w:szCs w:val="11"/>
          <w:color w:val="auto"/>
        </w:rPr>
        <w:t>If performance conditions related to the Company’s 2021 operating results are satisfied, the restricted stock units will vest in ratable tranches on December 31, 2022, December 31, 2023 and December 31, 2024. Assuming we achieve 100% target performance, expected compensation cost related to these units totals $0.2 million based on a closing stock price for the Company’s common stock of $27.46 per share on August 16, 2021. Compensation cost will be amortized to profit/loss upon satisfaction of the performance conditions over the remaining vesting period.</w:t>
      </w:r>
    </w:p>
    <w:p>
      <w:pPr>
        <w:spacing w:after="0" w:line="11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Compensation costs and the income tax benefit recognized for our stock-based compensation arrangements are included below:</w:t>
      </w:r>
    </w:p>
    <w:p>
      <w:pPr>
        <w:spacing w:after="0" w:line="151" w:lineRule="exact"/>
        <w:rPr>
          <w:sz w:val="20"/>
          <w:szCs w:val="20"/>
          <w:color w:val="auto"/>
        </w:rPr>
      </w:pPr>
    </w:p>
    <w:tbl>
      <w:tblPr>
        <w:tblLayout w:type="fixed"/>
        <w:tblInd w:w="20" w:type="dxa"/>
        <w:tblCellMar>
          <w:top w:w="0" w:type="dxa"/>
          <w:left w:w="0" w:type="dxa"/>
          <w:bottom w:w="0" w:type="dxa"/>
          <w:right w:w="0" w:type="dxa"/>
        </w:tblCellMar>
      </w:tblPr>
      <w:tr>
        <w:trPr>
          <w:trHeight w:val="151"/>
        </w:trPr>
        <w:tc>
          <w:tcPr>
            <w:tcW w:w="5780" w:type="dxa"/>
            <w:vAlign w:val="bottom"/>
          </w:tcPr>
          <w:p>
            <w:pPr>
              <w:spacing w:after="0"/>
              <w:rPr>
                <w:sz w:val="13"/>
                <w:szCs w:val="13"/>
                <w:color w:val="auto"/>
              </w:rPr>
            </w:pPr>
          </w:p>
        </w:tc>
        <w:tc>
          <w:tcPr>
            <w:tcW w:w="1180" w:type="dxa"/>
            <w:vAlign w:val="bottom"/>
            <w:tcBorders>
              <w:bottom w:val="single" w:sz="8" w:color="auto"/>
            </w:tcBorders>
          </w:tcPr>
          <w:p>
            <w:pPr>
              <w:jc w:val="right"/>
              <w:ind w:right="118"/>
              <w:spacing w:after="0"/>
              <w:rPr>
                <w:sz w:val="20"/>
                <w:szCs w:val="20"/>
                <w:color w:val="auto"/>
              </w:rPr>
            </w:pPr>
            <w:r>
              <w:rPr>
                <w:rFonts w:ascii="Arial" w:cs="Arial" w:eastAsia="Arial" w:hAnsi="Arial"/>
                <w:sz w:val="11"/>
                <w:szCs w:val="11"/>
                <w:b w:val="1"/>
                <w:bCs w:val="1"/>
                <w:color w:val="auto"/>
              </w:rPr>
              <w:t>2021</w:t>
            </w:r>
          </w:p>
        </w:tc>
        <w:tc>
          <w:tcPr>
            <w:tcW w:w="5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ind w:right="718"/>
              <w:spacing w:after="0"/>
              <w:rPr>
                <w:sz w:val="20"/>
                <w:szCs w:val="20"/>
                <w:color w:val="auto"/>
              </w:rPr>
            </w:pPr>
            <w:r>
              <w:rPr>
                <w:rFonts w:ascii="Arial" w:cs="Arial" w:eastAsia="Arial" w:hAnsi="Arial"/>
                <w:sz w:val="11"/>
                <w:szCs w:val="11"/>
                <w:b w:val="1"/>
                <w:bCs w:val="1"/>
                <w:color w:val="auto"/>
              </w:rPr>
              <w:t>2020</w:t>
            </w:r>
          </w:p>
        </w:tc>
        <w:tc>
          <w:tcPr>
            <w:tcW w:w="1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717"/>
              <w:spacing w:after="0"/>
              <w:rPr>
                <w:sz w:val="20"/>
                <w:szCs w:val="20"/>
                <w:color w:val="auto"/>
              </w:rPr>
            </w:pPr>
            <w:r>
              <w:rPr>
                <w:rFonts w:ascii="Arial" w:cs="Arial" w:eastAsia="Arial" w:hAnsi="Arial"/>
                <w:sz w:val="11"/>
                <w:szCs w:val="11"/>
                <w:b w:val="1"/>
                <w:bCs w:val="1"/>
                <w:color w:val="auto"/>
              </w:rPr>
              <w:t>2019</w:t>
            </w:r>
          </w:p>
        </w:tc>
      </w:tr>
      <w:tr>
        <w:trPr>
          <w:trHeight w:val="121"/>
        </w:trPr>
        <w:tc>
          <w:tcPr>
            <w:tcW w:w="57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540" w:type="dxa"/>
            <w:vAlign w:val="bottom"/>
            <w:gridSpan w:val="2"/>
          </w:tcPr>
          <w:p>
            <w:pPr>
              <w:ind w:left="240"/>
              <w:spacing w:after="0"/>
              <w:rPr>
                <w:sz w:val="20"/>
                <w:szCs w:val="20"/>
                <w:color w:val="auto"/>
              </w:rPr>
            </w:pPr>
            <w:r>
              <w:rPr>
                <w:rFonts w:ascii="Arial" w:cs="Arial" w:eastAsia="Arial" w:hAnsi="Arial"/>
                <w:sz w:val="10"/>
                <w:szCs w:val="10"/>
                <w:b w:val="1"/>
                <w:bCs w:val="1"/>
                <w:color w:val="auto"/>
              </w:rPr>
              <w:t>(In thousands)</w:t>
            </w:r>
          </w:p>
        </w:tc>
        <w:tc>
          <w:tcPr>
            <w:tcW w:w="420" w:type="dxa"/>
            <w:vAlign w:val="bottom"/>
          </w:tcPr>
          <w:p>
            <w:pPr>
              <w:spacing w:after="0"/>
              <w:rPr>
                <w:sz w:val="10"/>
                <w:szCs w:val="10"/>
                <w:color w:val="auto"/>
              </w:rPr>
            </w:pPr>
          </w:p>
        </w:tc>
        <w:tc>
          <w:tcPr>
            <w:tcW w:w="1340" w:type="dxa"/>
            <w:vAlign w:val="bottom"/>
          </w:tcPr>
          <w:p>
            <w:pPr>
              <w:spacing w:after="0"/>
              <w:rPr>
                <w:sz w:val="10"/>
                <w:szCs w:val="10"/>
                <w:color w:val="auto"/>
              </w:rPr>
            </w:pPr>
          </w:p>
        </w:tc>
      </w:tr>
      <w:tr>
        <w:trPr>
          <w:trHeight w:val="179"/>
        </w:trPr>
        <w:tc>
          <w:tcPr>
            <w:tcW w:w="5780" w:type="dxa"/>
            <w:vAlign w:val="bottom"/>
          </w:tcPr>
          <w:p>
            <w:pPr>
              <w:spacing w:after="0"/>
              <w:rPr>
                <w:sz w:val="20"/>
                <w:szCs w:val="20"/>
                <w:color w:val="auto"/>
              </w:rPr>
            </w:pPr>
            <w:r>
              <w:rPr>
                <w:rFonts w:ascii="Arial" w:cs="Arial" w:eastAsia="Arial" w:hAnsi="Arial"/>
                <w:sz w:val="13"/>
                <w:szCs w:val="13"/>
                <w:color w:val="auto"/>
              </w:rPr>
              <w:t>Equity-based awards compensation cost:</w:t>
            </w:r>
          </w:p>
        </w:tc>
        <w:tc>
          <w:tcPr>
            <w:tcW w:w="1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72"/>
        </w:trPr>
        <w:tc>
          <w:tcPr>
            <w:tcW w:w="57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Cost of sales</w:t>
            </w:r>
          </w:p>
        </w:tc>
        <w:tc>
          <w:tcPr>
            <w:tcW w:w="1180" w:type="dxa"/>
            <w:vAlign w:val="bottom"/>
            <w:shd w:val="clear" w:color="auto" w:fill="CCEEFF"/>
          </w:tcPr>
          <w:p>
            <w:pPr>
              <w:jc w:val="right"/>
              <w:ind w:right="1038"/>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3,209</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838</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312"/>
              <w:spacing w:after="0"/>
              <w:rPr>
                <w:sz w:val="20"/>
                <w:szCs w:val="20"/>
                <w:color w:val="auto"/>
              </w:rPr>
            </w:pPr>
            <w:r>
              <w:rPr>
                <w:rFonts w:ascii="Arial" w:cs="Arial" w:eastAsia="Arial" w:hAnsi="Arial"/>
                <w:sz w:val="10"/>
                <w:szCs w:val="10"/>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461</w:t>
            </w:r>
          </w:p>
        </w:tc>
      </w:tr>
      <w:tr>
        <w:trPr>
          <w:trHeight w:val="168"/>
        </w:trPr>
        <w:tc>
          <w:tcPr>
            <w:tcW w:w="5780" w:type="dxa"/>
            <w:vAlign w:val="bottom"/>
            <w:tcBorders>
              <w:bottom w:val="single" w:sz="8" w:color="CCEEFF"/>
            </w:tcBorders>
          </w:tcPr>
          <w:p>
            <w:pPr>
              <w:ind w:left="100"/>
              <w:spacing w:after="0"/>
              <w:rPr>
                <w:sz w:val="20"/>
                <w:szCs w:val="20"/>
                <w:color w:val="auto"/>
              </w:rPr>
            </w:pPr>
            <w:r>
              <w:rPr>
                <w:rFonts w:ascii="Arial" w:cs="Arial" w:eastAsia="Arial" w:hAnsi="Arial"/>
                <w:sz w:val="13"/>
                <w:szCs w:val="13"/>
                <w:color w:val="auto"/>
              </w:rPr>
              <w:t>Selling, general and administrative expense</w:t>
            </w:r>
          </w:p>
        </w:tc>
        <w:tc>
          <w:tcPr>
            <w:tcW w:w="1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7,420</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1,938</w:t>
            </w:r>
          </w:p>
        </w:tc>
        <w:tc>
          <w:tcPr>
            <w:tcW w:w="10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9,671</w:t>
            </w:r>
          </w:p>
        </w:tc>
      </w:tr>
      <w:tr>
        <w:trPr>
          <w:trHeight w:val="163"/>
        </w:trPr>
        <w:tc>
          <w:tcPr>
            <w:tcW w:w="5780" w:type="dxa"/>
            <w:vAlign w:val="bottom"/>
            <w:shd w:val="clear" w:color="auto" w:fill="CCEEFF"/>
          </w:tcPr>
          <w:p>
            <w:pPr>
              <w:ind w:left="160"/>
              <w:spacing w:after="0"/>
              <w:rPr>
                <w:sz w:val="20"/>
                <w:szCs w:val="20"/>
                <w:color w:val="auto"/>
              </w:rPr>
            </w:pPr>
            <w:r>
              <w:rPr>
                <w:rFonts w:ascii="Arial" w:cs="Arial" w:eastAsia="Arial" w:hAnsi="Arial"/>
                <w:sz w:val="13"/>
                <w:szCs w:val="13"/>
                <w:color w:val="auto"/>
              </w:rPr>
              <w:t>Total cost</w:t>
            </w:r>
          </w:p>
        </w:tc>
        <w:tc>
          <w:tcPr>
            <w:tcW w:w="11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10,629</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2,776</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10,132</w:t>
            </w:r>
          </w:p>
        </w:tc>
      </w:tr>
      <w:tr>
        <w:trPr>
          <w:trHeight w:val="168"/>
        </w:trPr>
        <w:tc>
          <w:tcPr>
            <w:tcW w:w="5780" w:type="dxa"/>
            <w:vAlign w:val="bottom"/>
            <w:tcBorders>
              <w:bottom w:val="single" w:sz="8" w:color="CCEEFF"/>
            </w:tcBorders>
          </w:tcPr>
          <w:p>
            <w:pPr>
              <w:ind w:left="100"/>
              <w:spacing w:after="0"/>
              <w:rPr>
                <w:sz w:val="20"/>
                <w:szCs w:val="20"/>
                <w:color w:val="auto"/>
              </w:rPr>
            </w:pPr>
            <w:r>
              <w:rPr>
                <w:rFonts w:ascii="Arial" w:cs="Arial" w:eastAsia="Arial" w:hAnsi="Arial"/>
                <w:sz w:val="13"/>
                <w:szCs w:val="13"/>
                <w:color w:val="auto"/>
              </w:rPr>
              <w:t>Income tax benefit</w:t>
            </w:r>
          </w:p>
        </w:tc>
        <w:tc>
          <w:tcPr>
            <w:tcW w:w="1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2,587</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676</w:t>
            </w:r>
          </w:p>
        </w:tc>
        <w:tc>
          <w:tcPr>
            <w:tcW w:w="10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2,466</w:t>
            </w:r>
          </w:p>
        </w:tc>
      </w:tr>
      <w:tr>
        <w:trPr>
          <w:trHeight w:val="188"/>
        </w:trPr>
        <w:tc>
          <w:tcPr>
            <w:tcW w:w="5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3"/>
                <w:szCs w:val="13"/>
                <w:color w:val="auto"/>
              </w:rPr>
              <w:t>Net cost</w:t>
            </w:r>
          </w:p>
        </w:tc>
        <w:tc>
          <w:tcPr>
            <w:tcW w:w="1180" w:type="dxa"/>
            <w:vAlign w:val="bottom"/>
            <w:tcBorders>
              <w:bottom w:val="single" w:sz="8" w:color="auto"/>
            </w:tcBorders>
            <w:shd w:val="clear" w:color="auto" w:fill="CCEEFF"/>
          </w:tcPr>
          <w:p>
            <w:pPr>
              <w:jc w:val="right"/>
              <w:ind w:right="1038"/>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8,042</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2,100</w:t>
            </w:r>
          </w:p>
        </w:tc>
        <w:tc>
          <w:tcPr>
            <w:tcW w:w="1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ind w:right="312"/>
              <w:spacing w:after="0"/>
              <w:rPr>
                <w:sz w:val="20"/>
                <w:szCs w:val="20"/>
                <w:color w:val="auto"/>
              </w:rPr>
            </w:pPr>
            <w:r>
              <w:rPr>
                <w:rFonts w:ascii="Arial" w:cs="Arial" w:eastAsia="Arial" w:hAnsi="Arial"/>
                <w:sz w:val="10"/>
                <w:szCs w:val="10"/>
                <w:color w:val="auto"/>
                <w:w w:val="71"/>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7,666</w:t>
            </w: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111"/>
        </w:trPr>
        <w:tc>
          <w:tcPr>
            <w:tcW w:w="57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340" w:type="dxa"/>
            <w:vAlign w:val="bottom"/>
          </w:tcPr>
          <w:p>
            <w:pPr>
              <w:spacing w:after="0"/>
              <w:rPr>
                <w:sz w:val="9"/>
                <w:szCs w:val="9"/>
                <w:color w:val="auto"/>
              </w:rPr>
            </w:pPr>
          </w:p>
        </w:tc>
      </w:tr>
      <w:tr>
        <w:trPr>
          <w:trHeight w:val="170"/>
        </w:trPr>
        <w:tc>
          <w:tcPr>
            <w:tcW w:w="5780" w:type="dxa"/>
            <w:vAlign w:val="bottom"/>
            <w:shd w:val="clear" w:color="auto" w:fill="CCEEFF"/>
          </w:tcPr>
          <w:p>
            <w:pPr>
              <w:spacing w:after="0"/>
              <w:rPr>
                <w:sz w:val="20"/>
                <w:szCs w:val="20"/>
                <w:color w:val="auto"/>
              </w:rPr>
            </w:pPr>
            <w:r>
              <w:rPr>
                <w:rFonts w:ascii="Arial" w:cs="Arial" w:eastAsia="Arial" w:hAnsi="Arial"/>
                <w:sz w:val="13"/>
                <w:szCs w:val="13"/>
                <w:color w:val="auto"/>
              </w:rPr>
              <w:t>Liability-based awards compensation cost:</w:t>
            </w:r>
          </w:p>
        </w:tc>
        <w:tc>
          <w:tcPr>
            <w:tcW w:w="11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r>
      <w:tr>
        <w:trPr>
          <w:trHeight w:val="168"/>
        </w:trPr>
        <w:tc>
          <w:tcPr>
            <w:tcW w:w="5780" w:type="dxa"/>
            <w:vAlign w:val="bottom"/>
          </w:tcPr>
          <w:p>
            <w:pPr>
              <w:ind w:left="100"/>
              <w:spacing w:after="0"/>
              <w:rPr>
                <w:sz w:val="20"/>
                <w:szCs w:val="20"/>
                <w:color w:val="auto"/>
              </w:rPr>
            </w:pPr>
            <w:r>
              <w:rPr>
                <w:rFonts w:ascii="Arial" w:cs="Arial" w:eastAsia="Arial" w:hAnsi="Arial"/>
                <w:sz w:val="13"/>
                <w:szCs w:val="13"/>
                <w:color w:val="auto"/>
              </w:rPr>
              <w:t>Selling, general and administrative expense</w:t>
            </w:r>
          </w:p>
        </w:tc>
        <w:tc>
          <w:tcPr>
            <w:tcW w:w="1180" w:type="dxa"/>
            <w:vAlign w:val="bottom"/>
          </w:tcPr>
          <w:p>
            <w:pPr>
              <w:jc w:val="right"/>
              <w:ind w:right="1038"/>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7,715</w:t>
            </w:r>
          </w:p>
        </w:tc>
        <w:tc>
          <w:tcPr>
            <w:tcW w:w="100" w:type="dxa"/>
            <w:vAlign w:val="bottom"/>
          </w:tcPr>
          <w:p>
            <w:pPr>
              <w:spacing w:after="0"/>
              <w:rPr>
                <w:sz w:val="14"/>
                <w:szCs w:val="14"/>
                <w:color w:val="auto"/>
              </w:rPr>
            </w:pPr>
          </w:p>
        </w:tc>
        <w:tc>
          <w:tcPr>
            <w:tcW w:w="320" w:type="dxa"/>
            <w:vAlign w:val="bottom"/>
          </w:tcPr>
          <w:p>
            <w:pPr>
              <w:jc w:val="right"/>
              <w:ind w:right="176"/>
              <w:spacing w:after="0"/>
              <w:rPr>
                <w:sz w:val="20"/>
                <w:szCs w:val="20"/>
                <w:color w:val="auto"/>
              </w:rPr>
            </w:pPr>
            <w:r>
              <w:rPr>
                <w:rFonts w:ascii="Arial" w:cs="Arial" w:eastAsia="Arial" w:hAnsi="Arial"/>
                <w:sz w:val="13"/>
                <w:szCs w:val="13"/>
                <w:color w:val="auto"/>
                <w:w w:val="82"/>
              </w:rPr>
              <w:t>$</w:t>
            </w:r>
          </w:p>
        </w:tc>
        <w:tc>
          <w:tcPr>
            <w:tcW w:w="1440" w:type="dxa"/>
            <w:vAlign w:val="bottom"/>
          </w:tcPr>
          <w:p>
            <w:pPr>
              <w:jc w:val="right"/>
              <w:spacing w:after="0"/>
              <w:rPr>
                <w:sz w:val="20"/>
                <w:szCs w:val="20"/>
                <w:color w:val="auto"/>
              </w:rPr>
            </w:pPr>
            <w:r>
              <w:rPr>
                <w:rFonts w:ascii="Arial" w:cs="Arial" w:eastAsia="Arial" w:hAnsi="Arial"/>
                <w:sz w:val="13"/>
                <w:szCs w:val="13"/>
                <w:color w:val="auto"/>
              </w:rPr>
              <w:t>1,081</w:t>
            </w:r>
          </w:p>
        </w:tc>
        <w:tc>
          <w:tcPr>
            <w:tcW w:w="100" w:type="dxa"/>
            <w:vAlign w:val="bottom"/>
          </w:tcPr>
          <w:p>
            <w:pPr>
              <w:spacing w:after="0"/>
              <w:rPr>
                <w:sz w:val="14"/>
                <w:szCs w:val="14"/>
                <w:color w:val="auto"/>
              </w:rPr>
            </w:pPr>
          </w:p>
        </w:tc>
        <w:tc>
          <w:tcPr>
            <w:tcW w:w="420" w:type="dxa"/>
            <w:vAlign w:val="bottom"/>
          </w:tcPr>
          <w:p>
            <w:pPr>
              <w:jc w:val="right"/>
              <w:ind w:right="312"/>
              <w:spacing w:after="0"/>
              <w:rPr>
                <w:sz w:val="20"/>
                <w:szCs w:val="20"/>
                <w:color w:val="auto"/>
              </w:rPr>
            </w:pPr>
            <w:r>
              <w:rPr>
                <w:rFonts w:ascii="Arial" w:cs="Arial" w:eastAsia="Arial" w:hAnsi="Arial"/>
                <w:sz w:val="10"/>
                <w:szCs w:val="10"/>
                <w:color w:val="auto"/>
                <w:w w:val="71"/>
              </w:rPr>
              <w:t>$</w:t>
            </w:r>
          </w:p>
        </w:tc>
        <w:tc>
          <w:tcPr>
            <w:tcW w:w="1340" w:type="dxa"/>
            <w:vAlign w:val="bottom"/>
          </w:tcPr>
          <w:p>
            <w:pPr>
              <w:jc w:val="right"/>
              <w:spacing w:after="0"/>
              <w:rPr>
                <w:sz w:val="20"/>
                <w:szCs w:val="20"/>
                <w:color w:val="auto"/>
              </w:rPr>
            </w:pPr>
            <w:r>
              <w:rPr>
                <w:rFonts w:ascii="Arial" w:cs="Arial" w:eastAsia="Arial" w:hAnsi="Arial"/>
                <w:sz w:val="13"/>
                <w:szCs w:val="13"/>
                <w:color w:val="auto"/>
              </w:rPr>
              <w:t>671</w:t>
            </w:r>
          </w:p>
        </w:tc>
      </w:tr>
      <w:tr>
        <w:trPr>
          <w:trHeight w:val="170"/>
        </w:trPr>
        <w:tc>
          <w:tcPr>
            <w:tcW w:w="57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Income tax benefit</w:t>
            </w:r>
          </w:p>
        </w:tc>
        <w:tc>
          <w:tcPr>
            <w:tcW w:w="118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1,878</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263</w:t>
            </w:r>
          </w:p>
        </w:tc>
        <w:tc>
          <w:tcPr>
            <w:tcW w:w="10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163</w:t>
            </w:r>
          </w:p>
        </w:tc>
      </w:tr>
      <w:tr>
        <w:trPr>
          <w:trHeight w:val="163"/>
        </w:trPr>
        <w:tc>
          <w:tcPr>
            <w:tcW w:w="5780" w:type="dxa"/>
            <w:vAlign w:val="bottom"/>
          </w:tcPr>
          <w:p>
            <w:pPr>
              <w:ind w:left="160"/>
              <w:spacing w:after="0"/>
              <w:rPr>
                <w:sz w:val="20"/>
                <w:szCs w:val="20"/>
                <w:color w:val="auto"/>
              </w:rPr>
            </w:pPr>
            <w:r>
              <w:rPr>
                <w:rFonts w:ascii="Arial" w:cs="Arial" w:eastAsia="Arial" w:hAnsi="Arial"/>
                <w:sz w:val="13"/>
                <w:szCs w:val="13"/>
                <w:color w:val="auto"/>
              </w:rPr>
              <w:t>Net cost</w:t>
            </w:r>
          </w:p>
        </w:tc>
        <w:tc>
          <w:tcPr>
            <w:tcW w:w="1180" w:type="dxa"/>
            <w:vAlign w:val="bottom"/>
            <w:tcBorders>
              <w:bottom w:val="single" w:sz="8" w:color="auto"/>
            </w:tcBorders>
          </w:tcPr>
          <w:p>
            <w:pPr>
              <w:jc w:val="right"/>
              <w:ind w:right="1038"/>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5,837</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w w:val="82"/>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818</w:t>
            </w:r>
          </w:p>
        </w:tc>
        <w:tc>
          <w:tcPr>
            <w:tcW w:w="100" w:type="dxa"/>
            <w:vAlign w:val="bottom"/>
          </w:tcPr>
          <w:p>
            <w:pPr>
              <w:spacing w:after="0"/>
              <w:rPr>
                <w:sz w:val="14"/>
                <w:szCs w:val="14"/>
                <w:color w:val="auto"/>
              </w:rPr>
            </w:pPr>
          </w:p>
        </w:tc>
        <w:tc>
          <w:tcPr>
            <w:tcW w:w="420" w:type="dxa"/>
            <w:vAlign w:val="bottom"/>
            <w:tcBorders>
              <w:bottom w:val="single" w:sz="8" w:color="auto"/>
            </w:tcBorders>
          </w:tcPr>
          <w:p>
            <w:pPr>
              <w:jc w:val="right"/>
              <w:ind w:right="312"/>
              <w:spacing w:after="0"/>
              <w:rPr>
                <w:sz w:val="20"/>
                <w:szCs w:val="20"/>
                <w:color w:val="auto"/>
              </w:rPr>
            </w:pPr>
            <w:r>
              <w:rPr>
                <w:rFonts w:ascii="Arial" w:cs="Arial" w:eastAsia="Arial" w:hAnsi="Arial"/>
                <w:sz w:val="10"/>
                <w:szCs w:val="10"/>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508</w:t>
            </w:r>
          </w:p>
        </w:tc>
      </w:tr>
      <w:tr>
        <w:trPr>
          <w:trHeight w:val="20"/>
        </w:trPr>
        <w:tc>
          <w:tcPr>
            <w:tcW w:w="57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Company’s RSU activity is included below:</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86" w:name="page87"/>
    <w:bookmarkEnd w:id="8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NOTES TO CONSOLIDATED FINANCIAL STATEMENTS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3620" w:type="dxa"/>
            <w:vAlign w:val="bottom"/>
          </w:tcPr>
          <w:p>
            <w:pPr>
              <w:spacing w:after="0"/>
              <w:rPr>
                <w:sz w:val="13"/>
                <w:szCs w:val="13"/>
                <w:color w:val="auto"/>
              </w:rPr>
            </w:pPr>
          </w:p>
        </w:tc>
        <w:tc>
          <w:tcPr>
            <w:tcW w:w="144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1"/>
                <w:szCs w:val="11"/>
                <w:b w:val="1"/>
                <w:bCs w:val="1"/>
                <w:color w:val="auto"/>
              </w:rPr>
              <w:t>2021</w:t>
            </w:r>
          </w:p>
        </w:tc>
        <w:tc>
          <w:tcPr>
            <w:tcW w:w="3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2"/>
          </w:tcPr>
          <w:p>
            <w:pPr>
              <w:jc w:val="right"/>
              <w:ind w:right="419"/>
              <w:spacing w:after="0"/>
              <w:rPr>
                <w:sz w:val="20"/>
                <w:szCs w:val="20"/>
                <w:color w:val="auto"/>
              </w:rPr>
            </w:pPr>
            <w:r>
              <w:rPr>
                <w:rFonts w:ascii="Arial" w:cs="Arial" w:eastAsia="Arial" w:hAnsi="Arial"/>
                <w:sz w:val="11"/>
                <w:szCs w:val="11"/>
                <w:b w:val="1"/>
                <w:bCs w:val="1"/>
                <w:color w:val="auto"/>
              </w:rPr>
              <w:t>2020</w:t>
            </w: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2019</w:t>
            </w:r>
          </w:p>
        </w:tc>
        <w:tc>
          <w:tcPr>
            <w:tcW w:w="2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1"/>
        </w:trPr>
        <w:tc>
          <w:tcPr>
            <w:tcW w:w="3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40" w:type="dxa"/>
            <w:vAlign w:val="bottom"/>
            <w:gridSpan w:val="2"/>
          </w:tcPr>
          <w:p>
            <w:pPr>
              <w:jc w:val="center"/>
              <w:ind w:right="58"/>
              <w:spacing w:after="0" w:line="101" w:lineRule="exact"/>
              <w:rPr>
                <w:sz w:val="20"/>
                <w:szCs w:val="20"/>
                <w:color w:val="auto"/>
              </w:rPr>
            </w:pPr>
            <w:r>
              <w:rPr>
                <w:rFonts w:ascii="Arial" w:cs="Arial" w:eastAsia="Arial" w:hAnsi="Arial"/>
                <w:sz w:val="11"/>
                <w:szCs w:val="11"/>
                <w:b w:val="1"/>
                <w:bCs w:val="1"/>
                <w:color w:val="auto"/>
                <w:w w:val="91"/>
              </w:rPr>
              <w:t>Weighted Average</w:t>
            </w: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300" w:type="dxa"/>
            <w:vAlign w:val="bottom"/>
            <w:gridSpan w:val="3"/>
          </w:tcPr>
          <w:p>
            <w:pPr>
              <w:jc w:val="center"/>
              <w:ind w:left="39"/>
              <w:spacing w:after="0" w:line="101" w:lineRule="exact"/>
              <w:rPr>
                <w:sz w:val="20"/>
                <w:szCs w:val="20"/>
                <w:color w:val="auto"/>
              </w:rPr>
            </w:pPr>
            <w:r>
              <w:rPr>
                <w:rFonts w:ascii="Arial" w:cs="Arial" w:eastAsia="Arial" w:hAnsi="Arial"/>
                <w:sz w:val="11"/>
                <w:szCs w:val="11"/>
                <w:b w:val="1"/>
                <w:bCs w:val="1"/>
                <w:color w:val="auto"/>
                <w:w w:val="91"/>
              </w:rPr>
              <w:t>Weighted Average</w:t>
            </w: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80" w:type="dxa"/>
            <w:vAlign w:val="bottom"/>
            <w:gridSpan w:val="2"/>
          </w:tcPr>
          <w:p>
            <w:pPr>
              <w:jc w:val="center"/>
              <w:ind w:right="58"/>
              <w:spacing w:after="0" w:line="101" w:lineRule="exact"/>
              <w:rPr>
                <w:sz w:val="20"/>
                <w:szCs w:val="20"/>
                <w:color w:val="auto"/>
              </w:rPr>
            </w:pPr>
            <w:r>
              <w:rPr>
                <w:rFonts w:ascii="Arial" w:cs="Arial" w:eastAsia="Arial" w:hAnsi="Arial"/>
                <w:sz w:val="11"/>
                <w:szCs w:val="11"/>
                <w:b w:val="1"/>
                <w:bCs w:val="1"/>
                <w:color w:val="auto"/>
                <w:w w:val="91"/>
              </w:rPr>
              <w:t>Weighted Average</w:t>
            </w:r>
          </w:p>
        </w:tc>
        <w:tc>
          <w:tcPr>
            <w:tcW w:w="0" w:type="dxa"/>
            <w:vAlign w:val="bottom"/>
          </w:tcPr>
          <w:p>
            <w:pPr>
              <w:spacing w:after="0"/>
              <w:rPr>
                <w:sz w:val="1"/>
                <w:szCs w:val="1"/>
                <w:color w:val="auto"/>
              </w:rPr>
            </w:pPr>
          </w:p>
        </w:tc>
      </w:tr>
      <w:tr>
        <w:trPr>
          <w:trHeight w:val="106"/>
        </w:trPr>
        <w:tc>
          <w:tcPr>
            <w:tcW w:w="3620" w:type="dxa"/>
            <w:vAlign w:val="bottom"/>
          </w:tcPr>
          <w:p>
            <w:pPr>
              <w:spacing w:after="0"/>
              <w:rPr>
                <w:sz w:val="9"/>
                <w:szCs w:val="9"/>
                <w:color w:val="auto"/>
              </w:rPr>
            </w:pPr>
          </w:p>
        </w:tc>
        <w:tc>
          <w:tcPr>
            <w:tcW w:w="1200" w:type="dxa"/>
            <w:vAlign w:val="bottom"/>
            <w:gridSpan w:val="2"/>
            <w:vMerge w:val="restart"/>
          </w:tcPr>
          <w:p>
            <w:pPr>
              <w:jc w:val="right"/>
              <w:ind w:right="343"/>
              <w:spacing w:after="0"/>
              <w:rPr>
                <w:sz w:val="20"/>
                <w:szCs w:val="20"/>
                <w:color w:val="auto"/>
              </w:rPr>
            </w:pPr>
            <w:r>
              <w:rPr>
                <w:rFonts w:ascii="Arial" w:cs="Arial" w:eastAsia="Arial" w:hAnsi="Arial"/>
                <w:sz w:val="11"/>
                <w:szCs w:val="11"/>
                <w:b w:val="1"/>
                <w:bCs w:val="1"/>
                <w:color w:val="auto"/>
              </w:rPr>
              <w:t>Number</w:t>
            </w:r>
          </w:p>
        </w:tc>
        <w:tc>
          <w:tcPr>
            <w:tcW w:w="1520" w:type="dxa"/>
            <w:vAlign w:val="bottom"/>
            <w:gridSpan w:val="5"/>
          </w:tcPr>
          <w:p>
            <w:pPr>
              <w:jc w:val="center"/>
              <w:ind w:right="120"/>
              <w:spacing w:after="0" w:line="106" w:lineRule="exact"/>
              <w:rPr>
                <w:sz w:val="20"/>
                <w:szCs w:val="20"/>
                <w:color w:val="auto"/>
              </w:rPr>
            </w:pPr>
            <w:r>
              <w:rPr>
                <w:rFonts w:ascii="Arial" w:cs="Arial" w:eastAsia="Arial" w:hAnsi="Arial"/>
                <w:sz w:val="11"/>
                <w:szCs w:val="11"/>
                <w:b w:val="1"/>
                <w:bCs w:val="1"/>
                <w:color w:val="auto"/>
                <w:w w:val="95"/>
              </w:rPr>
              <w:t>Milestone Date Fair</w:t>
            </w:r>
          </w:p>
        </w:tc>
        <w:tc>
          <w:tcPr>
            <w:tcW w:w="720" w:type="dxa"/>
            <w:vAlign w:val="bottom"/>
            <w:gridSpan w:val="3"/>
            <w:vMerge w:val="restart"/>
          </w:tcPr>
          <w:p>
            <w:pPr>
              <w:ind w:left="260"/>
              <w:spacing w:after="0"/>
              <w:rPr>
                <w:sz w:val="20"/>
                <w:szCs w:val="20"/>
                <w:color w:val="auto"/>
              </w:rPr>
            </w:pPr>
            <w:r>
              <w:rPr>
                <w:rFonts w:ascii="Arial" w:cs="Arial" w:eastAsia="Arial" w:hAnsi="Arial"/>
                <w:sz w:val="11"/>
                <w:szCs w:val="11"/>
                <w:b w:val="1"/>
                <w:bCs w:val="1"/>
                <w:color w:val="auto"/>
              </w:rPr>
              <w:t>Number</w:t>
            </w:r>
          </w:p>
        </w:tc>
        <w:tc>
          <w:tcPr>
            <w:tcW w:w="340" w:type="dxa"/>
            <w:vAlign w:val="bottom"/>
          </w:tcPr>
          <w:p>
            <w:pPr>
              <w:spacing w:after="0"/>
              <w:rPr>
                <w:sz w:val="9"/>
                <w:szCs w:val="9"/>
                <w:color w:val="auto"/>
              </w:rPr>
            </w:pPr>
          </w:p>
        </w:tc>
        <w:tc>
          <w:tcPr>
            <w:tcW w:w="1300" w:type="dxa"/>
            <w:vAlign w:val="bottom"/>
            <w:gridSpan w:val="3"/>
          </w:tcPr>
          <w:p>
            <w:pPr>
              <w:jc w:val="center"/>
              <w:ind w:left="39"/>
              <w:spacing w:after="0" w:line="106" w:lineRule="exact"/>
              <w:rPr>
                <w:sz w:val="20"/>
                <w:szCs w:val="20"/>
                <w:color w:val="auto"/>
              </w:rPr>
            </w:pPr>
            <w:r>
              <w:rPr>
                <w:rFonts w:ascii="Arial" w:cs="Arial" w:eastAsia="Arial" w:hAnsi="Arial"/>
                <w:sz w:val="11"/>
                <w:szCs w:val="11"/>
                <w:b w:val="1"/>
                <w:bCs w:val="1"/>
                <w:color w:val="auto"/>
                <w:w w:val="95"/>
              </w:rPr>
              <w:t>Milestone Date Fair</w:t>
            </w: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60" w:type="dxa"/>
            <w:vAlign w:val="bottom"/>
            <w:gridSpan w:val="2"/>
            <w:vMerge w:val="restart"/>
          </w:tcPr>
          <w:p>
            <w:pPr>
              <w:jc w:val="right"/>
              <w:ind w:right="323"/>
              <w:spacing w:after="0"/>
              <w:rPr>
                <w:sz w:val="20"/>
                <w:szCs w:val="20"/>
                <w:color w:val="auto"/>
              </w:rPr>
            </w:pPr>
            <w:r>
              <w:rPr>
                <w:rFonts w:ascii="Arial" w:cs="Arial" w:eastAsia="Arial" w:hAnsi="Arial"/>
                <w:sz w:val="11"/>
                <w:szCs w:val="11"/>
                <w:b w:val="1"/>
                <w:bCs w:val="1"/>
                <w:color w:val="auto"/>
              </w:rPr>
              <w:t>Number</w:t>
            </w:r>
          </w:p>
        </w:tc>
        <w:tc>
          <w:tcPr>
            <w:tcW w:w="220" w:type="dxa"/>
            <w:vAlign w:val="bottom"/>
          </w:tcPr>
          <w:p>
            <w:pPr>
              <w:spacing w:after="0"/>
              <w:rPr>
                <w:sz w:val="9"/>
                <w:szCs w:val="9"/>
                <w:color w:val="auto"/>
              </w:rPr>
            </w:pPr>
          </w:p>
        </w:tc>
        <w:tc>
          <w:tcPr>
            <w:tcW w:w="1080" w:type="dxa"/>
            <w:vAlign w:val="bottom"/>
            <w:gridSpan w:val="2"/>
          </w:tcPr>
          <w:p>
            <w:pPr>
              <w:jc w:val="center"/>
              <w:ind w:right="58"/>
              <w:spacing w:after="0" w:line="106" w:lineRule="exact"/>
              <w:rPr>
                <w:sz w:val="20"/>
                <w:szCs w:val="20"/>
                <w:color w:val="auto"/>
              </w:rPr>
            </w:pPr>
            <w:r>
              <w:rPr>
                <w:rFonts w:ascii="Arial" w:cs="Arial" w:eastAsia="Arial" w:hAnsi="Arial"/>
                <w:sz w:val="11"/>
                <w:szCs w:val="11"/>
                <w:b w:val="1"/>
                <w:bCs w:val="1"/>
                <w:color w:val="auto"/>
                <w:w w:val="95"/>
              </w:rPr>
              <w:t>Milestone Date Fair</w:t>
            </w:r>
          </w:p>
        </w:tc>
        <w:tc>
          <w:tcPr>
            <w:tcW w:w="0" w:type="dxa"/>
            <w:vAlign w:val="bottom"/>
          </w:tcPr>
          <w:p>
            <w:pPr>
              <w:spacing w:after="0"/>
              <w:rPr>
                <w:sz w:val="1"/>
                <w:szCs w:val="1"/>
                <w:color w:val="auto"/>
              </w:rPr>
            </w:pPr>
          </w:p>
        </w:tc>
      </w:tr>
      <w:tr>
        <w:trPr>
          <w:trHeight w:val="149"/>
        </w:trPr>
        <w:tc>
          <w:tcPr>
            <w:tcW w:w="3620" w:type="dxa"/>
            <w:vAlign w:val="bottom"/>
          </w:tcPr>
          <w:p>
            <w:pPr>
              <w:spacing w:after="0"/>
              <w:rPr>
                <w:sz w:val="12"/>
                <w:szCs w:val="12"/>
                <w:color w:val="auto"/>
              </w:rPr>
            </w:pPr>
          </w:p>
        </w:tc>
        <w:tc>
          <w:tcPr>
            <w:tcW w:w="1200" w:type="dxa"/>
            <w:vAlign w:val="bottom"/>
            <w:tcBorders>
              <w:bottom w:val="single" w:sz="8" w:color="auto"/>
            </w:tcBorders>
            <w:gridSpan w:val="2"/>
            <w:vMerge w:val="continue"/>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gridSpan w:val="4"/>
          </w:tcPr>
          <w:p>
            <w:pPr>
              <w:jc w:val="center"/>
              <w:ind w:right="360"/>
              <w:spacing w:after="0" w:line="149" w:lineRule="exact"/>
              <w:rPr>
                <w:sz w:val="20"/>
                <w:szCs w:val="20"/>
                <w:color w:val="auto"/>
              </w:rPr>
            </w:pPr>
            <w:r>
              <w:rPr>
                <w:rFonts w:ascii="Arial" w:cs="Arial" w:eastAsia="Arial" w:hAnsi="Arial"/>
                <w:sz w:val="11"/>
                <w:szCs w:val="11"/>
                <w:b w:val="1"/>
                <w:bCs w:val="1"/>
                <w:color w:val="auto"/>
                <w:w w:val="88"/>
              </w:rPr>
              <w:t>Value</w:t>
            </w:r>
            <w:r>
              <w:rPr>
                <w:rFonts w:ascii="Arial" w:cs="Arial" w:eastAsia="Arial" w:hAnsi="Arial"/>
                <w:sz w:val="14"/>
                <w:szCs w:val="14"/>
                <w:b w:val="1"/>
                <w:bCs w:val="1"/>
                <w:color w:val="auto"/>
                <w:w w:val="88"/>
                <w:vertAlign w:val="superscript"/>
              </w:rPr>
              <w:t>(a)</w:t>
            </w:r>
          </w:p>
        </w:tc>
        <w:tc>
          <w:tcPr>
            <w:tcW w:w="720" w:type="dxa"/>
            <w:vAlign w:val="bottom"/>
            <w:tcBorders>
              <w:bottom w:val="single" w:sz="8" w:color="auto"/>
            </w:tcBorders>
            <w:gridSpan w:val="3"/>
            <w:vMerge w:val="continue"/>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3"/>
          </w:tcPr>
          <w:p>
            <w:pPr>
              <w:jc w:val="center"/>
              <w:ind w:left="39"/>
              <w:spacing w:after="0" w:line="149" w:lineRule="exact"/>
              <w:rPr>
                <w:sz w:val="20"/>
                <w:szCs w:val="20"/>
                <w:color w:val="auto"/>
              </w:rPr>
            </w:pPr>
            <w:r>
              <w:rPr>
                <w:rFonts w:ascii="Arial" w:cs="Arial" w:eastAsia="Arial" w:hAnsi="Arial"/>
                <w:sz w:val="11"/>
                <w:szCs w:val="11"/>
                <w:b w:val="1"/>
                <w:bCs w:val="1"/>
                <w:color w:val="auto"/>
                <w:w w:val="88"/>
              </w:rPr>
              <w:t>Value</w:t>
            </w:r>
            <w:r>
              <w:rPr>
                <w:rFonts w:ascii="Arial" w:cs="Arial" w:eastAsia="Arial" w:hAnsi="Arial"/>
                <w:sz w:val="14"/>
                <w:szCs w:val="14"/>
                <w:b w:val="1"/>
                <w:bCs w:val="1"/>
                <w:color w:val="auto"/>
                <w:w w:val="88"/>
                <w:vertAlign w:val="superscript"/>
              </w:rPr>
              <w:t>(a)</w:t>
            </w:r>
          </w:p>
        </w:tc>
        <w:tc>
          <w:tcPr>
            <w:tcW w:w="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2"/>
            <w:vMerge w:val="continue"/>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center"/>
              <w:ind w:right="258"/>
              <w:spacing w:after="0" w:line="149" w:lineRule="exact"/>
              <w:rPr>
                <w:sz w:val="20"/>
                <w:szCs w:val="20"/>
                <w:color w:val="auto"/>
              </w:rPr>
            </w:pPr>
            <w:r>
              <w:rPr>
                <w:rFonts w:ascii="Arial" w:cs="Arial" w:eastAsia="Arial" w:hAnsi="Arial"/>
                <w:sz w:val="11"/>
                <w:szCs w:val="11"/>
                <w:b w:val="1"/>
                <w:bCs w:val="1"/>
                <w:color w:val="auto"/>
                <w:w w:val="88"/>
              </w:rPr>
              <w:t>Value</w:t>
            </w:r>
            <w:r>
              <w:rPr>
                <w:rFonts w:ascii="Arial" w:cs="Arial" w:eastAsia="Arial" w:hAnsi="Arial"/>
                <w:sz w:val="14"/>
                <w:szCs w:val="14"/>
                <w:b w:val="1"/>
                <w:bCs w:val="1"/>
                <w:color w:val="auto"/>
                <w:w w:val="88"/>
                <w:vertAlign w:val="superscript"/>
              </w:rPr>
              <w:t>(a)</w:t>
            </w:r>
          </w:p>
        </w:tc>
        <w:tc>
          <w:tcPr>
            <w:tcW w:w="0" w:type="dxa"/>
            <w:vAlign w:val="bottom"/>
          </w:tcPr>
          <w:p>
            <w:pPr>
              <w:spacing w:after="0"/>
              <w:rPr>
                <w:sz w:val="1"/>
                <w:szCs w:val="1"/>
                <w:color w:val="auto"/>
              </w:rPr>
            </w:pPr>
          </w:p>
        </w:tc>
      </w:tr>
      <w:tr>
        <w:trPr>
          <w:trHeight w:val="123"/>
        </w:trPr>
        <w:tc>
          <w:tcPr>
            <w:tcW w:w="3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360" w:type="dxa"/>
            <w:vAlign w:val="bottom"/>
            <w:gridSpan w:val="7"/>
          </w:tcPr>
          <w:p>
            <w:pPr>
              <w:jc w:val="center"/>
              <w:ind w:right="58"/>
              <w:spacing w:after="0"/>
              <w:rPr>
                <w:sz w:val="20"/>
                <w:szCs w:val="20"/>
                <w:color w:val="auto"/>
              </w:rPr>
            </w:pPr>
            <w:r>
              <w:rPr>
                <w:rFonts w:ascii="Arial" w:cs="Arial" w:eastAsia="Arial" w:hAnsi="Arial"/>
                <w:sz w:val="10"/>
                <w:szCs w:val="10"/>
                <w:b w:val="1"/>
                <w:bCs w:val="1"/>
                <w:color w:val="auto"/>
                <w:w w:val="88"/>
              </w:rPr>
              <w:t>(In thousands, except weighted average fair values)</w:t>
            </w: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3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Equity-based RSUs:</w:t>
            </w:r>
          </w:p>
        </w:tc>
        <w:tc>
          <w:tcPr>
            <w:tcW w:w="6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3620" w:type="dxa"/>
            <w:vAlign w:val="bottom"/>
          </w:tcPr>
          <w:p>
            <w:pPr>
              <w:ind w:left="120"/>
              <w:spacing w:after="0"/>
              <w:rPr>
                <w:sz w:val="20"/>
                <w:szCs w:val="20"/>
                <w:color w:val="auto"/>
              </w:rPr>
            </w:pPr>
            <w:r>
              <w:rPr>
                <w:rFonts w:ascii="Arial" w:cs="Arial" w:eastAsia="Arial" w:hAnsi="Arial"/>
                <w:sz w:val="13"/>
                <w:szCs w:val="13"/>
                <w:color w:val="auto"/>
              </w:rPr>
              <w:t>Outstanding at beginning of year</w:t>
            </w:r>
          </w:p>
        </w:tc>
        <w:tc>
          <w:tcPr>
            <w:tcW w:w="1200" w:type="dxa"/>
            <w:vAlign w:val="bottom"/>
            <w:gridSpan w:val="2"/>
          </w:tcPr>
          <w:p>
            <w:pPr>
              <w:jc w:val="right"/>
              <w:ind w:right="3"/>
              <w:spacing w:after="0"/>
              <w:rPr>
                <w:sz w:val="20"/>
                <w:szCs w:val="20"/>
                <w:color w:val="auto"/>
              </w:rPr>
            </w:pPr>
            <w:r>
              <w:rPr>
                <w:rFonts w:ascii="Arial" w:cs="Arial" w:eastAsia="Arial" w:hAnsi="Arial"/>
                <w:sz w:val="13"/>
                <w:szCs w:val="13"/>
                <w:color w:val="auto"/>
              </w:rPr>
              <w:t>584</w:t>
            </w: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22.12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926</w:t>
            </w:r>
          </w:p>
        </w:tc>
        <w:tc>
          <w:tcPr>
            <w:tcW w:w="640" w:type="dxa"/>
            <w:vAlign w:val="bottom"/>
          </w:tcPr>
          <w:p>
            <w:pPr>
              <w:jc w:val="right"/>
              <w:ind w:right="399"/>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24.04</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1,069</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22.97</w:t>
            </w:r>
          </w:p>
        </w:tc>
        <w:tc>
          <w:tcPr>
            <w:tcW w:w="0" w:type="dxa"/>
            <w:vAlign w:val="bottom"/>
          </w:tcPr>
          <w:p>
            <w:pPr>
              <w:spacing w:after="0"/>
              <w:rPr>
                <w:sz w:val="1"/>
                <w:szCs w:val="1"/>
                <w:color w:val="auto"/>
              </w:rPr>
            </w:pPr>
          </w:p>
        </w:tc>
      </w:tr>
      <w:tr>
        <w:trPr>
          <w:trHeight w:val="172"/>
        </w:trPr>
        <w:tc>
          <w:tcPr>
            <w:tcW w:w="36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Transferred to liability-based awards</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23.53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(200)</w:t>
            </w: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26.91</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(36)</w:t>
            </w: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24.67</w:t>
            </w:r>
          </w:p>
        </w:tc>
        <w:tc>
          <w:tcPr>
            <w:tcW w:w="0" w:type="dxa"/>
            <w:vAlign w:val="bottom"/>
          </w:tcPr>
          <w:p>
            <w:pPr>
              <w:spacing w:after="0"/>
              <w:rPr>
                <w:sz w:val="1"/>
                <w:szCs w:val="1"/>
                <w:color w:val="auto"/>
              </w:rPr>
            </w:pPr>
          </w:p>
        </w:tc>
      </w:tr>
      <w:tr>
        <w:trPr>
          <w:trHeight w:val="168"/>
        </w:trPr>
        <w:tc>
          <w:tcPr>
            <w:tcW w:w="3620" w:type="dxa"/>
            <w:vAlign w:val="bottom"/>
          </w:tcPr>
          <w:p>
            <w:pPr>
              <w:ind w:left="120"/>
              <w:spacing w:after="0"/>
              <w:rPr>
                <w:sz w:val="20"/>
                <w:szCs w:val="20"/>
                <w:color w:val="auto"/>
              </w:rPr>
            </w:pPr>
            <w:r>
              <w:rPr>
                <w:rFonts w:ascii="Arial" w:cs="Arial" w:eastAsia="Arial" w:hAnsi="Arial"/>
                <w:sz w:val="13"/>
                <w:szCs w:val="13"/>
                <w:color w:val="auto"/>
              </w:rPr>
              <w:t>Granted</w:t>
            </w:r>
          </w:p>
        </w:tc>
        <w:tc>
          <w:tcPr>
            <w:tcW w:w="1200" w:type="dxa"/>
            <w:vAlign w:val="bottom"/>
            <w:gridSpan w:val="2"/>
          </w:tcPr>
          <w:p>
            <w:pPr>
              <w:jc w:val="right"/>
              <w:ind w:right="3"/>
              <w:spacing w:after="0"/>
              <w:rPr>
                <w:sz w:val="20"/>
                <w:szCs w:val="20"/>
                <w:color w:val="auto"/>
              </w:rPr>
            </w:pPr>
            <w:r>
              <w:rPr>
                <w:rFonts w:ascii="Arial" w:cs="Arial" w:eastAsia="Arial" w:hAnsi="Arial"/>
                <w:sz w:val="13"/>
                <w:szCs w:val="13"/>
                <w:color w:val="auto"/>
              </w:rPr>
              <w:t>817</w:t>
            </w: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21.58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249</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28.14</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843</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22.01</w:t>
            </w:r>
          </w:p>
        </w:tc>
        <w:tc>
          <w:tcPr>
            <w:tcW w:w="0" w:type="dxa"/>
            <w:vAlign w:val="bottom"/>
          </w:tcPr>
          <w:p>
            <w:pPr>
              <w:spacing w:after="0"/>
              <w:rPr>
                <w:sz w:val="1"/>
                <w:szCs w:val="1"/>
                <w:color w:val="auto"/>
              </w:rPr>
            </w:pPr>
          </w:p>
        </w:tc>
      </w:tr>
      <w:tr>
        <w:trPr>
          <w:trHeight w:val="172"/>
        </w:trPr>
        <w:tc>
          <w:tcPr>
            <w:tcW w:w="36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Vested</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(153)</w:t>
            </w: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19.48</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w:t>
            </w: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24.93</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(723)</w:t>
            </w: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22.08</w:t>
            </w:r>
          </w:p>
        </w:tc>
        <w:tc>
          <w:tcPr>
            <w:tcW w:w="0" w:type="dxa"/>
            <w:vAlign w:val="bottom"/>
          </w:tcPr>
          <w:p>
            <w:pPr>
              <w:spacing w:after="0"/>
              <w:rPr>
                <w:sz w:val="1"/>
                <w:szCs w:val="1"/>
                <w:color w:val="auto"/>
              </w:rPr>
            </w:pPr>
          </w:p>
        </w:tc>
      </w:tr>
      <w:tr>
        <w:trPr>
          <w:trHeight w:val="168"/>
        </w:trPr>
        <w:tc>
          <w:tcPr>
            <w:tcW w:w="362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Forfeited</w:t>
            </w: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(686)</w:t>
            </w:r>
          </w:p>
        </w:tc>
        <w:tc>
          <w:tcPr>
            <w:tcW w:w="24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23.44</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8"/>
              </w:rPr>
              <w:t>(325)</w:t>
            </w:r>
          </w:p>
        </w:tc>
        <w:tc>
          <w:tcPr>
            <w:tcW w:w="6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25.95</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(227)</w:t>
            </w:r>
          </w:p>
        </w:tc>
        <w:tc>
          <w:tcPr>
            <w:tcW w:w="22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21.51</w:t>
            </w:r>
          </w:p>
        </w:tc>
        <w:tc>
          <w:tcPr>
            <w:tcW w:w="0" w:type="dxa"/>
            <w:vAlign w:val="bottom"/>
          </w:tcPr>
          <w:p>
            <w:pPr>
              <w:spacing w:after="0"/>
              <w:rPr>
                <w:sz w:val="1"/>
                <w:szCs w:val="1"/>
                <w:color w:val="auto"/>
              </w:rPr>
            </w:pPr>
          </w:p>
        </w:tc>
      </w:tr>
      <w:tr>
        <w:trPr>
          <w:trHeight w:val="188"/>
        </w:trPr>
        <w:tc>
          <w:tcPr>
            <w:tcW w:w="36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Outstanding at end of year</w:t>
            </w:r>
          </w:p>
        </w:tc>
        <w:tc>
          <w:tcPr>
            <w:tcW w:w="1200" w:type="dxa"/>
            <w:vAlign w:val="bottom"/>
            <w:tcBorders>
              <w:bottom w:val="single" w:sz="8" w:color="auto"/>
            </w:tcBorders>
            <w:gridSpan w:val="2"/>
            <w:shd w:val="clear" w:color="auto" w:fill="CCEEFF"/>
          </w:tcPr>
          <w:p>
            <w:pPr>
              <w:jc w:val="right"/>
              <w:ind w:right="3"/>
              <w:spacing w:after="0"/>
              <w:rPr>
                <w:sz w:val="20"/>
                <w:szCs w:val="20"/>
                <w:color w:val="auto"/>
              </w:rPr>
            </w:pPr>
            <w:r>
              <w:rPr>
                <w:rFonts w:ascii="Arial" w:cs="Arial" w:eastAsia="Arial" w:hAnsi="Arial"/>
                <w:sz w:val="13"/>
                <w:szCs w:val="13"/>
                <w:color w:val="auto"/>
              </w:rPr>
              <w:t>554</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20.40</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584</w:t>
            </w:r>
          </w:p>
        </w:tc>
        <w:tc>
          <w:tcPr>
            <w:tcW w:w="64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22.12</w:t>
            </w: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926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24.04</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CCEEFF"/>
            </w:tcBorders>
            <w:gridSpan w:val="2"/>
            <w:vMerge w:val="restart"/>
          </w:tcPr>
          <w:p>
            <w:pPr>
              <w:jc w:val="center"/>
              <w:ind w:right="118"/>
              <w:spacing w:after="0"/>
              <w:rPr>
                <w:sz w:val="20"/>
                <w:szCs w:val="20"/>
                <w:color w:val="auto"/>
              </w:rPr>
            </w:pPr>
            <w:r>
              <w:rPr>
                <w:rFonts w:ascii="Arial" w:cs="Arial" w:eastAsia="Arial" w:hAnsi="Arial"/>
                <w:sz w:val="11"/>
                <w:szCs w:val="11"/>
                <w:b w:val="1"/>
                <w:bCs w:val="1"/>
                <w:color w:val="auto"/>
                <w:w w:val="89"/>
              </w:rPr>
              <w:t>2021</w:t>
            </w: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CCEEFF"/>
            </w:tcBorders>
            <w:gridSpan w:val="2"/>
            <w:vMerge w:val="restart"/>
          </w:tcPr>
          <w:p>
            <w:pPr>
              <w:jc w:val="right"/>
              <w:ind w:right="20"/>
              <w:spacing w:after="0"/>
              <w:rPr>
                <w:sz w:val="20"/>
                <w:szCs w:val="20"/>
                <w:color w:val="auto"/>
              </w:rPr>
            </w:pPr>
            <w:r>
              <w:rPr>
                <w:rFonts w:ascii="Arial" w:cs="Arial" w:eastAsia="Arial" w:hAnsi="Arial"/>
                <w:sz w:val="11"/>
                <w:szCs w:val="11"/>
                <w:b w:val="1"/>
                <w:bCs w:val="1"/>
                <w:color w:val="auto"/>
              </w:rPr>
              <w:t>2020</w:t>
            </w:r>
          </w:p>
        </w:tc>
        <w:tc>
          <w:tcPr>
            <w:tcW w:w="5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Arial" w:cs="Arial" w:eastAsia="Arial" w:hAnsi="Arial"/>
                <w:sz w:val="11"/>
                <w:szCs w:val="11"/>
                <w:b w:val="1"/>
                <w:bCs w:val="1"/>
                <w:color w:val="auto"/>
              </w:rPr>
              <w:t>2019</w:t>
            </w:r>
          </w:p>
        </w:tc>
        <w:tc>
          <w:tcPr>
            <w:tcW w:w="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36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2"/>
            <w:vMerge w:val="continue"/>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gridSpan w:val="2"/>
            <w:vMerge w:val="continue"/>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gridSpan w:val="2"/>
            <w:vMerge w:val="continue"/>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1"/>
        </w:trPr>
        <w:tc>
          <w:tcPr>
            <w:tcW w:w="3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300" w:type="dxa"/>
            <w:vAlign w:val="bottom"/>
            <w:gridSpan w:val="4"/>
          </w:tcPr>
          <w:p>
            <w:pPr>
              <w:jc w:val="center"/>
              <w:ind w:left="38"/>
              <w:spacing w:after="0" w:line="101" w:lineRule="exact"/>
              <w:rPr>
                <w:sz w:val="20"/>
                <w:szCs w:val="20"/>
                <w:color w:val="auto"/>
              </w:rPr>
            </w:pPr>
            <w:r>
              <w:rPr>
                <w:rFonts w:ascii="Arial" w:cs="Arial" w:eastAsia="Arial" w:hAnsi="Arial"/>
                <w:sz w:val="11"/>
                <w:szCs w:val="11"/>
                <w:b w:val="1"/>
                <w:bCs w:val="1"/>
                <w:color w:val="auto"/>
                <w:w w:val="91"/>
              </w:rPr>
              <w:t>Weighted Average</w:t>
            </w: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gridSpan w:val="3"/>
          </w:tcPr>
          <w:p>
            <w:pPr>
              <w:jc w:val="center"/>
              <w:spacing w:after="0" w:line="101" w:lineRule="exact"/>
              <w:rPr>
                <w:sz w:val="20"/>
                <w:szCs w:val="20"/>
                <w:color w:val="auto"/>
              </w:rPr>
            </w:pPr>
            <w:r>
              <w:rPr>
                <w:rFonts w:ascii="Arial" w:cs="Arial" w:eastAsia="Arial" w:hAnsi="Arial"/>
                <w:sz w:val="11"/>
                <w:szCs w:val="11"/>
                <w:b w:val="1"/>
                <w:bCs w:val="1"/>
                <w:color w:val="auto"/>
                <w:w w:val="91"/>
              </w:rPr>
              <w:t>Weighted Average</w:t>
            </w: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80" w:type="dxa"/>
            <w:vAlign w:val="bottom"/>
            <w:gridSpan w:val="2"/>
          </w:tcPr>
          <w:p>
            <w:pPr>
              <w:jc w:val="center"/>
              <w:ind w:left="21"/>
              <w:spacing w:after="0" w:line="101" w:lineRule="exact"/>
              <w:rPr>
                <w:sz w:val="20"/>
                <w:szCs w:val="20"/>
                <w:color w:val="auto"/>
              </w:rPr>
            </w:pPr>
            <w:r>
              <w:rPr>
                <w:rFonts w:ascii="Arial" w:cs="Arial" w:eastAsia="Arial" w:hAnsi="Arial"/>
                <w:sz w:val="11"/>
                <w:szCs w:val="11"/>
                <w:b w:val="1"/>
                <w:bCs w:val="1"/>
                <w:color w:val="auto"/>
                <w:w w:val="91"/>
              </w:rPr>
              <w:t>Weighted Average</w:t>
            </w:r>
          </w:p>
        </w:tc>
        <w:tc>
          <w:tcPr>
            <w:tcW w:w="0" w:type="dxa"/>
            <w:vAlign w:val="bottom"/>
          </w:tcPr>
          <w:p>
            <w:pPr>
              <w:spacing w:after="0"/>
              <w:rPr>
                <w:sz w:val="1"/>
                <w:szCs w:val="1"/>
                <w:color w:val="auto"/>
              </w:rPr>
            </w:pPr>
          </w:p>
        </w:tc>
      </w:tr>
      <w:tr>
        <w:trPr>
          <w:trHeight w:val="106"/>
        </w:trPr>
        <w:tc>
          <w:tcPr>
            <w:tcW w:w="3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20" w:type="dxa"/>
            <w:vAlign w:val="bottom"/>
            <w:gridSpan w:val="2"/>
            <w:vMerge w:val="restart"/>
          </w:tcPr>
          <w:p>
            <w:pPr>
              <w:jc w:val="right"/>
              <w:spacing w:after="0"/>
              <w:rPr>
                <w:sz w:val="20"/>
                <w:szCs w:val="20"/>
                <w:color w:val="auto"/>
              </w:rPr>
            </w:pPr>
            <w:r>
              <w:rPr>
                <w:rFonts w:ascii="Arial" w:cs="Arial" w:eastAsia="Arial" w:hAnsi="Arial"/>
                <w:sz w:val="11"/>
                <w:szCs w:val="11"/>
                <w:b w:val="1"/>
                <w:bCs w:val="1"/>
                <w:color w:val="auto"/>
              </w:rPr>
              <w:t>Number</w:t>
            </w:r>
          </w:p>
        </w:tc>
        <w:tc>
          <w:tcPr>
            <w:tcW w:w="380" w:type="dxa"/>
            <w:vAlign w:val="bottom"/>
          </w:tcPr>
          <w:p>
            <w:pPr>
              <w:spacing w:after="0"/>
              <w:rPr>
                <w:sz w:val="9"/>
                <w:szCs w:val="9"/>
                <w:color w:val="auto"/>
              </w:rPr>
            </w:pPr>
          </w:p>
        </w:tc>
        <w:tc>
          <w:tcPr>
            <w:tcW w:w="1620" w:type="dxa"/>
            <w:vAlign w:val="bottom"/>
            <w:gridSpan w:val="6"/>
          </w:tcPr>
          <w:p>
            <w:pPr>
              <w:jc w:val="center"/>
              <w:ind w:right="220"/>
              <w:spacing w:after="0" w:line="106" w:lineRule="exact"/>
              <w:rPr>
                <w:sz w:val="20"/>
                <w:szCs w:val="20"/>
                <w:color w:val="auto"/>
              </w:rPr>
            </w:pPr>
            <w:r>
              <w:rPr>
                <w:rFonts w:ascii="Arial" w:cs="Arial" w:eastAsia="Arial" w:hAnsi="Arial"/>
                <w:sz w:val="11"/>
                <w:szCs w:val="11"/>
                <w:b w:val="1"/>
                <w:bCs w:val="1"/>
                <w:color w:val="auto"/>
                <w:w w:val="95"/>
              </w:rPr>
              <w:t>Milestone Date Fair</w:t>
            </w:r>
          </w:p>
        </w:tc>
        <w:tc>
          <w:tcPr>
            <w:tcW w:w="1060" w:type="dxa"/>
            <w:vAlign w:val="bottom"/>
            <w:gridSpan w:val="3"/>
            <w:vMerge w:val="restart"/>
          </w:tcPr>
          <w:p>
            <w:pPr>
              <w:jc w:val="center"/>
              <w:ind w:right="300"/>
              <w:spacing w:after="0"/>
              <w:rPr>
                <w:sz w:val="20"/>
                <w:szCs w:val="20"/>
                <w:color w:val="auto"/>
              </w:rPr>
            </w:pPr>
            <w:r>
              <w:rPr>
                <w:rFonts w:ascii="Arial" w:cs="Arial" w:eastAsia="Arial" w:hAnsi="Arial"/>
                <w:sz w:val="11"/>
                <w:szCs w:val="11"/>
                <w:b w:val="1"/>
                <w:bCs w:val="1"/>
                <w:color w:val="auto"/>
                <w:w w:val="96"/>
              </w:rPr>
              <w:t>Number</w:t>
            </w:r>
          </w:p>
        </w:tc>
        <w:tc>
          <w:tcPr>
            <w:tcW w:w="1000" w:type="dxa"/>
            <w:vAlign w:val="bottom"/>
            <w:gridSpan w:val="3"/>
          </w:tcPr>
          <w:p>
            <w:pPr>
              <w:jc w:val="center"/>
              <w:spacing w:after="0" w:line="106" w:lineRule="exact"/>
              <w:rPr>
                <w:sz w:val="20"/>
                <w:szCs w:val="20"/>
                <w:color w:val="auto"/>
              </w:rPr>
            </w:pPr>
            <w:r>
              <w:rPr>
                <w:rFonts w:ascii="Arial" w:cs="Arial" w:eastAsia="Arial" w:hAnsi="Arial"/>
                <w:sz w:val="11"/>
                <w:szCs w:val="11"/>
                <w:b w:val="1"/>
                <w:bCs w:val="1"/>
                <w:color w:val="auto"/>
                <w:w w:val="92"/>
              </w:rPr>
              <w:t>Milestone Date</w:t>
            </w:r>
          </w:p>
        </w:tc>
        <w:tc>
          <w:tcPr>
            <w:tcW w:w="100" w:type="dxa"/>
            <w:vAlign w:val="bottom"/>
          </w:tcPr>
          <w:p>
            <w:pPr>
              <w:spacing w:after="0"/>
              <w:rPr>
                <w:sz w:val="9"/>
                <w:szCs w:val="9"/>
                <w:color w:val="auto"/>
              </w:rPr>
            </w:pPr>
          </w:p>
        </w:tc>
        <w:tc>
          <w:tcPr>
            <w:tcW w:w="760" w:type="dxa"/>
            <w:vAlign w:val="bottom"/>
            <w:vMerge w:val="restart"/>
          </w:tcPr>
          <w:p>
            <w:pPr>
              <w:jc w:val="right"/>
              <w:ind w:right="23"/>
              <w:spacing w:after="0"/>
              <w:rPr>
                <w:sz w:val="20"/>
                <w:szCs w:val="20"/>
                <w:color w:val="auto"/>
              </w:rPr>
            </w:pPr>
            <w:r>
              <w:rPr>
                <w:rFonts w:ascii="Arial" w:cs="Arial" w:eastAsia="Arial" w:hAnsi="Arial"/>
                <w:sz w:val="11"/>
                <w:szCs w:val="11"/>
                <w:b w:val="1"/>
                <w:bCs w:val="1"/>
                <w:color w:val="auto"/>
              </w:rPr>
              <w:t>Number</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jc w:val="center"/>
              <w:ind w:right="38"/>
              <w:spacing w:after="0" w:line="106" w:lineRule="exact"/>
              <w:rPr>
                <w:sz w:val="20"/>
                <w:szCs w:val="20"/>
                <w:color w:val="auto"/>
              </w:rPr>
            </w:pPr>
            <w:r>
              <w:rPr>
                <w:rFonts w:ascii="Arial" w:cs="Arial" w:eastAsia="Arial" w:hAnsi="Arial"/>
                <w:sz w:val="11"/>
                <w:szCs w:val="11"/>
                <w:b w:val="1"/>
                <w:bCs w:val="1"/>
                <w:color w:val="auto"/>
                <w:w w:val="95"/>
              </w:rPr>
              <w:t>Milestone Date</w:t>
            </w:r>
          </w:p>
        </w:tc>
        <w:tc>
          <w:tcPr>
            <w:tcW w:w="0" w:type="dxa"/>
            <w:vAlign w:val="bottom"/>
          </w:tcPr>
          <w:p>
            <w:pPr>
              <w:spacing w:after="0"/>
              <w:rPr>
                <w:sz w:val="1"/>
                <w:szCs w:val="1"/>
                <w:color w:val="auto"/>
              </w:rPr>
            </w:pPr>
          </w:p>
        </w:tc>
      </w:tr>
      <w:tr>
        <w:trPr>
          <w:trHeight w:val="149"/>
        </w:trPr>
        <w:tc>
          <w:tcPr>
            <w:tcW w:w="3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20" w:type="dxa"/>
            <w:vAlign w:val="bottom"/>
            <w:tcBorders>
              <w:bottom w:val="single" w:sz="8" w:color="auto"/>
            </w:tcBorders>
            <w:gridSpan w:val="2"/>
            <w:vMerge w:val="continue"/>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3"/>
          </w:tcPr>
          <w:p>
            <w:pPr>
              <w:jc w:val="center"/>
              <w:ind w:left="438"/>
              <w:spacing w:after="0" w:line="149" w:lineRule="exact"/>
              <w:rPr>
                <w:sz w:val="20"/>
                <w:szCs w:val="20"/>
                <w:color w:val="auto"/>
              </w:rPr>
            </w:pPr>
            <w:r>
              <w:rPr>
                <w:rFonts w:ascii="Arial" w:cs="Arial" w:eastAsia="Arial" w:hAnsi="Arial"/>
                <w:sz w:val="11"/>
                <w:szCs w:val="11"/>
                <w:b w:val="1"/>
                <w:bCs w:val="1"/>
                <w:color w:val="auto"/>
                <w:w w:val="88"/>
              </w:rPr>
              <w:t>Value</w:t>
            </w:r>
            <w:r>
              <w:rPr>
                <w:rFonts w:ascii="Arial" w:cs="Arial" w:eastAsia="Arial" w:hAnsi="Arial"/>
                <w:sz w:val="14"/>
                <w:szCs w:val="14"/>
                <w:b w:val="1"/>
                <w:bCs w:val="1"/>
                <w:color w:val="auto"/>
                <w:w w:val="88"/>
                <w:vertAlign w:val="superscript"/>
              </w:rPr>
              <w:t>(a)</w:t>
            </w:r>
          </w:p>
        </w:tc>
        <w:tc>
          <w:tcPr>
            <w:tcW w:w="4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3"/>
            <w:vMerge w:val="continue"/>
          </w:tcPr>
          <w:p>
            <w:pPr>
              <w:spacing w:after="0"/>
              <w:rPr>
                <w:sz w:val="12"/>
                <w:szCs w:val="12"/>
                <w:color w:val="auto"/>
              </w:rPr>
            </w:pPr>
          </w:p>
        </w:tc>
        <w:tc>
          <w:tcPr>
            <w:tcW w:w="1000" w:type="dxa"/>
            <w:vAlign w:val="bottom"/>
            <w:tcBorders>
              <w:bottom w:val="single" w:sz="8" w:color="auto"/>
            </w:tcBorders>
            <w:gridSpan w:val="3"/>
          </w:tcPr>
          <w:p>
            <w:pPr>
              <w:jc w:val="center"/>
              <w:spacing w:after="0" w:line="149" w:lineRule="exact"/>
              <w:rPr>
                <w:sz w:val="20"/>
                <w:szCs w:val="20"/>
                <w:color w:val="auto"/>
              </w:rPr>
            </w:pPr>
            <w:r>
              <w:rPr>
                <w:rFonts w:ascii="Arial" w:cs="Arial" w:eastAsia="Arial" w:hAnsi="Arial"/>
                <w:sz w:val="11"/>
                <w:szCs w:val="11"/>
                <w:b w:val="1"/>
                <w:bCs w:val="1"/>
                <w:color w:val="auto"/>
                <w:w w:val="93"/>
              </w:rPr>
              <w:t>Fair Value</w:t>
            </w:r>
            <w:r>
              <w:rPr>
                <w:rFonts w:ascii="Arial" w:cs="Arial" w:eastAsia="Arial" w:hAnsi="Arial"/>
                <w:sz w:val="14"/>
                <w:szCs w:val="14"/>
                <w:b w:val="1"/>
                <w:bCs w:val="1"/>
                <w:color w:val="auto"/>
                <w:w w:val="93"/>
                <w:vertAlign w:val="superscript"/>
              </w:rPr>
              <w:t>(a)</w:t>
            </w: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vMerge w:val="continue"/>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center"/>
              <w:ind w:right="38"/>
              <w:spacing w:after="0" w:line="149" w:lineRule="exact"/>
              <w:rPr>
                <w:sz w:val="20"/>
                <w:szCs w:val="20"/>
                <w:color w:val="auto"/>
              </w:rPr>
            </w:pPr>
            <w:r>
              <w:rPr>
                <w:rFonts w:ascii="Arial" w:cs="Arial" w:eastAsia="Arial" w:hAnsi="Arial"/>
                <w:sz w:val="11"/>
                <w:szCs w:val="11"/>
                <w:b w:val="1"/>
                <w:bCs w:val="1"/>
                <w:color w:val="auto"/>
                <w:w w:val="90"/>
              </w:rPr>
              <w:t>Fair Value</w:t>
            </w:r>
            <w:r>
              <w:rPr>
                <w:rFonts w:ascii="Arial" w:cs="Arial" w:eastAsia="Arial" w:hAnsi="Arial"/>
                <w:sz w:val="14"/>
                <w:szCs w:val="14"/>
                <w:b w:val="1"/>
                <w:bCs w:val="1"/>
                <w:color w:val="auto"/>
                <w:w w:val="90"/>
                <w:vertAlign w:val="superscript"/>
              </w:rPr>
              <w:t>(a)</w:t>
            </w:r>
          </w:p>
        </w:tc>
        <w:tc>
          <w:tcPr>
            <w:tcW w:w="0" w:type="dxa"/>
            <w:vAlign w:val="bottom"/>
          </w:tcPr>
          <w:p>
            <w:pPr>
              <w:spacing w:after="0"/>
              <w:rPr>
                <w:sz w:val="1"/>
                <w:szCs w:val="1"/>
                <w:color w:val="auto"/>
              </w:rPr>
            </w:pPr>
          </w:p>
        </w:tc>
      </w:tr>
      <w:tr>
        <w:trPr>
          <w:trHeight w:val="123"/>
        </w:trPr>
        <w:tc>
          <w:tcPr>
            <w:tcW w:w="3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780" w:type="dxa"/>
            <w:vAlign w:val="bottom"/>
            <w:gridSpan w:val="9"/>
          </w:tcPr>
          <w:p>
            <w:pPr>
              <w:jc w:val="right"/>
              <w:ind w:right="216"/>
              <w:spacing w:after="0"/>
              <w:rPr>
                <w:sz w:val="20"/>
                <w:szCs w:val="20"/>
                <w:color w:val="auto"/>
              </w:rPr>
            </w:pPr>
            <w:r>
              <w:rPr>
                <w:rFonts w:ascii="Arial" w:cs="Arial" w:eastAsia="Arial" w:hAnsi="Arial"/>
                <w:sz w:val="10"/>
                <w:szCs w:val="10"/>
                <w:b w:val="1"/>
                <w:bCs w:val="1"/>
                <w:color w:val="auto"/>
              </w:rPr>
              <w:t>(In thousands, except weighted average fair values)</w:t>
            </w: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3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Liability-based RSUs:</w:t>
            </w:r>
          </w:p>
        </w:tc>
        <w:tc>
          <w:tcPr>
            <w:tcW w:w="6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3620" w:type="dxa"/>
            <w:vAlign w:val="bottom"/>
          </w:tcPr>
          <w:p>
            <w:pPr>
              <w:ind w:left="120"/>
              <w:spacing w:after="0"/>
              <w:rPr>
                <w:sz w:val="20"/>
                <w:szCs w:val="20"/>
                <w:color w:val="auto"/>
              </w:rPr>
            </w:pPr>
            <w:r>
              <w:rPr>
                <w:rFonts w:ascii="Arial" w:cs="Arial" w:eastAsia="Arial" w:hAnsi="Arial"/>
                <w:sz w:val="13"/>
                <w:szCs w:val="13"/>
                <w:color w:val="auto"/>
              </w:rPr>
              <w:t>Outstanding at beginning of year</w:t>
            </w: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267</w:t>
            </w:r>
          </w:p>
        </w:tc>
        <w:tc>
          <w:tcPr>
            <w:tcW w:w="660" w:type="dxa"/>
            <w:vAlign w:val="bottom"/>
          </w:tcPr>
          <w:p>
            <w:pPr>
              <w:jc w:val="right"/>
              <w:ind w:right="418"/>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w w:val="98"/>
              </w:rPr>
              <w:t>19.35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143</w:t>
            </w:r>
          </w:p>
        </w:tc>
        <w:tc>
          <w:tcPr>
            <w:tcW w:w="80" w:type="dxa"/>
            <w:vAlign w:val="bottom"/>
          </w:tcPr>
          <w:p>
            <w:pPr>
              <w:spacing w:after="0"/>
              <w:rPr>
                <w:sz w:val="14"/>
                <w:szCs w:val="14"/>
                <w:color w:val="auto"/>
              </w:rPr>
            </w:pPr>
          </w:p>
        </w:tc>
        <w:tc>
          <w:tcPr>
            <w:tcW w:w="580" w:type="dxa"/>
            <w:vAlign w:val="bottom"/>
          </w:tcPr>
          <w:p>
            <w:pPr>
              <w:jc w:val="right"/>
              <w:ind w:right="438"/>
              <w:spacing w:after="0"/>
              <w:rPr>
                <w:sz w:val="20"/>
                <w:szCs w:val="20"/>
                <w:color w:val="auto"/>
              </w:rPr>
            </w:pPr>
            <w:r>
              <w:rPr>
                <w:rFonts w:ascii="Arial" w:cs="Arial" w:eastAsia="Arial" w:hAnsi="Arial"/>
                <w:sz w:val="13"/>
                <w:szCs w:val="13"/>
                <w:color w:val="auto"/>
                <w:w w:val="82"/>
              </w:rPr>
              <w:t>$</w:t>
            </w:r>
          </w:p>
        </w:tc>
        <w:tc>
          <w:tcPr>
            <w:tcW w:w="420" w:type="dxa"/>
            <w:vAlign w:val="bottom"/>
            <w:gridSpan w:val="2"/>
          </w:tcPr>
          <w:p>
            <w:pPr>
              <w:jc w:val="right"/>
              <w:spacing w:after="0"/>
              <w:rPr>
                <w:sz w:val="20"/>
                <w:szCs w:val="20"/>
                <w:color w:val="auto"/>
              </w:rPr>
            </w:pPr>
            <w:r>
              <w:rPr>
                <w:rFonts w:ascii="Arial" w:cs="Arial" w:eastAsia="Arial" w:hAnsi="Arial"/>
                <w:sz w:val="13"/>
                <w:szCs w:val="13"/>
                <w:color w:val="auto"/>
              </w:rPr>
              <w:t>32.97</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36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Transferred from equity-based awards</w:t>
            </w:r>
          </w:p>
        </w:tc>
        <w:tc>
          <w:tcPr>
            <w:tcW w:w="6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23.53</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26.91</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36</w:t>
            </w: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14.77</w:t>
            </w:r>
          </w:p>
        </w:tc>
        <w:tc>
          <w:tcPr>
            <w:tcW w:w="0" w:type="dxa"/>
            <w:vAlign w:val="bottom"/>
          </w:tcPr>
          <w:p>
            <w:pPr>
              <w:spacing w:after="0"/>
              <w:rPr>
                <w:sz w:val="1"/>
                <w:szCs w:val="1"/>
                <w:color w:val="auto"/>
              </w:rPr>
            </w:pPr>
          </w:p>
        </w:tc>
      </w:tr>
      <w:tr>
        <w:trPr>
          <w:trHeight w:val="168"/>
        </w:trPr>
        <w:tc>
          <w:tcPr>
            <w:tcW w:w="3620" w:type="dxa"/>
            <w:vAlign w:val="bottom"/>
          </w:tcPr>
          <w:p>
            <w:pPr>
              <w:ind w:left="120"/>
              <w:spacing w:after="0"/>
              <w:rPr>
                <w:sz w:val="20"/>
                <w:szCs w:val="20"/>
                <w:color w:val="auto"/>
              </w:rPr>
            </w:pPr>
            <w:r>
              <w:rPr>
                <w:rFonts w:ascii="Arial" w:cs="Arial" w:eastAsia="Arial" w:hAnsi="Arial"/>
                <w:sz w:val="13"/>
                <w:szCs w:val="13"/>
                <w:color w:val="auto"/>
              </w:rPr>
              <w:t>Granted</w:t>
            </w: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358</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w w:val="98"/>
              </w:rPr>
              <w:t>21.61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135</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gridSpan w:val="2"/>
          </w:tcPr>
          <w:p>
            <w:pPr>
              <w:jc w:val="right"/>
              <w:spacing w:after="0"/>
              <w:rPr>
                <w:sz w:val="20"/>
                <w:szCs w:val="20"/>
                <w:color w:val="auto"/>
              </w:rPr>
            </w:pPr>
            <w:r>
              <w:rPr>
                <w:rFonts w:ascii="Arial" w:cs="Arial" w:eastAsia="Arial" w:hAnsi="Arial"/>
                <w:sz w:val="13"/>
                <w:szCs w:val="13"/>
                <w:color w:val="auto"/>
              </w:rPr>
              <w:t>29.47</w:t>
            </w:r>
          </w:p>
        </w:tc>
        <w:tc>
          <w:tcPr>
            <w:tcW w:w="1080" w:type="dxa"/>
            <w:vAlign w:val="bottom"/>
            <w:gridSpan w:val="3"/>
          </w:tcPr>
          <w:p>
            <w:pPr>
              <w:jc w:val="right"/>
              <w:spacing w:after="0"/>
              <w:rPr>
                <w:sz w:val="20"/>
                <w:szCs w:val="20"/>
                <w:color w:val="auto"/>
              </w:rPr>
            </w:pPr>
            <w:r>
              <w:rPr>
                <w:rFonts w:ascii="Arial" w:cs="Arial" w:eastAsia="Arial" w:hAnsi="Arial"/>
                <w:sz w:val="13"/>
                <w:szCs w:val="13"/>
                <w:color w:val="auto"/>
              </w:rPr>
              <w:t>110</w:t>
            </w: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16.47</w:t>
            </w:r>
          </w:p>
        </w:tc>
        <w:tc>
          <w:tcPr>
            <w:tcW w:w="0" w:type="dxa"/>
            <w:vAlign w:val="bottom"/>
          </w:tcPr>
          <w:p>
            <w:pPr>
              <w:spacing w:after="0"/>
              <w:rPr>
                <w:sz w:val="1"/>
                <w:szCs w:val="1"/>
                <w:color w:val="auto"/>
              </w:rPr>
            </w:pPr>
          </w:p>
        </w:tc>
      </w:tr>
      <w:tr>
        <w:trPr>
          <w:trHeight w:val="172"/>
        </w:trPr>
        <w:tc>
          <w:tcPr>
            <w:tcW w:w="36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Vested</w:t>
            </w:r>
          </w:p>
        </w:tc>
        <w:tc>
          <w:tcPr>
            <w:tcW w:w="6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w:t>
            </w: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20.10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(211)</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16.04</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26.86</w:t>
            </w:r>
          </w:p>
        </w:tc>
        <w:tc>
          <w:tcPr>
            <w:tcW w:w="0" w:type="dxa"/>
            <w:vAlign w:val="bottom"/>
          </w:tcPr>
          <w:p>
            <w:pPr>
              <w:spacing w:after="0"/>
              <w:rPr>
                <w:sz w:val="1"/>
                <w:szCs w:val="1"/>
                <w:color w:val="auto"/>
              </w:rPr>
            </w:pPr>
          </w:p>
        </w:tc>
      </w:tr>
      <w:tr>
        <w:trPr>
          <w:trHeight w:val="168"/>
        </w:trPr>
        <w:tc>
          <w:tcPr>
            <w:tcW w:w="362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Forfeited</w:t>
            </w:r>
          </w:p>
        </w:tc>
        <w:tc>
          <w:tcPr>
            <w:tcW w:w="62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36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Outstanding at end of year</w:t>
            </w:r>
          </w:p>
        </w:tc>
        <w:tc>
          <w:tcPr>
            <w:tcW w:w="6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574</w:t>
            </w:r>
          </w:p>
        </w:tc>
        <w:tc>
          <w:tcPr>
            <w:tcW w:w="660" w:type="dxa"/>
            <w:vAlign w:val="bottom"/>
            <w:shd w:val="clear" w:color="auto" w:fill="CCEEFF"/>
          </w:tcPr>
          <w:p>
            <w:pPr>
              <w:jc w:val="right"/>
              <w:ind w:right="418"/>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27.55</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267</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438"/>
              <w:spacing w:after="0"/>
              <w:rPr>
                <w:sz w:val="20"/>
                <w:szCs w:val="20"/>
                <w:color w:val="auto"/>
              </w:rPr>
            </w:pPr>
            <w:r>
              <w:rPr>
                <w:rFonts w:ascii="Arial" w:cs="Arial" w:eastAsia="Arial" w:hAnsi="Arial"/>
                <w:sz w:val="13"/>
                <w:szCs w:val="13"/>
                <w:color w:val="auto"/>
                <w:w w:val="82"/>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19.35</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143</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32.97</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520" w:hanging="515"/>
        <w:spacing w:after="0" w:line="267" w:lineRule="auto"/>
        <w:tabs>
          <w:tab w:leader="none" w:pos="254" w:val="left"/>
        </w:tabs>
        <w:numPr>
          <w:ilvl w:val="0"/>
          <w:numId w:val="37"/>
        </w:numPr>
        <w:rPr>
          <w:rFonts w:ascii="Arial" w:cs="Arial" w:eastAsia="Arial" w:hAnsi="Arial"/>
          <w:sz w:val="11"/>
          <w:szCs w:val="11"/>
          <w:color w:val="auto"/>
        </w:rPr>
      </w:pPr>
      <w:r>
        <w:rPr>
          <w:rFonts w:ascii="Arial" w:cs="Arial" w:eastAsia="Arial" w:hAnsi="Arial"/>
          <w:sz w:val="11"/>
          <w:szCs w:val="11"/>
          <w:color w:val="auto"/>
        </w:rPr>
        <w:t>The milestone date fair value is either the closing price of the Company’s common stock on the grant date for equity-based awards or the closing price of a share of the Company’s common stock on the respective milestone date for cash-based liability-based awards (i.e., grant date, vesting date, forfeiture date or financial reporting date).</w:t>
      </w:r>
    </w:p>
    <w:p>
      <w:pPr>
        <w:spacing w:after="0" w:line="100" w:lineRule="exact"/>
        <w:rPr>
          <w:sz w:val="20"/>
          <w:szCs w:val="20"/>
          <w:color w:val="auto"/>
        </w:rPr>
      </w:pPr>
    </w:p>
    <w:p>
      <w:pPr>
        <w:jc w:val="both"/>
        <w:ind w:firstLine="509"/>
        <w:spacing w:after="0" w:line="281" w:lineRule="auto"/>
        <w:rPr>
          <w:sz w:val="20"/>
          <w:szCs w:val="20"/>
          <w:color w:val="auto"/>
        </w:rPr>
      </w:pPr>
      <w:r>
        <w:rPr>
          <w:rFonts w:ascii="Arial" w:cs="Arial" w:eastAsia="Arial" w:hAnsi="Arial"/>
          <w:sz w:val="14"/>
          <w:szCs w:val="14"/>
          <w:color w:val="auto"/>
        </w:rPr>
        <w:t>The total fair values of equity-based awards and liability-based awards vested during 2021 were $3.0 million and $1.2 million, respectively. The total fair values of equity-based awards and liability-based awards vested during 2020 were $2.5 million and $3.0 million, respectively.</w:t>
      </w:r>
    </w:p>
    <w:p>
      <w:pPr>
        <w:spacing w:after="0" w:line="90"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4"/>
          <w:szCs w:val="14"/>
          <w:color w:val="auto"/>
        </w:rPr>
        <w:t>As of December 26, 2021, the total unrecognized compensation cost related to all nonvested equity-based awards was $14.9 million. This cost is expected to be recognized over a weighted average period of 2.35 years. As of December 26, 2021, the total unrecognized compensation cost related to all nonvested liability-based awards was $11.1 million. This cost is expected to be recognized over a weighted average period of 1.90 years.</w:t>
      </w:r>
    </w:p>
    <w:p>
      <w:pPr>
        <w:spacing w:after="0" w:line="99" w:lineRule="exact"/>
        <w:rPr>
          <w:sz w:val="20"/>
          <w:szCs w:val="20"/>
          <w:color w:val="auto"/>
        </w:rPr>
      </w:pPr>
    </w:p>
    <w:p>
      <w:pPr>
        <w:ind w:left="520"/>
        <w:spacing w:after="0"/>
        <w:rPr>
          <w:sz w:val="20"/>
          <w:szCs w:val="20"/>
          <w:color w:val="auto"/>
        </w:rPr>
      </w:pPr>
      <w:r>
        <w:rPr>
          <w:rFonts w:ascii="Arial" w:cs="Arial" w:eastAsia="Arial" w:hAnsi="Arial"/>
          <w:sz w:val="14"/>
          <w:szCs w:val="14"/>
          <w:color w:val="auto"/>
        </w:rPr>
        <w:t>Historically, we have issued new shares, as opposed to treasury shares, to satisfy equity-based award conversions.</w:t>
      </w:r>
    </w:p>
    <w:p>
      <w:pPr>
        <w:spacing w:after="0" w:line="132"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b w:val="1"/>
          <w:bCs w:val="1"/>
          <w:color w:val="auto"/>
        </w:rPr>
        <w:t>17.</w:t>
        <w:tab/>
        <w:t>FAIR VALUE MEASUREMENTS</w:t>
      </w:r>
    </w:p>
    <w:p>
      <w:pPr>
        <w:spacing w:after="0" w:line="140" w:lineRule="exact"/>
        <w:rPr>
          <w:sz w:val="20"/>
          <w:szCs w:val="20"/>
          <w:color w:val="auto"/>
        </w:rPr>
      </w:pPr>
    </w:p>
    <w:p>
      <w:pPr>
        <w:jc w:val="both"/>
        <w:ind w:firstLine="509"/>
        <w:spacing w:after="0" w:line="281" w:lineRule="auto"/>
        <w:rPr>
          <w:sz w:val="20"/>
          <w:szCs w:val="20"/>
          <w:color w:val="auto"/>
        </w:rPr>
      </w:pPr>
      <w:r>
        <w:rPr>
          <w:rFonts w:ascii="Arial" w:cs="Arial" w:eastAsia="Arial" w:hAnsi="Arial"/>
          <w:sz w:val="14"/>
          <w:szCs w:val="14"/>
          <w:color w:val="auto"/>
        </w:rPr>
        <w:t>Fair value is an exit price, representing the amount that would be received to sell an asset or paid to transfer a liability in an orderly transaction between market participants. Assets and liabilities measured at fair value must be categorized into one of three different levels depending on the assumptions (i.e., inputs) used in the valuation:</w:t>
      </w:r>
    </w:p>
    <w:p>
      <w:pPr>
        <w:sectPr>
          <w:pgSz w:w="11900" w:h="16838" w:orient="portrait"/>
          <w:cols w:equalWidth="0" w:num="1">
            <w:col w:w="11280"/>
          </w:cols>
          <w:pgMar w:left="300" w:top="129" w:right="319" w:bottom="1440" w:gutter="0" w:footer="0" w:header="0"/>
        </w:sectPr>
      </w:pPr>
    </w:p>
    <w:p>
      <w:pPr>
        <w:spacing w:after="0" w:line="196" w:lineRule="exact"/>
        <w:rPr>
          <w:sz w:val="20"/>
          <w:szCs w:val="20"/>
          <w:color w:val="auto"/>
        </w:rPr>
      </w:pPr>
    </w:p>
    <w:p>
      <w:pPr>
        <w:ind w:left="20"/>
        <w:spacing w:after="0"/>
        <w:rPr>
          <w:sz w:val="20"/>
          <w:szCs w:val="20"/>
          <w:color w:val="auto"/>
        </w:rPr>
      </w:pPr>
      <w:r>
        <w:rPr>
          <w:rFonts w:ascii="Arial" w:cs="Arial" w:eastAsia="Arial" w:hAnsi="Arial"/>
          <w:sz w:val="13"/>
          <w:szCs w:val="13"/>
          <w:color w:val="auto"/>
        </w:rPr>
        <w:t>Level 1</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rPr>
          <w:sz w:val="20"/>
          <w:szCs w:val="20"/>
          <w:color w:val="auto"/>
        </w:rPr>
      </w:pPr>
      <w:r>
        <w:rPr>
          <w:rFonts w:ascii="Arial" w:cs="Arial" w:eastAsia="Arial" w:hAnsi="Arial"/>
          <w:sz w:val="12"/>
          <w:szCs w:val="12"/>
          <w:color w:val="auto"/>
        </w:rPr>
        <w:t>Unadjusted quoted prices in active markets for identical assets or liabilities;</w:t>
      </w:r>
    </w:p>
    <w:p>
      <w:pPr>
        <w:spacing w:after="0" w:line="84" w:lineRule="exact"/>
        <w:rPr>
          <w:sz w:val="20"/>
          <w:szCs w:val="20"/>
          <w:color w:val="auto"/>
        </w:rPr>
      </w:pPr>
    </w:p>
    <w:p>
      <w:pPr>
        <w:sectPr>
          <w:pgSz w:w="11900" w:h="16838" w:orient="portrait"/>
          <w:cols w:equalWidth="0" w:num="2">
            <w:col w:w="440" w:space="540"/>
            <w:col w:w="10300"/>
          </w:cols>
          <w:pgMar w:left="300" w:top="129" w:right="319" w:bottom="1440" w:gutter="0" w:footer="0" w:header="0"/>
          <w:type w:val="continuous"/>
        </w:sectPr>
      </w:pPr>
    </w:p>
    <w:p>
      <w:pPr>
        <w:ind w:left="20"/>
        <w:spacing w:after="0"/>
        <w:rPr>
          <w:sz w:val="20"/>
          <w:szCs w:val="20"/>
          <w:color w:val="auto"/>
        </w:rPr>
      </w:pPr>
      <w:r>
        <w:rPr>
          <w:rFonts w:ascii="Arial" w:cs="Arial" w:eastAsia="Arial" w:hAnsi="Arial"/>
          <w:sz w:val="13"/>
          <w:szCs w:val="13"/>
          <w:color w:val="auto"/>
        </w:rPr>
        <w:t>Level 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Quoted prices in active markets for similar assets and liabilities and inputs that are observable for the asset or liability; or</w:t>
      </w:r>
    </w:p>
    <w:p>
      <w:pPr>
        <w:spacing w:after="0" w:line="84" w:lineRule="exact"/>
        <w:rPr>
          <w:sz w:val="20"/>
          <w:szCs w:val="20"/>
          <w:color w:val="auto"/>
        </w:rPr>
      </w:pPr>
    </w:p>
    <w:p>
      <w:pPr>
        <w:sectPr>
          <w:pgSz w:w="11900" w:h="16838" w:orient="portrait"/>
          <w:cols w:equalWidth="0" w:num="2">
            <w:col w:w="440" w:space="540"/>
            <w:col w:w="10300"/>
          </w:cols>
          <w:pgMar w:left="300" w:top="129" w:right="319" w:bottom="1440" w:gutter="0" w:footer="0" w:header="0"/>
          <w:type w:val="continuous"/>
        </w:sectPr>
      </w:pPr>
    </w:p>
    <w:p>
      <w:pPr>
        <w:ind w:left="20"/>
        <w:spacing w:after="0"/>
        <w:rPr>
          <w:sz w:val="20"/>
          <w:szCs w:val="20"/>
          <w:color w:val="auto"/>
        </w:rPr>
      </w:pPr>
      <w:r>
        <w:rPr>
          <w:rFonts w:ascii="Arial" w:cs="Arial" w:eastAsia="Arial" w:hAnsi="Arial"/>
          <w:sz w:val="13"/>
          <w:szCs w:val="13"/>
          <w:color w:val="auto"/>
        </w:rPr>
        <w:t>Level 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Unobservable inputs, such as discounted cash flow models or valuations.</w:t>
      </w:r>
    </w:p>
    <w:p>
      <w:pPr>
        <w:spacing w:after="0" w:line="159" w:lineRule="exact"/>
        <w:rPr>
          <w:sz w:val="20"/>
          <w:szCs w:val="20"/>
          <w:color w:val="auto"/>
        </w:rPr>
      </w:pPr>
    </w:p>
    <w:p>
      <w:pPr>
        <w:sectPr>
          <w:pgSz w:w="11900" w:h="16838" w:orient="portrait"/>
          <w:cols w:equalWidth="0" w:num="2">
            <w:col w:w="440" w:space="540"/>
            <w:col w:w="10300"/>
          </w:cols>
          <w:pgMar w:left="300" w:top="129" w:right="319" w:bottom="1440" w:gutter="0" w:footer="0" w:header="0"/>
          <w:type w:val="continuous"/>
        </w:sectPr>
      </w:pPr>
    </w:p>
    <w:p>
      <w:pPr>
        <w:ind w:left="520"/>
        <w:spacing w:after="0"/>
        <w:rPr>
          <w:sz w:val="20"/>
          <w:szCs w:val="20"/>
          <w:color w:val="auto"/>
        </w:rPr>
      </w:pPr>
      <w:r>
        <w:rPr>
          <w:rFonts w:ascii="Arial" w:cs="Arial" w:eastAsia="Arial" w:hAnsi="Arial"/>
          <w:sz w:val="12"/>
          <w:szCs w:val="12"/>
          <w:color w:val="auto"/>
        </w:rPr>
        <w:t>The determination of where assets and liabilities fall within this hierarchy is based upon the lowest level of input that is significant to the fair value measurement in its entirety.</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type w:val="continuous"/>
        </w:sectPr>
      </w:pPr>
    </w:p>
    <w:bookmarkStart w:id="87" w:name="page88"/>
    <w:bookmarkEnd w:id="8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NOTES TO CONSOLIDATED FINANCIAL STATEMENTS</w:t>
      </w:r>
    </w:p>
    <w:p>
      <w:pPr>
        <w:spacing w:after="0" w:line="391"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4"/>
          <w:szCs w:val="14"/>
          <w:color w:val="auto"/>
        </w:rPr>
        <w:t>As of December 26, 2021 and December 27, 2020, the Company held derivative assets and liabilities that were required to be measured at fair value on a recurring basis. Derivative assets and liabilities consist of long and short positions on exchange-traded commodity futures instruments, commodity options instruments, sales contracts instruments, foreign currency instruments to manage translation and remeasurement risk and interest rate swap instruments.</w:t>
      </w:r>
    </w:p>
    <w:p>
      <w:pPr>
        <w:spacing w:after="0" w:line="99"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following items were measured at fair value on a recurring basis: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35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center"/>
              <w:ind w:right="379"/>
              <w:spacing w:after="0"/>
              <w:rPr>
                <w:sz w:val="20"/>
                <w:szCs w:val="20"/>
                <w:color w:val="auto"/>
              </w:rPr>
            </w:pPr>
            <w:r>
              <w:rPr>
                <w:rFonts w:ascii="Arial" w:cs="Arial" w:eastAsia="Arial" w:hAnsi="Arial"/>
                <w:sz w:val="11"/>
                <w:szCs w:val="11"/>
                <w:b w:val="1"/>
                <w:bCs w:val="1"/>
                <w:color w:val="auto"/>
                <w:w w:val="92"/>
              </w:rPr>
              <w:t>December 26, 2021</w:t>
            </w:r>
          </w:p>
        </w:tc>
        <w:tc>
          <w:tcPr>
            <w:tcW w:w="9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center"/>
              <w:ind w:right="419"/>
              <w:spacing w:after="0"/>
              <w:rPr>
                <w:sz w:val="20"/>
                <w:szCs w:val="20"/>
                <w:color w:val="auto"/>
              </w:rPr>
            </w:pPr>
            <w:r>
              <w:rPr>
                <w:rFonts w:ascii="Arial" w:cs="Arial" w:eastAsia="Arial" w:hAnsi="Arial"/>
                <w:sz w:val="11"/>
                <w:szCs w:val="11"/>
                <w:b w:val="1"/>
                <w:bCs w:val="1"/>
                <w:color w:val="auto"/>
                <w:w w:val="90"/>
              </w:rPr>
              <w:t>December 27, 2020</w:t>
            </w:r>
          </w:p>
        </w:tc>
        <w:tc>
          <w:tcPr>
            <w:tcW w:w="920" w:type="dxa"/>
            <w:vAlign w:val="bottom"/>
            <w:tcBorders>
              <w:bottom w:val="single" w:sz="8" w:color="auto"/>
            </w:tcBorders>
          </w:tcPr>
          <w:p>
            <w:pPr>
              <w:spacing w:after="0"/>
              <w:rPr>
                <w:sz w:val="13"/>
                <w:szCs w:val="13"/>
                <w:color w:val="auto"/>
              </w:rPr>
            </w:pPr>
          </w:p>
        </w:tc>
      </w:tr>
      <w:tr>
        <w:trPr>
          <w:trHeight w:val="142"/>
        </w:trPr>
        <w:tc>
          <w:tcPr>
            <w:tcW w:w="35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97"/>
              <w:spacing w:after="0"/>
              <w:rPr>
                <w:sz w:val="20"/>
                <w:szCs w:val="20"/>
                <w:color w:val="auto"/>
              </w:rPr>
            </w:pPr>
            <w:r>
              <w:rPr>
                <w:rFonts w:ascii="Arial" w:cs="Arial" w:eastAsia="Arial" w:hAnsi="Arial"/>
                <w:sz w:val="11"/>
                <w:szCs w:val="11"/>
                <w:b w:val="1"/>
                <w:bCs w:val="1"/>
                <w:color w:val="auto"/>
              </w:rPr>
              <w:t>Level 1</w:t>
            </w:r>
          </w:p>
        </w:tc>
        <w:tc>
          <w:tcPr>
            <w:tcW w:w="16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jc w:val="center"/>
              <w:ind w:right="399"/>
              <w:spacing w:after="0"/>
              <w:rPr>
                <w:sz w:val="20"/>
                <w:szCs w:val="20"/>
                <w:color w:val="auto"/>
              </w:rPr>
            </w:pPr>
            <w:r>
              <w:rPr>
                <w:rFonts w:ascii="Arial" w:cs="Arial" w:eastAsia="Arial" w:hAnsi="Arial"/>
                <w:sz w:val="11"/>
                <w:szCs w:val="11"/>
                <w:b w:val="1"/>
                <w:bCs w:val="1"/>
                <w:color w:val="auto"/>
                <w:w w:val="91"/>
              </w:rPr>
              <w:t>Level 2</w:t>
            </w:r>
          </w:p>
        </w:tc>
        <w:tc>
          <w:tcPr>
            <w:tcW w:w="940" w:type="dxa"/>
            <w:vAlign w:val="bottom"/>
            <w:tcBorders>
              <w:bottom w:val="single" w:sz="8" w:color="auto"/>
            </w:tcBorders>
          </w:tcPr>
          <w:p>
            <w:pPr>
              <w:jc w:val="right"/>
              <w:ind w:right="417"/>
              <w:spacing w:after="0"/>
              <w:rPr>
                <w:sz w:val="20"/>
                <w:szCs w:val="20"/>
                <w:color w:val="auto"/>
              </w:rPr>
            </w:pPr>
            <w:r>
              <w:rPr>
                <w:rFonts w:ascii="Arial" w:cs="Arial" w:eastAsia="Arial" w:hAnsi="Arial"/>
                <w:sz w:val="11"/>
                <w:szCs w:val="11"/>
                <w:b w:val="1"/>
                <w:bCs w:val="1"/>
                <w:color w:val="auto"/>
              </w:rPr>
              <w:t>Total</w:t>
            </w:r>
          </w:p>
        </w:tc>
        <w:tc>
          <w:tcPr>
            <w:tcW w:w="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97"/>
              <w:spacing w:after="0"/>
              <w:rPr>
                <w:sz w:val="20"/>
                <w:szCs w:val="20"/>
                <w:color w:val="auto"/>
              </w:rPr>
            </w:pPr>
            <w:r>
              <w:rPr>
                <w:rFonts w:ascii="Arial" w:cs="Arial" w:eastAsia="Arial" w:hAnsi="Arial"/>
                <w:sz w:val="11"/>
                <w:szCs w:val="11"/>
                <w:b w:val="1"/>
                <w:bCs w:val="1"/>
                <w:color w:val="auto"/>
              </w:rPr>
              <w:t>Level 1</w:t>
            </w:r>
          </w:p>
        </w:tc>
        <w:tc>
          <w:tcPr>
            <w:tcW w:w="16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center"/>
              <w:ind w:right="419"/>
              <w:spacing w:after="0"/>
              <w:rPr>
                <w:sz w:val="20"/>
                <w:szCs w:val="20"/>
                <w:color w:val="auto"/>
              </w:rPr>
            </w:pPr>
            <w:r>
              <w:rPr>
                <w:rFonts w:ascii="Arial" w:cs="Arial" w:eastAsia="Arial" w:hAnsi="Arial"/>
                <w:sz w:val="11"/>
                <w:szCs w:val="11"/>
                <w:b w:val="1"/>
                <w:bCs w:val="1"/>
                <w:color w:val="auto"/>
                <w:w w:val="91"/>
              </w:rPr>
              <w:t>Level 2</w:t>
            </w:r>
          </w:p>
        </w:tc>
        <w:tc>
          <w:tcPr>
            <w:tcW w:w="920" w:type="dxa"/>
            <w:vAlign w:val="bottom"/>
            <w:tcBorders>
              <w:bottom w:val="single" w:sz="8" w:color="auto"/>
            </w:tcBorders>
          </w:tcPr>
          <w:p>
            <w:pPr>
              <w:jc w:val="right"/>
              <w:ind w:right="417"/>
              <w:spacing w:after="0"/>
              <w:rPr>
                <w:sz w:val="20"/>
                <w:szCs w:val="20"/>
                <w:color w:val="auto"/>
              </w:rPr>
            </w:pPr>
            <w:r>
              <w:rPr>
                <w:rFonts w:ascii="Arial" w:cs="Arial" w:eastAsia="Arial" w:hAnsi="Arial"/>
                <w:sz w:val="11"/>
                <w:szCs w:val="11"/>
                <w:b w:val="1"/>
                <w:bCs w:val="1"/>
                <w:color w:val="auto"/>
              </w:rPr>
              <w:t>Total</w:t>
            </w:r>
          </w:p>
        </w:tc>
      </w:tr>
      <w:tr>
        <w:trPr>
          <w:trHeight w:val="124"/>
        </w:trPr>
        <w:tc>
          <w:tcPr>
            <w:tcW w:w="3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40" w:type="dxa"/>
            <w:vAlign w:val="bottom"/>
          </w:tcPr>
          <w:p>
            <w:pPr>
              <w:jc w:val="center"/>
              <w:ind w:right="399"/>
              <w:spacing w:after="0"/>
              <w:rPr>
                <w:sz w:val="20"/>
                <w:szCs w:val="20"/>
                <w:color w:val="auto"/>
              </w:rPr>
            </w:pPr>
            <w:r>
              <w:rPr>
                <w:rFonts w:ascii="Arial" w:cs="Arial" w:eastAsia="Arial" w:hAnsi="Arial"/>
                <w:sz w:val="10"/>
                <w:szCs w:val="10"/>
                <w:b w:val="1"/>
                <w:bCs w:val="1"/>
                <w:color w:val="auto"/>
                <w:w w:val="89"/>
              </w:rPr>
              <w:t>(In thousands)</w:t>
            </w: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60" w:type="dxa"/>
            <w:vAlign w:val="bottom"/>
          </w:tcPr>
          <w:p>
            <w:pPr>
              <w:jc w:val="center"/>
              <w:ind w:right="419"/>
              <w:spacing w:after="0"/>
              <w:rPr>
                <w:sz w:val="20"/>
                <w:szCs w:val="20"/>
                <w:color w:val="auto"/>
              </w:rPr>
            </w:pPr>
            <w:r>
              <w:rPr>
                <w:rFonts w:ascii="Arial" w:cs="Arial" w:eastAsia="Arial" w:hAnsi="Arial"/>
                <w:sz w:val="10"/>
                <w:szCs w:val="10"/>
                <w:b w:val="1"/>
                <w:bCs w:val="1"/>
                <w:color w:val="auto"/>
                <w:w w:val="89"/>
              </w:rPr>
              <w:t>(In thousands)</w:t>
            </w:r>
          </w:p>
        </w:tc>
        <w:tc>
          <w:tcPr>
            <w:tcW w:w="920" w:type="dxa"/>
            <w:vAlign w:val="bottom"/>
          </w:tcPr>
          <w:p>
            <w:pPr>
              <w:spacing w:after="0"/>
              <w:rPr>
                <w:sz w:val="10"/>
                <w:szCs w:val="10"/>
                <w:color w:val="auto"/>
              </w:rPr>
            </w:pPr>
          </w:p>
        </w:tc>
      </w:tr>
      <w:tr>
        <w:trPr>
          <w:trHeight w:val="176"/>
        </w:trPr>
        <w:tc>
          <w:tcPr>
            <w:tcW w:w="3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Assets:</w:t>
            </w: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168"/>
        </w:trPr>
        <w:tc>
          <w:tcPr>
            <w:tcW w:w="3500" w:type="dxa"/>
            <w:vAlign w:val="bottom"/>
          </w:tcPr>
          <w:p>
            <w:pPr>
              <w:ind w:left="120"/>
              <w:spacing w:after="0"/>
              <w:rPr>
                <w:sz w:val="20"/>
                <w:szCs w:val="20"/>
                <w:color w:val="auto"/>
              </w:rPr>
            </w:pPr>
            <w:r>
              <w:rPr>
                <w:rFonts w:ascii="Arial" w:cs="Arial" w:eastAsia="Arial" w:hAnsi="Arial"/>
                <w:sz w:val="13"/>
                <w:szCs w:val="13"/>
                <w:color w:val="auto"/>
              </w:rPr>
              <w:t>Commodity derivative assets</w:t>
            </w:r>
          </w:p>
        </w:tc>
        <w:tc>
          <w:tcPr>
            <w:tcW w:w="240" w:type="dxa"/>
            <w:vAlign w:val="bottom"/>
          </w:tcPr>
          <w:p>
            <w:pPr>
              <w:jc w:val="right"/>
              <w:ind w:right="96"/>
              <w:spacing w:after="0"/>
              <w:rPr>
                <w:sz w:val="20"/>
                <w:szCs w:val="20"/>
                <w:color w:val="auto"/>
              </w:rPr>
            </w:pPr>
            <w:r>
              <w:rPr>
                <w:rFonts w:ascii="Arial" w:cs="Arial" w:eastAsia="Arial" w:hAnsi="Arial"/>
                <w:sz w:val="13"/>
                <w:szCs w:val="13"/>
                <w:color w:val="auto"/>
                <w:w w:val="82"/>
              </w:rPr>
              <w:t>$</w:t>
            </w:r>
          </w:p>
        </w:tc>
        <w:tc>
          <w:tcPr>
            <w:tcW w:w="980" w:type="dxa"/>
            <w:vAlign w:val="bottom"/>
          </w:tcPr>
          <w:p>
            <w:pPr>
              <w:jc w:val="right"/>
              <w:ind w:right="17"/>
              <w:spacing w:after="0"/>
              <w:rPr>
                <w:sz w:val="20"/>
                <w:szCs w:val="20"/>
                <w:color w:val="auto"/>
              </w:rPr>
            </w:pPr>
            <w:r>
              <w:rPr>
                <w:rFonts w:ascii="Arial" w:cs="Arial" w:eastAsia="Arial" w:hAnsi="Arial"/>
                <w:sz w:val="13"/>
                <w:szCs w:val="13"/>
                <w:color w:val="auto"/>
              </w:rPr>
              <w:t>17,567</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440" w:type="dxa"/>
            <w:vAlign w:val="bottom"/>
          </w:tcPr>
          <w:p>
            <w:pPr>
              <w:ind w:left="900"/>
              <w:spacing w:after="0"/>
              <w:rPr>
                <w:sz w:val="20"/>
                <w:szCs w:val="20"/>
                <w:color w:val="auto"/>
              </w:rPr>
            </w:pPr>
            <w:r>
              <w:rPr>
                <w:rFonts w:ascii="Arial" w:cs="Arial" w:eastAsia="Arial" w:hAnsi="Arial"/>
                <w:sz w:val="13"/>
                <w:szCs w:val="13"/>
                <w:color w:val="auto"/>
              </w:rPr>
              <w:t>—   $</w:t>
            </w:r>
          </w:p>
        </w:tc>
        <w:tc>
          <w:tcPr>
            <w:tcW w:w="940" w:type="dxa"/>
            <w:vAlign w:val="bottom"/>
          </w:tcPr>
          <w:p>
            <w:pPr>
              <w:jc w:val="right"/>
              <w:spacing w:after="0"/>
              <w:rPr>
                <w:sz w:val="20"/>
                <w:szCs w:val="20"/>
                <w:color w:val="auto"/>
              </w:rPr>
            </w:pPr>
            <w:r>
              <w:rPr>
                <w:rFonts w:ascii="Arial" w:cs="Arial" w:eastAsia="Arial" w:hAnsi="Arial"/>
                <w:sz w:val="13"/>
                <w:szCs w:val="13"/>
                <w:color w:val="auto"/>
              </w:rPr>
              <w:t>17,567</w:t>
            </w:r>
          </w:p>
        </w:tc>
        <w:tc>
          <w:tcPr>
            <w:tcW w:w="80" w:type="dxa"/>
            <w:vAlign w:val="bottom"/>
          </w:tcPr>
          <w:p>
            <w:pPr>
              <w:spacing w:after="0"/>
              <w:rPr>
                <w:sz w:val="14"/>
                <w:szCs w:val="14"/>
                <w:color w:val="auto"/>
              </w:rPr>
            </w:pPr>
          </w:p>
        </w:tc>
        <w:tc>
          <w:tcPr>
            <w:tcW w:w="260" w:type="dxa"/>
            <w:vAlign w:val="bottom"/>
          </w:tcPr>
          <w:p>
            <w:pPr>
              <w:jc w:val="right"/>
              <w:ind w:right="116"/>
              <w:spacing w:after="0"/>
              <w:rPr>
                <w:sz w:val="20"/>
                <w:szCs w:val="20"/>
                <w:color w:val="auto"/>
              </w:rPr>
            </w:pPr>
            <w:r>
              <w:rPr>
                <w:rFonts w:ascii="Arial" w:cs="Arial" w:eastAsia="Arial" w:hAnsi="Arial"/>
                <w:sz w:val="13"/>
                <w:szCs w:val="13"/>
                <w:color w:val="auto"/>
                <w:w w:val="82"/>
              </w:rPr>
              <w:t>$</w:t>
            </w:r>
          </w:p>
        </w:tc>
        <w:tc>
          <w:tcPr>
            <w:tcW w:w="980" w:type="dxa"/>
            <w:vAlign w:val="bottom"/>
          </w:tcPr>
          <w:p>
            <w:pPr>
              <w:jc w:val="right"/>
              <w:ind w:right="17"/>
              <w:spacing w:after="0"/>
              <w:rPr>
                <w:sz w:val="20"/>
                <w:szCs w:val="20"/>
                <w:color w:val="auto"/>
              </w:rPr>
            </w:pPr>
            <w:r>
              <w:rPr>
                <w:rFonts w:ascii="Arial" w:cs="Arial" w:eastAsia="Arial" w:hAnsi="Arial"/>
                <w:sz w:val="13"/>
                <w:szCs w:val="13"/>
                <w:color w:val="auto"/>
              </w:rPr>
              <w:t>24,059</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460" w:type="dxa"/>
            <w:vAlign w:val="bottom"/>
          </w:tcPr>
          <w:p>
            <w:pPr>
              <w:ind w:left="900"/>
              <w:spacing w:after="0"/>
              <w:rPr>
                <w:sz w:val="20"/>
                <w:szCs w:val="20"/>
                <w:color w:val="auto"/>
              </w:rPr>
            </w:pPr>
            <w:r>
              <w:rPr>
                <w:rFonts w:ascii="Arial" w:cs="Arial" w:eastAsia="Arial" w:hAnsi="Arial"/>
                <w:sz w:val="13"/>
                <w:szCs w:val="13"/>
                <w:color w:val="auto"/>
              </w:rPr>
              <w:t>—   $</w:t>
            </w:r>
          </w:p>
        </w:tc>
        <w:tc>
          <w:tcPr>
            <w:tcW w:w="920" w:type="dxa"/>
            <w:vAlign w:val="bottom"/>
          </w:tcPr>
          <w:p>
            <w:pPr>
              <w:jc w:val="right"/>
              <w:spacing w:after="0"/>
              <w:rPr>
                <w:sz w:val="20"/>
                <w:szCs w:val="20"/>
                <w:color w:val="auto"/>
              </w:rPr>
            </w:pPr>
            <w:r>
              <w:rPr>
                <w:rFonts w:ascii="Arial" w:cs="Arial" w:eastAsia="Arial" w:hAnsi="Arial"/>
                <w:sz w:val="13"/>
                <w:szCs w:val="13"/>
                <w:color w:val="auto"/>
              </w:rPr>
              <w:t>24,059</w:t>
            </w:r>
          </w:p>
        </w:tc>
      </w:tr>
      <w:tr>
        <w:trPr>
          <w:trHeight w:val="172"/>
        </w:trPr>
        <w:tc>
          <w:tcPr>
            <w:tcW w:w="35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Foreign currency derivative assets</w:t>
            </w:r>
          </w:p>
        </w:tc>
        <w:tc>
          <w:tcPr>
            <w:tcW w:w="24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518</w:t>
            </w:r>
          </w:p>
        </w:tc>
        <w:tc>
          <w:tcPr>
            <w:tcW w:w="160" w:type="dxa"/>
            <w:vAlign w:val="bottom"/>
            <w:shd w:val="clear" w:color="auto" w:fill="CCEEFF"/>
          </w:tcPr>
          <w:p>
            <w:pPr>
              <w:spacing w:after="0"/>
              <w:rPr>
                <w:sz w:val="14"/>
                <w:szCs w:val="14"/>
                <w:color w:val="auto"/>
              </w:rPr>
            </w:pPr>
          </w:p>
        </w:tc>
        <w:tc>
          <w:tcPr>
            <w:tcW w:w="1440" w:type="dxa"/>
            <w:vAlign w:val="bottom"/>
            <w:shd w:val="clear" w:color="auto" w:fill="CCEEFF"/>
          </w:tcPr>
          <w:p>
            <w:pPr>
              <w:ind w:left="900"/>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518</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2,204</w:t>
            </w:r>
          </w:p>
        </w:tc>
        <w:tc>
          <w:tcPr>
            <w:tcW w:w="160" w:type="dxa"/>
            <w:vAlign w:val="bottom"/>
            <w:shd w:val="clear" w:color="auto" w:fill="CCEEFF"/>
          </w:tcPr>
          <w:p>
            <w:pPr>
              <w:spacing w:after="0"/>
              <w:rPr>
                <w:sz w:val="14"/>
                <w:szCs w:val="14"/>
                <w:color w:val="auto"/>
              </w:rPr>
            </w:pPr>
          </w:p>
        </w:tc>
        <w:tc>
          <w:tcPr>
            <w:tcW w:w="1460" w:type="dxa"/>
            <w:vAlign w:val="bottom"/>
            <w:shd w:val="clear" w:color="auto" w:fill="CCEEFF"/>
          </w:tcPr>
          <w:p>
            <w:pPr>
              <w:ind w:left="900"/>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2,204</w:t>
            </w:r>
          </w:p>
        </w:tc>
      </w:tr>
      <w:tr>
        <w:trPr>
          <w:trHeight w:val="168"/>
        </w:trPr>
        <w:tc>
          <w:tcPr>
            <w:tcW w:w="3500" w:type="dxa"/>
            <w:vAlign w:val="bottom"/>
          </w:tcPr>
          <w:p>
            <w:pPr>
              <w:ind w:left="20"/>
              <w:spacing w:after="0"/>
              <w:rPr>
                <w:sz w:val="20"/>
                <w:szCs w:val="20"/>
                <w:color w:val="auto"/>
              </w:rPr>
            </w:pPr>
            <w:r>
              <w:rPr>
                <w:rFonts w:ascii="Arial" w:cs="Arial" w:eastAsia="Arial" w:hAnsi="Arial"/>
                <w:sz w:val="13"/>
                <w:szCs w:val="13"/>
                <w:color w:val="auto"/>
              </w:rPr>
              <w:t>Liabilities:</w:t>
            </w: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2"/>
        </w:trPr>
        <w:tc>
          <w:tcPr>
            <w:tcW w:w="35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Commodity derivative liabilities</w:t>
            </w:r>
          </w:p>
        </w:tc>
        <w:tc>
          <w:tcPr>
            <w:tcW w:w="2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(14,119)</w:t>
            </w:r>
          </w:p>
        </w:tc>
        <w:tc>
          <w:tcPr>
            <w:tcW w:w="160" w:type="dxa"/>
            <w:vAlign w:val="bottom"/>
            <w:shd w:val="clear" w:color="auto" w:fill="CCEEFF"/>
          </w:tcPr>
          <w:p>
            <w:pPr>
              <w:spacing w:after="0"/>
              <w:rPr>
                <w:sz w:val="14"/>
                <w:szCs w:val="14"/>
                <w:color w:val="auto"/>
              </w:rPr>
            </w:pPr>
          </w:p>
        </w:tc>
        <w:tc>
          <w:tcPr>
            <w:tcW w:w="1440" w:type="dxa"/>
            <w:vAlign w:val="bottom"/>
            <w:shd w:val="clear" w:color="auto" w:fill="CCEEFF"/>
          </w:tcPr>
          <w:p>
            <w:pPr>
              <w:ind w:left="900"/>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(14,119)</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(6,531)</w:t>
            </w:r>
          </w:p>
        </w:tc>
        <w:tc>
          <w:tcPr>
            <w:tcW w:w="160" w:type="dxa"/>
            <w:vAlign w:val="bottom"/>
            <w:shd w:val="clear" w:color="auto" w:fill="CCEEFF"/>
          </w:tcPr>
          <w:p>
            <w:pPr>
              <w:spacing w:after="0"/>
              <w:rPr>
                <w:sz w:val="14"/>
                <w:szCs w:val="14"/>
                <w:color w:val="auto"/>
              </w:rPr>
            </w:pPr>
          </w:p>
        </w:tc>
        <w:tc>
          <w:tcPr>
            <w:tcW w:w="1460" w:type="dxa"/>
            <w:vAlign w:val="bottom"/>
            <w:shd w:val="clear" w:color="auto" w:fill="CCEEFF"/>
          </w:tcPr>
          <w:p>
            <w:pPr>
              <w:ind w:left="900"/>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(6,531)</w:t>
            </w:r>
          </w:p>
        </w:tc>
      </w:tr>
      <w:tr>
        <w:trPr>
          <w:trHeight w:val="168"/>
        </w:trPr>
        <w:tc>
          <w:tcPr>
            <w:tcW w:w="3500" w:type="dxa"/>
            <w:vAlign w:val="bottom"/>
          </w:tcPr>
          <w:p>
            <w:pPr>
              <w:ind w:left="120"/>
              <w:spacing w:after="0"/>
              <w:rPr>
                <w:sz w:val="20"/>
                <w:szCs w:val="20"/>
                <w:color w:val="auto"/>
              </w:rPr>
            </w:pPr>
            <w:r>
              <w:rPr>
                <w:rFonts w:ascii="Arial" w:cs="Arial" w:eastAsia="Arial" w:hAnsi="Arial"/>
                <w:sz w:val="13"/>
                <w:szCs w:val="13"/>
                <w:color w:val="auto"/>
              </w:rPr>
              <w:t>Foreign currency derivative liabilities</w:t>
            </w:r>
          </w:p>
        </w:tc>
        <w:tc>
          <w:tcPr>
            <w:tcW w:w="2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(4,958)</w:t>
            </w:r>
          </w:p>
        </w:tc>
        <w:tc>
          <w:tcPr>
            <w:tcW w:w="160" w:type="dxa"/>
            <w:vAlign w:val="bottom"/>
          </w:tcPr>
          <w:p>
            <w:pPr>
              <w:spacing w:after="0"/>
              <w:rPr>
                <w:sz w:val="14"/>
                <w:szCs w:val="14"/>
                <w:color w:val="auto"/>
              </w:rPr>
            </w:pPr>
          </w:p>
        </w:tc>
        <w:tc>
          <w:tcPr>
            <w:tcW w:w="1440" w:type="dxa"/>
            <w:vAlign w:val="bottom"/>
          </w:tcPr>
          <w:p>
            <w:pPr>
              <w:ind w:left="900"/>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(4,958)</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(428)</w:t>
            </w:r>
          </w:p>
        </w:tc>
        <w:tc>
          <w:tcPr>
            <w:tcW w:w="160" w:type="dxa"/>
            <w:vAlign w:val="bottom"/>
          </w:tcPr>
          <w:p>
            <w:pPr>
              <w:spacing w:after="0"/>
              <w:rPr>
                <w:sz w:val="14"/>
                <w:szCs w:val="14"/>
                <w:color w:val="auto"/>
              </w:rPr>
            </w:pPr>
          </w:p>
        </w:tc>
        <w:tc>
          <w:tcPr>
            <w:tcW w:w="1460" w:type="dxa"/>
            <w:vAlign w:val="bottom"/>
          </w:tcPr>
          <w:p>
            <w:pPr>
              <w:ind w:left="900"/>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(428)</w:t>
            </w:r>
          </w:p>
        </w:tc>
      </w:tr>
      <w:tr>
        <w:trPr>
          <w:trHeight w:val="172"/>
        </w:trPr>
        <w:tc>
          <w:tcPr>
            <w:tcW w:w="35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Interest rate swap derivative liabilities</w:t>
            </w:r>
          </w:p>
        </w:tc>
        <w:tc>
          <w:tcPr>
            <w:tcW w:w="24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1440" w:type="dxa"/>
            <w:vAlign w:val="bottom"/>
            <w:shd w:val="clear" w:color="auto" w:fill="CCEEFF"/>
          </w:tcPr>
          <w:p>
            <w:pPr>
              <w:jc w:val="right"/>
              <w:ind w:right="319"/>
              <w:spacing w:after="0"/>
              <w:rPr>
                <w:sz w:val="20"/>
                <w:szCs w:val="20"/>
                <w:color w:val="auto"/>
              </w:rPr>
            </w:pPr>
            <w:r>
              <w:rPr>
                <w:rFonts w:ascii="Arial" w:cs="Arial" w:eastAsia="Arial" w:hAnsi="Arial"/>
                <w:sz w:val="13"/>
                <w:szCs w:val="13"/>
                <w:color w:val="auto"/>
              </w:rPr>
              <w:t>(98)</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(640)</w:t>
            </w:r>
          </w:p>
        </w:tc>
        <w:tc>
          <w:tcPr>
            <w:tcW w:w="160" w:type="dxa"/>
            <w:vAlign w:val="bottom"/>
            <w:shd w:val="clear" w:color="auto" w:fill="CCEEFF"/>
          </w:tcPr>
          <w:p>
            <w:pPr>
              <w:spacing w:after="0"/>
              <w:rPr>
                <w:sz w:val="14"/>
                <w:szCs w:val="14"/>
                <w:color w:val="auto"/>
              </w:rPr>
            </w:pPr>
          </w:p>
        </w:tc>
        <w:tc>
          <w:tcPr>
            <w:tcW w:w="1460" w:type="dxa"/>
            <w:vAlign w:val="bottom"/>
            <w:shd w:val="clear" w:color="auto" w:fill="CCEEFF"/>
          </w:tcPr>
          <w:p>
            <w:pPr>
              <w:ind w:left="900"/>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(640)</w:t>
            </w:r>
          </w:p>
        </w:tc>
      </w:tr>
      <w:tr>
        <w:trPr>
          <w:trHeight w:val="165"/>
        </w:trPr>
        <w:tc>
          <w:tcPr>
            <w:tcW w:w="3500" w:type="dxa"/>
            <w:vAlign w:val="bottom"/>
          </w:tcPr>
          <w:p>
            <w:pPr>
              <w:ind w:left="120"/>
              <w:spacing w:after="0"/>
              <w:rPr>
                <w:sz w:val="20"/>
                <w:szCs w:val="20"/>
                <w:color w:val="auto"/>
              </w:rPr>
            </w:pPr>
            <w:r>
              <w:rPr>
                <w:rFonts w:ascii="Arial" w:cs="Arial" w:eastAsia="Arial" w:hAnsi="Arial"/>
                <w:sz w:val="13"/>
                <w:szCs w:val="13"/>
                <w:color w:val="auto"/>
              </w:rPr>
              <w:t>Sales contract derivative liabilities</w:t>
            </w:r>
          </w:p>
        </w:tc>
        <w:tc>
          <w:tcPr>
            <w:tcW w:w="240" w:type="dxa"/>
            <w:vAlign w:val="bottom"/>
          </w:tcPr>
          <w:p>
            <w:pPr>
              <w:spacing w:after="0"/>
              <w:rPr>
                <w:sz w:val="14"/>
                <w:szCs w:val="14"/>
                <w:color w:val="auto"/>
              </w:rPr>
            </w:pPr>
          </w:p>
        </w:tc>
        <w:tc>
          <w:tcPr>
            <w:tcW w:w="9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440" w:type="dxa"/>
            <w:vAlign w:val="bottom"/>
          </w:tcPr>
          <w:p>
            <w:pPr>
              <w:jc w:val="right"/>
              <w:ind w:right="319"/>
              <w:spacing w:after="0"/>
              <w:rPr>
                <w:sz w:val="20"/>
                <w:szCs w:val="20"/>
                <w:color w:val="auto"/>
              </w:rPr>
            </w:pPr>
            <w:r>
              <w:rPr>
                <w:rFonts w:ascii="Arial" w:cs="Arial" w:eastAsia="Arial" w:hAnsi="Arial"/>
                <w:sz w:val="13"/>
                <w:szCs w:val="13"/>
                <w:color w:val="auto"/>
              </w:rPr>
              <w:t>(12,691)</w:t>
            </w:r>
          </w:p>
        </w:tc>
        <w:tc>
          <w:tcPr>
            <w:tcW w:w="940" w:type="dxa"/>
            <w:vAlign w:val="bottom"/>
          </w:tcPr>
          <w:p>
            <w:pPr>
              <w:jc w:val="right"/>
              <w:spacing w:after="0"/>
              <w:rPr>
                <w:sz w:val="20"/>
                <w:szCs w:val="20"/>
                <w:color w:val="auto"/>
              </w:rPr>
            </w:pPr>
            <w:r>
              <w:rPr>
                <w:rFonts w:ascii="Arial" w:cs="Arial" w:eastAsia="Arial" w:hAnsi="Arial"/>
                <w:sz w:val="13"/>
                <w:szCs w:val="13"/>
                <w:color w:val="auto"/>
              </w:rPr>
              <w:t>(12,691)</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460" w:type="dxa"/>
            <w:vAlign w:val="bottom"/>
          </w:tcPr>
          <w:p>
            <w:pPr>
              <w:ind w:left="900"/>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r>
    </w:tbl>
    <w:p>
      <w:pPr>
        <w:spacing w:after="0" w:line="12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See “Note 5. Derivative Financial Instruments” for additional information.</w:t>
      </w:r>
    </w:p>
    <w:p>
      <w:pPr>
        <w:spacing w:after="0" w:line="136" w:lineRule="exact"/>
        <w:rPr>
          <w:sz w:val="20"/>
          <w:szCs w:val="20"/>
          <w:color w:val="auto"/>
        </w:rPr>
      </w:pPr>
    </w:p>
    <w:p>
      <w:pPr>
        <w:jc w:val="both"/>
        <w:ind w:firstLine="509"/>
        <w:spacing w:after="0" w:line="258" w:lineRule="auto"/>
        <w:rPr>
          <w:sz w:val="20"/>
          <w:szCs w:val="20"/>
          <w:color w:val="auto"/>
        </w:rPr>
      </w:pPr>
      <w:r>
        <w:rPr>
          <w:rFonts w:ascii="Arial" w:cs="Arial" w:eastAsia="Arial" w:hAnsi="Arial"/>
          <w:sz w:val="14"/>
          <w:szCs w:val="14"/>
          <w:color w:val="auto"/>
        </w:rPr>
        <w:t>The valuation of financial assets and liabilities classified in Level 1 is determined using a market approach, taking into account current interest rates, creditworthiness, and liquidity risks in relation to current market conditions, and is based upon unadjusted quoted prices for identical assets in active markets. The valuation of financial assets and liabilities in Level 2 is determined using a market approach based upon quoted prices for similar assets and liabilities in active markets or other inputs that are observable for substantially the full term of the financial instrument. The valuation of financial assets in Level 3 is determined using an income approach based on unobservable inputs such as discounted cash flow models or valuations. For each class of assets and liabilities not measured at fair value in the Consolidated Balance Sheets but for which fair value is disclosed, the Company is not required to provide the quantitative disclosure about significant unobservable inputs used in fair value measurements categorized within Level 3 of the fair value hierarchy.</w:t>
      </w:r>
    </w:p>
    <w:p>
      <w:pPr>
        <w:spacing w:after="0" w:line="107"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4"/>
          <w:szCs w:val="14"/>
          <w:color w:val="auto"/>
        </w:rPr>
        <w:t>In addition to the fair value disclosure requirements related to financial instruments carried at fair value, accounting standards require interim disclosures regarding the fair value of all of the Company’s financial instruments. The methods and significant assumptions used to estimate the fair value of financial instruments and any changes in methods or significant assumptions from prior periods are also required to be disclosed.</w:t>
      </w:r>
    </w:p>
    <w:p>
      <w:pPr>
        <w:spacing w:after="0" w:line="99"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carrying amounts and estimated fair values of our fixed-rate debt obligation recorded in the Consolidated Balance Sheets consisted of the following:</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57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December 26, 2021</w:t>
            </w:r>
          </w:p>
        </w:tc>
        <w:tc>
          <w:tcPr>
            <w:tcW w:w="8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rPr>
              <w:t>December 27, 2020</w:t>
            </w:r>
          </w:p>
        </w:tc>
        <w:tc>
          <w:tcPr>
            <w:tcW w:w="840" w:type="dxa"/>
            <w:vAlign w:val="bottom"/>
            <w:tcBorders>
              <w:bottom w:val="single" w:sz="8" w:color="auto"/>
            </w:tcBorders>
          </w:tcPr>
          <w:p>
            <w:pPr>
              <w:spacing w:after="0"/>
              <w:rPr>
                <w:sz w:val="13"/>
                <w:szCs w:val="13"/>
                <w:color w:val="auto"/>
              </w:rPr>
            </w:pPr>
          </w:p>
        </w:tc>
      </w:tr>
      <w:tr>
        <w:trPr>
          <w:trHeight w:val="101"/>
        </w:trPr>
        <w:tc>
          <w:tcPr>
            <w:tcW w:w="5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20" w:type="dxa"/>
            <w:vAlign w:val="bottom"/>
          </w:tcPr>
          <w:p>
            <w:pPr>
              <w:jc w:val="right"/>
              <w:ind w:right="919"/>
              <w:spacing w:after="0" w:line="101" w:lineRule="exact"/>
              <w:rPr>
                <w:sz w:val="20"/>
                <w:szCs w:val="20"/>
                <w:color w:val="auto"/>
              </w:rPr>
            </w:pPr>
            <w:r>
              <w:rPr>
                <w:rFonts w:ascii="Arial" w:cs="Arial" w:eastAsia="Arial" w:hAnsi="Arial"/>
                <w:sz w:val="11"/>
                <w:szCs w:val="11"/>
                <w:b w:val="1"/>
                <w:bCs w:val="1"/>
                <w:color w:val="auto"/>
              </w:rPr>
              <w:t>Carrying</w:t>
            </w:r>
          </w:p>
        </w:tc>
        <w:tc>
          <w:tcPr>
            <w:tcW w:w="860" w:type="dxa"/>
            <w:vAlign w:val="bottom"/>
          </w:tcPr>
          <w:p>
            <w:pPr>
              <w:jc w:val="center"/>
              <w:ind w:right="400"/>
              <w:spacing w:after="0" w:line="101" w:lineRule="exact"/>
              <w:rPr>
                <w:sz w:val="20"/>
                <w:szCs w:val="20"/>
                <w:color w:val="auto"/>
              </w:rPr>
            </w:pPr>
            <w:r>
              <w:rPr>
                <w:rFonts w:ascii="Arial" w:cs="Arial" w:eastAsia="Arial" w:hAnsi="Arial"/>
                <w:sz w:val="11"/>
                <w:szCs w:val="11"/>
                <w:b w:val="1"/>
                <w:bCs w:val="1"/>
                <w:color w:val="auto"/>
                <w:w w:val="98"/>
              </w:rPr>
              <w:t>Fair</w:t>
            </w: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20" w:type="dxa"/>
            <w:vAlign w:val="bottom"/>
          </w:tcPr>
          <w:p>
            <w:pPr>
              <w:jc w:val="right"/>
              <w:ind w:right="419"/>
              <w:spacing w:after="0" w:line="101" w:lineRule="exact"/>
              <w:rPr>
                <w:sz w:val="20"/>
                <w:szCs w:val="20"/>
                <w:color w:val="auto"/>
              </w:rPr>
            </w:pPr>
            <w:r>
              <w:rPr>
                <w:rFonts w:ascii="Arial" w:cs="Arial" w:eastAsia="Arial" w:hAnsi="Arial"/>
                <w:sz w:val="11"/>
                <w:szCs w:val="11"/>
                <w:b w:val="1"/>
                <w:bCs w:val="1"/>
                <w:color w:val="auto"/>
              </w:rPr>
              <w:t>Carrying</w:t>
            </w:r>
          </w:p>
        </w:tc>
        <w:tc>
          <w:tcPr>
            <w:tcW w:w="520" w:type="dxa"/>
            <w:vAlign w:val="bottom"/>
          </w:tcPr>
          <w:p>
            <w:pPr>
              <w:spacing w:after="0"/>
              <w:rPr>
                <w:sz w:val="8"/>
                <w:szCs w:val="8"/>
                <w:color w:val="auto"/>
              </w:rPr>
            </w:pPr>
          </w:p>
        </w:tc>
        <w:tc>
          <w:tcPr>
            <w:tcW w:w="840" w:type="dxa"/>
            <w:vAlign w:val="bottom"/>
          </w:tcPr>
          <w:p>
            <w:pPr>
              <w:jc w:val="right"/>
              <w:ind w:right="498"/>
              <w:spacing w:after="0" w:line="101" w:lineRule="exact"/>
              <w:rPr>
                <w:sz w:val="20"/>
                <w:szCs w:val="20"/>
                <w:color w:val="auto"/>
              </w:rPr>
            </w:pPr>
            <w:r>
              <w:rPr>
                <w:rFonts w:ascii="Arial" w:cs="Arial" w:eastAsia="Arial" w:hAnsi="Arial"/>
                <w:sz w:val="11"/>
                <w:szCs w:val="11"/>
                <w:b w:val="1"/>
                <w:bCs w:val="1"/>
                <w:color w:val="auto"/>
              </w:rPr>
              <w:t>Fair</w:t>
            </w:r>
          </w:p>
        </w:tc>
      </w:tr>
      <w:tr>
        <w:trPr>
          <w:trHeight w:val="148"/>
        </w:trPr>
        <w:tc>
          <w:tcPr>
            <w:tcW w:w="57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tcPr>
          <w:p>
            <w:pPr>
              <w:jc w:val="right"/>
              <w:ind w:right="959"/>
              <w:spacing w:after="0"/>
              <w:rPr>
                <w:sz w:val="20"/>
                <w:szCs w:val="20"/>
                <w:color w:val="auto"/>
              </w:rPr>
            </w:pPr>
            <w:r>
              <w:rPr>
                <w:rFonts w:ascii="Arial" w:cs="Arial" w:eastAsia="Arial" w:hAnsi="Arial"/>
                <w:sz w:val="11"/>
                <w:szCs w:val="11"/>
                <w:b w:val="1"/>
                <w:bCs w:val="1"/>
                <w:color w:val="auto"/>
              </w:rPr>
              <w:t>Amount</w:t>
            </w:r>
          </w:p>
        </w:tc>
        <w:tc>
          <w:tcPr>
            <w:tcW w:w="1300" w:type="dxa"/>
            <w:vAlign w:val="bottom"/>
            <w:tcBorders>
              <w:bottom w:val="single" w:sz="8" w:color="auto"/>
            </w:tcBorders>
            <w:gridSpan w:val="3"/>
          </w:tcPr>
          <w:p>
            <w:pPr>
              <w:jc w:val="center"/>
              <w:ind w:right="900"/>
              <w:spacing w:after="0"/>
              <w:rPr>
                <w:sz w:val="20"/>
                <w:szCs w:val="20"/>
                <w:color w:val="auto"/>
              </w:rPr>
            </w:pPr>
            <w:r>
              <w:rPr>
                <w:rFonts w:ascii="Arial" w:cs="Arial" w:eastAsia="Arial" w:hAnsi="Arial"/>
                <w:sz w:val="11"/>
                <w:szCs w:val="11"/>
                <w:b w:val="1"/>
                <w:bCs w:val="1"/>
                <w:color w:val="auto"/>
                <w:w w:val="95"/>
              </w:rPr>
              <w:t>Value</w:t>
            </w:r>
          </w:p>
        </w:tc>
        <w:tc>
          <w:tcPr>
            <w:tcW w:w="1020" w:type="dxa"/>
            <w:vAlign w:val="bottom"/>
            <w:tcBorders>
              <w:bottom w:val="single" w:sz="8" w:color="auto"/>
            </w:tcBorders>
          </w:tcPr>
          <w:p>
            <w:pPr>
              <w:jc w:val="right"/>
              <w:ind w:right="459"/>
              <w:spacing w:after="0"/>
              <w:rPr>
                <w:sz w:val="20"/>
                <w:szCs w:val="20"/>
                <w:color w:val="auto"/>
              </w:rPr>
            </w:pPr>
            <w:r>
              <w:rPr>
                <w:rFonts w:ascii="Arial" w:cs="Arial" w:eastAsia="Arial" w:hAnsi="Arial"/>
                <w:sz w:val="11"/>
                <w:szCs w:val="11"/>
                <w:b w:val="1"/>
                <w:bCs w:val="1"/>
                <w:color w:val="auto"/>
              </w:rPr>
              <w:t>Amount</w:t>
            </w:r>
          </w:p>
        </w:tc>
        <w:tc>
          <w:tcPr>
            <w:tcW w:w="5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58"/>
              <w:spacing w:after="0"/>
              <w:rPr>
                <w:sz w:val="20"/>
                <w:szCs w:val="20"/>
                <w:color w:val="auto"/>
              </w:rPr>
            </w:pPr>
            <w:r>
              <w:rPr>
                <w:rFonts w:ascii="Arial" w:cs="Arial" w:eastAsia="Arial" w:hAnsi="Arial"/>
                <w:sz w:val="11"/>
                <w:szCs w:val="11"/>
                <w:b w:val="1"/>
                <w:bCs w:val="1"/>
                <w:color w:val="auto"/>
              </w:rPr>
              <w:t>Value</w:t>
            </w:r>
          </w:p>
        </w:tc>
      </w:tr>
      <w:tr>
        <w:trPr>
          <w:trHeight w:val="124"/>
        </w:trPr>
        <w:tc>
          <w:tcPr>
            <w:tcW w:w="5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300" w:type="dxa"/>
            <w:vAlign w:val="bottom"/>
            <w:gridSpan w:val="3"/>
          </w:tcPr>
          <w:p>
            <w:pPr>
              <w:ind w:left="600"/>
              <w:spacing w:after="0"/>
              <w:rPr>
                <w:sz w:val="20"/>
                <w:szCs w:val="20"/>
                <w:color w:val="auto"/>
              </w:rPr>
            </w:pPr>
            <w:r>
              <w:rPr>
                <w:rFonts w:ascii="Arial" w:cs="Arial" w:eastAsia="Arial" w:hAnsi="Arial"/>
                <w:sz w:val="10"/>
                <w:szCs w:val="10"/>
                <w:b w:val="1"/>
                <w:bCs w:val="1"/>
                <w:color w:val="auto"/>
                <w:w w:val="98"/>
              </w:rPr>
              <w:t>(In thousands)</w:t>
            </w:r>
          </w:p>
        </w:tc>
        <w:tc>
          <w:tcPr>
            <w:tcW w:w="10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40" w:type="dxa"/>
            <w:vAlign w:val="bottom"/>
          </w:tcPr>
          <w:p>
            <w:pPr>
              <w:spacing w:after="0"/>
              <w:rPr>
                <w:sz w:val="10"/>
                <w:szCs w:val="10"/>
                <w:color w:val="auto"/>
              </w:rPr>
            </w:pPr>
          </w:p>
        </w:tc>
      </w:tr>
      <w:tr>
        <w:trPr>
          <w:trHeight w:val="176"/>
        </w:trPr>
        <w:tc>
          <w:tcPr>
            <w:tcW w:w="5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Fixed-rate senior notes payable at 5.75%, at Level 2 inputs</w:t>
            </w:r>
          </w:p>
        </w:tc>
        <w:tc>
          <w:tcPr>
            <w:tcW w:w="240" w:type="dxa"/>
            <w:vAlign w:val="bottom"/>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1620" w:type="dxa"/>
            <w:vAlign w:val="bottom"/>
            <w:shd w:val="clear" w:color="auto" w:fill="CCEEFF"/>
          </w:tcPr>
          <w:p>
            <w:pPr>
              <w:jc w:val="right"/>
              <w:ind w:right="319"/>
              <w:spacing w:after="0"/>
              <w:rPr>
                <w:sz w:val="20"/>
                <w:szCs w:val="20"/>
                <w:color w:val="auto"/>
              </w:rPr>
            </w:pPr>
            <w:r>
              <w:rPr>
                <w:rFonts w:ascii="Arial" w:cs="Arial" w:eastAsia="Arial" w:hAnsi="Arial"/>
                <w:sz w:val="13"/>
                <w:szCs w:val="13"/>
                <w:color w:val="auto"/>
              </w:rPr>
              <w:t>—   $</w:t>
            </w:r>
          </w:p>
        </w:tc>
        <w:tc>
          <w:tcPr>
            <w:tcW w:w="1300" w:type="dxa"/>
            <w:vAlign w:val="bottom"/>
            <w:gridSpan w:val="3"/>
            <w:shd w:val="clear" w:color="auto" w:fill="CCEEFF"/>
          </w:tcPr>
          <w:p>
            <w:pPr>
              <w:ind w:left="680"/>
              <w:spacing w:after="0"/>
              <w:rPr>
                <w:sz w:val="20"/>
                <w:szCs w:val="20"/>
                <w:color w:val="auto"/>
              </w:rPr>
            </w:pPr>
            <w:r>
              <w:rPr>
                <w:rFonts w:ascii="Arial" w:cs="Arial" w:eastAsia="Arial" w:hAnsi="Arial"/>
                <w:sz w:val="13"/>
                <w:szCs w:val="13"/>
                <w:color w:val="auto"/>
              </w:rPr>
              <w:t>—   $</w:t>
            </w: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3"/>
                <w:szCs w:val="13"/>
                <w:color w:val="auto"/>
              </w:rPr>
              <w:t>(1,001,693)</w:t>
            </w:r>
          </w:p>
        </w:tc>
        <w:tc>
          <w:tcPr>
            <w:tcW w:w="520" w:type="dxa"/>
            <w:vAlign w:val="bottom"/>
            <w:shd w:val="clear" w:color="auto" w:fill="CCEEFF"/>
          </w:tcPr>
          <w:p>
            <w:pPr>
              <w:jc w:val="right"/>
              <w:ind w:right="336"/>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(1,024,510)</w:t>
            </w:r>
          </w:p>
        </w:tc>
      </w:tr>
      <w:tr>
        <w:trPr>
          <w:trHeight w:val="168"/>
        </w:trPr>
        <w:tc>
          <w:tcPr>
            <w:tcW w:w="5700" w:type="dxa"/>
            <w:vAlign w:val="bottom"/>
          </w:tcPr>
          <w:p>
            <w:pPr>
              <w:ind w:left="20"/>
              <w:spacing w:after="0"/>
              <w:rPr>
                <w:sz w:val="20"/>
                <w:szCs w:val="20"/>
                <w:color w:val="auto"/>
              </w:rPr>
            </w:pPr>
            <w:r>
              <w:rPr>
                <w:rFonts w:ascii="Arial" w:cs="Arial" w:eastAsia="Arial" w:hAnsi="Arial"/>
                <w:sz w:val="13"/>
                <w:szCs w:val="13"/>
                <w:color w:val="auto"/>
              </w:rPr>
              <w:t>Fixed-rate senior notes payable at 5.875%, at Level 2 inputs</w:t>
            </w:r>
          </w:p>
        </w:tc>
        <w:tc>
          <w:tcPr>
            <w:tcW w:w="240" w:type="dxa"/>
            <w:vAlign w:val="bottom"/>
          </w:tcPr>
          <w:p>
            <w:pPr>
              <w:spacing w:after="0"/>
              <w:rPr>
                <w:sz w:val="14"/>
                <w:szCs w:val="14"/>
                <w:color w:val="auto"/>
              </w:rPr>
            </w:pPr>
          </w:p>
        </w:tc>
        <w:tc>
          <w:tcPr>
            <w:tcW w:w="1620" w:type="dxa"/>
            <w:vAlign w:val="bottom"/>
          </w:tcPr>
          <w:p>
            <w:pPr>
              <w:jc w:val="right"/>
              <w:ind w:right="519"/>
              <w:spacing w:after="0"/>
              <w:rPr>
                <w:sz w:val="20"/>
                <w:szCs w:val="20"/>
                <w:color w:val="auto"/>
              </w:rPr>
            </w:pPr>
            <w:r>
              <w:rPr>
                <w:rFonts w:ascii="Arial" w:cs="Arial" w:eastAsia="Arial" w:hAnsi="Arial"/>
                <w:sz w:val="13"/>
                <w:szCs w:val="13"/>
                <w:color w:val="auto"/>
              </w:rPr>
              <w:t>(845,866)</w:t>
            </w:r>
          </w:p>
        </w:tc>
        <w:tc>
          <w:tcPr>
            <w:tcW w:w="860" w:type="dxa"/>
            <w:vAlign w:val="bottom"/>
          </w:tcPr>
          <w:p>
            <w:pPr>
              <w:jc w:val="right"/>
              <w:spacing w:after="0"/>
              <w:rPr>
                <w:sz w:val="20"/>
                <w:szCs w:val="20"/>
                <w:color w:val="auto"/>
              </w:rPr>
            </w:pPr>
            <w:r>
              <w:rPr>
                <w:rFonts w:ascii="Arial" w:cs="Arial" w:eastAsia="Arial" w:hAnsi="Arial"/>
                <w:sz w:val="13"/>
                <w:szCs w:val="13"/>
                <w:color w:val="auto"/>
              </w:rPr>
              <w:t>(900,193)</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jc w:val="right"/>
              <w:ind w:right="19"/>
              <w:spacing w:after="0"/>
              <w:rPr>
                <w:sz w:val="20"/>
                <w:szCs w:val="20"/>
                <w:color w:val="auto"/>
              </w:rPr>
            </w:pPr>
            <w:r>
              <w:rPr>
                <w:rFonts w:ascii="Arial" w:cs="Arial" w:eastAsia="Arial" w:hAnsi="Arial"/>
                <w:sz w:val="13"/>
                <w:szCs w:val="13"/>
                <w:color w:val="auto"/>
              </w:rPr>
              <w:t>(845,149)</w:t>
            </w:r>
          </w:p>
        </w:tc>
        <w:tc>
          <w:tcPr>
            <w:tcW w:w="5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(911,957)</w:t>
            </w:r>
          </w:p>
        </w:tc>
      </w:tr>
      <w:tr>
        <w:trPr>
          <w:trHeight w:val="172"/>
        </w:trPr>
        <w:tc>
          <w:tcPr>
            <w:tcW w:w="5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Fixed-rate senior notes payable at 4.25%, at Level 2 inputs</w:t>
            </w: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jc w:val="right"/>
              <w:ind w:right="519"/>
              <w:spacing w:after="0"/>
              <w:rPr>
                <w:sz w:val="20"/>
                <w:szCs w:val="20"/>
                <w:color w:val="auto"/>
              </w:rPr>
            </w:pPr>
            <w:r>
              <w:rPr>
                <w:rFonts w:ascii="Arial" w:cs="Arial" w:eastAsia="Arial" w:hAnsi="Arial"/>
                <w:sz w:val="13"/>
                <w:szCs w:val="13"/>
                <w:color w:val="auto"/>
              </w:rPr>
              <w:t>(990,691)</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(1,055,140)</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5700" w:type="dxa"/>
            <w:vAlign w:val="bottom"/>
          </w:tcPr>
          <w:p>
            <w:pPr>
              <w:ind w:left="20"/>
              <w:spacing w:after="0"/>
              <w:rPr>
                <w:sz w:val="20"/>
                <w:szCs w:val="20"/>
                <w:color w:val="auto"/>
              </w:rPr>
            </w:pPr>
            <w:r>
              <w:rPr>
                <w:rFonts w:ascii="Arial" w:cs="Arial" w:eastAsia="Arial" w:hAnsi="Arial"/>
                <w:sz w:val="13"/>
                <w:szCs w:val="13"/>
                <w:color w:val="auto"/>
              </w:rPr>
              <w:t>Fixed-rate senior notes payable at 3.50%, at Level 2 inputs</w:t>
            </w:r>
          </w:p>
        </w:tc>
        <w:tc>
          <w:tcPr>
            <w:tcW w:w="240" w:type="dxa"/>
            <w:vAlign w:val="bottom"/>
          </w:tcPr>
          <w:p>
            <w:pPr>
              <w:spacing w:after="0"/>
              <w:rPr>
                <w:sz w:val="14"/>
                <w:szCs w:val="14"/>
                <w:color w:val="auto"/>
              </w:rPr>
            </w:pPr>
          </w:p>
        </w:tc>
        <w:tc>
          <w:tcPr>
            <w:tcW w:w="1620" w:type="dxa"/>
            <w:vAlign w:val="bottom"/>
          </w:tcPr>
          <w:p>
            <w:pPr>
              <w:jc w:val="right"/>
              <w:ind w:right="519"/>
              <w:spacing w:after="0"/>
              <w:rPr>
                <w:sz w:val="20"/>
                <w:szCs w:val="20"/>
                <w:color w:val="auto"/>
              </w:rPr>
            </w:pPr>
            <w:r>
              <w:rPr>
                <w:rFonts w:ascii="Arial" w:cs="Arial" w:eastAsia="Arial" w:hAnsi="Arial"/>
                <w:sz w:val="13"/>
                <w:szCs w:val="13"/>
                <w:color w:val="auto"/>
              </w:rPr>
              <w:t>(900,000)</w:t>
            </w:r>
          </w:p>
        </w:tc>
        <w:tc>
          <w:tcPr>
            <w:tcW w:w="860" w:type="dxa"/>
            <w:vAlign w:val="bottom"/>
          </w:tcPr>
          <w:p>
            <w:pPr>
              <w:jc w:val="right"/>
              <w:spacing w:after="0"/>
              <w:rPr>
                <w:sz w:val="20"/>
                <w:szCs w:val="20"/>
                <w:color w:val="auto"/>
              </w:rPr>
            </w:pPr>
            <w:r>
              <w:rPr>
                <w:rFonts w:ascii="Arial" w:cs="Arial" w:eastAsia="Arial" w:hAnsi="Arial"/>
                <w:sz w:val="13"/>
                <w:szCs w:val="13"/>
                <w:color w:val="auto"/>
              </w:rPr>
              <w:t>(915,120)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jc w:val="right"/>
              <w:ind w:right="39"/>
              <w:spacing w:after="0"/>
              <w:rPr>
                <w:sz w:val="20"/>
                <w:szCs w:val="20"/>
                <w:color w:val="auto"/>
              </w:rPr>
            </w:pPr>
            <w:r>
              <w:rPr>
                <w:rFonts w:ascii="Arial" w:cs="Arial" w:eastAsia="Arial" w:hAnsi="Arial"/>
                <w:sz w:val="13"/>
                <w:szCs w:val="13"/>
                <w:color w:val="auto"/>
              </w:rPr>
              <w:t>—</w:t>
            </w:r>
          </w:p>
        </w:tc>
        <w:tc>
          <w:tcPr>
            <w:tcW w:w="5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2"/>
        </w:trPr>
        <w:tc>
          <w:tcPr>
            <w:tcW w:w="5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Secured loans, at Level 3 inputs</w:t>
            </w: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jc w:val="right"/>
              <w:ind w:right="519"/>
              <w:spacing w:after="0"/>
              <w:rPr>
                <w:sz w:val="20"/>
                <w:szCs w:val="20"/>
                <w:color w:val="auto"/>
              </w:rPr>
            </w:pPr>
            <w:r>
              <w:rPr>
                <w:rFonts w:ascii="Arial" w:cs="Arial" w:eastAsia="Arial" w:hAnsi="Arial"/>
                <w:sz w:val="13"/>
                <w:szCs w:val="13"/>
                <w:color w:val="auto"/>
              </w:rPr>
              <w:t>(3)</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3"/>
                <w:szCs w:val="13"/>
                <w:color w:val="auto"/>
              </w:rPr>
              <w:t>(38)</w:t>
            </w:r>
          </w:p>
        </w:tc>
        <w:tc>
          <w:tcPr>
            <w:tcW w:w="5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w:t>
            </w:r>
          </w:p>
        </w:tc>
      </w:tr>
    </w:tbl>
    <w:p>
      <w:pPr>
        <w:spacing w:after="0" w:line="11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See “Note 13. Debt” for additional information.</w:t>
      </w:r>
    </w:p>
    <w:p>
      <w:pPr>
        <w:spacing w:after="0" w:line="136" w:lineRule="exact"/>
        <w:rPr>
          <w:sz w:val="20"/>
          <w:szCs w:val="20"/>
          <w:color w:val="auto"/>
        </w:rPr>
      </w:pPr>
    </w:p>
    <w:p>
      <w:pPr>
        <w:jc w:val="both"/>
        <w:ind w:firstLine="509"/>
        <w:spacing w:after="0" w:line="288" w:lineRule="auto"/>
        <w:rPr>
          <w:sz w:val="20"/>
          <w:szCs w:val="20"/>
          <w:color w:val="auto"/>
        </w:rPr>
      </w:pPr>
      <w:r>
        <w:rPr>
          <w:rFonts w:ascii="Arial" w:cs="Arial" w:eastAsia="Arial" w:hAnsi="Arial"/>
          <w:sz w:val="13"/>
          <w:szCs w:val="13"/>
          <w:color w:val="auto"/>
        </w:rPr>
        <w:t xml:space="preserve">The carrying amounts of our cash and cash equivalents, derivative trading accounts’ margin cash, restricted cash and cash equivalents, accounts receivable, accounts payable and certain other liabilities approximate their fair values due to their relatively short maturities. Derivative assets were recorded at fair value based on quoted market prices and are included in the line item </w:t>
      </w:r>
      <w:r>
        <w:rPr>
          <w:rFonts w:ascii="Arial" w:cs="Arial" w:eastAsia="Arial" w:hAnsi="Arial"/>
          <w:sz w:val="13"/>
          <w:szCs w:val="13"/>
          <w:i w:val="1"/>
          <w:iCs w:val="1"/>
          <w:color w:val="auto"/>
        </w:rPr>
        <w:t xml:space="preserve">Prepaid expenses and other current assets </w:t>
      </w:r>
      <w:r>
        <w:rPr>
          <w:rFonts w:ascii="Arial" w:cs="Arial" w:eastAsia="Arial" w:hAnsi="Arial"/>
          <w:sz w:val="13"/>
          <w:szCs w:val="13"/>
          <w:color w:val="auto"/>
        </w:rPr>
        <w:t>on the Consolidated Balance Sheets. Derivative liabilities were recorded at fair value based on quoted market prices and are included in the line item</w:t>
      </w:r>
      <w:r>
        <w:rPr>
          <w:rFonts w:ascii="Arial" w:cs="Arial" w:eastAsia="Arial" w:hAnsi="Arial"/>
          <w:sz w:val="13"/>
          <w:szCs w:val="13"/>
          <w:i w:val="1"/>
          <w:iCs w:val="1"/>
          <w:color w:val="auto"/>
        </w:rPr>
        <w:t xml:space="preserve"> Accrued expenses and other current liabilities </w:t>
      </w:r>
      <w:r>
        <w:rPr>
          <w:rFonts w:ascii="Arial" w:cs="Arial" w:eastAsia="Arial" w:hAnsi="Arial"/>
          <w:sz w:val="13"/>
          <w:szCs w:val="13"/>
          <w:color w:val="auto"/>
        </w:rPr>
        <w:t>on the Consolidated Balance Sheets. The fair values of the Company’s Level 2 fixed-rate debt obligation was based on the quoted</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88" w:name="page89"/>
    <w:bookmarkEnd w:id="8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NOTES TO CONSOLIDATED FINANCIAL STATEMENTS</w:t>
      </w:r>
    </w:p>
    <w:p>
      <w:pPr>
        <w:spacing w:after="0" w:line="391"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market price at December 26, 2021 or December 27, 2020, as applicable. The fair value of the Company’s Level 3 fixed-rate debt obligation was based on discounted cash flow using weighted average cost of debt of 0.5% as of December 26, 2021 and December 27, 2020.</w:t>
      </w:r>
    </w:p>
    <w:p>
      <w:pPr>
        <w:spacing w:after="0" w:line="90"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4"/>
          <w:szCs w:val="14"/>
          <w:color w:val="auto"/>
        </w:rPr>
        <w:t>In addition to assets and liabilities that are recorded at fair value on a recurring basis, the Company records certain assets and liabilities at fair value on a nonrecurring basis. Generally, assets are recorded at fair value on a nonrecurring basis as a result of impairment charges when required by U.S. GAAP. There were no significant fair value measurement losses recognized for such assets and liabilities in the periods reported.</w:t>
      </w:r>
    </w:p>
    <w:p>
      <w:pPr>
        <w:spacing w:after="0" w:line="95"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b w:val="1"/>
          <w:bCs w:val="1"/>
          <w:color w:val="auto"/>
        </w:rPr>
        <w:t>18.</w:t>
        <w:tab/>
        <w:t>RELATED PARTY TRANSACTIONS</w:t>
      </w:r>
    </w:p>
    <w:p>
      <w:pPr>
        <w:spacing w:after="0" w:line="140" w:lineRule="exact"/>
        <w:rPr>
          <w:sz w:val="20"/>
          <w:szCs w:val="20"/>
          <w:color w:val="auto"/>
        </w:rPr>
      </w:pPr>
    </w:p>
    <w:p>
      <w:pPr>
        <w:ind w:left="140"/>
        <w:spacing w:after="0"/>
        <w:rPr>
          <w:sz w:val="20"/>
          <w:szCs w:val="20"/>
          <w:color w:val="auto"/>
        </w:rPr>
      </w:pPr>
      <w:r>
        <w:rPr>
          <w:rFonts w:ascii="Arial" w:cs="Arial" w:eastAsia="Arial" w:hAnsi="Arial"/>
          <w:sz w:val="14"/>
          <w:szCs w:val="14"/>
          <w:color w:val="auto"/>
        </w:rPr>
        <w:t>Pilgrim’s has been and, in some cases, continues to be a party to certain transactions with affiliated companies.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64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1"/>
                <w:szCs w:val="11"/>
                <w:b w:val="1"/>
                <w:bCs w:val="1"/>
                <w:color w:val="auto"/>
                <w:w w:val="95"/>
              </w:rPr>
              <w:t>Year Ended</w:t>
            </w:r>
          </w:p>
        </w:tc>
        <w:tc>
          <w:tcPr>
            <w:tcW w:w="2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r>
      <w:tr>
        <w:trPr>
          <w:trHeight w:val="142"/>
        </w:trPr>
        <w:tc>
          <w:tcPr>
            <w:tcW w:w="64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gridSpan w:val="2"/>
          </w:tcPr>
          <w:p>
            <w:pPr>
              <w:ind w:left="120"/>
              <w:spacing w:after="0"/>
              <w:rPr>
                <w:sz w:val="20"/>
                <w:szCs w:val="20"/>
                <w:color w:val="auto"/>
              </w:rPr>
            </w:pPr>
            <w:r>
              <w:rPr>
                <w:rFonts w:ascii="Arial" w:cs="Arial" w:eastAsia="Arial" w:hAnsi="Arial"/>
                <w:sz w:val="11"/>
                <w:szCs w:val="11"/>
                <w:b w:val="1"/>
                <w:bCs w:val="1"/>
                <w:color w:val="auto"/>
              </w:rPr>
              <w:t>December 26, 2021</w:t>
            </w:r>
          </w:p>
        </w:tc>
        <w:tc>
          <w:tcPr>
            <w:tcW w:w="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1"/>
                <w:szCs w:val="11"/>
                <w:b w:val="1"/>
                <w:bCs w:val="1"/>
                <w:color w:val="auto"/>
                <w:w w:val="90"/>
              </w:rPr>
              <w:t>December 27, 2020</w:t>
            </w:r>
          </w:p>
        </w:tc>
        <w:tc>
          <w:tcPr>
            <w:tcW w:w="20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ind w:right="257"/>
              <w:spacing w:after="0"/>
              <w:rPr>
                <w:sz w:val="20"/>
                <w:szCs w:val="20"/>
                <w:color w:val="auto"/>
              </w:rPr>
            </w:pPr>
            <w:r>
              <w:rPr>
                <w:rFonts w:ascii="Arial" w:cs="Arial" w:eastAsia="Arial" w:hAnsi="Arial"/>
                <w:sz w:val="11"/>
                <w:szCs w:val="11"/>
                <w:b w:val="1"/>
                <w:bCs w:val="1"/>
                <w:color w:val="auto"/>
              </w:rPr>
              <w:t>December 29, 2019</w:t>
            </w:r>
          </w:p>
        </w:tc>
      </w:tr>
      <w:tr>
        <w:trPr>
          <w:trHeight w:val="124"/>
        </w:trPr>
        <w:tc>
          <w:tcPr>
            <w:tcW w:w="6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89"/>
              </w:rPr>
              <w:t>(In thousands)</w:t>
            </w:r>
          </w:p>
        </w:tc>
        <w:tc>
          <w:tcPr>
            <w:tcW w:w="200" w:type="dxa"/>
            <w:vAlign w:val="bottom"/>
          </w:tcPr>
          <w:p>
            <w:pPr>
              <w:spacing w:after="0"/>
              <w:rPr>
                <w:sz w:val="10"/>
                <w:szCs w:val="10"/>
                <w:color w:val="auto"/>
              </w:rPr>
            </w:pPr>
          </w:p>
        </w:tc>
        <w:tc>
          <w:tcPr>
            <w:tcW w:w="1360" w:type="dxa"/>
            <w:vAlign w:val="bottom"/>
          </w:tcPr>
          <w:p>
            <w:pPr>
              <w:spacing w:after="0"/>
              <w:rPr>
                <w:sz w:val="10"/>
                <w:szCs w:val="10"/>
                <w:color w:val="auto"/>
              </w:rPr>
            </w:pPr>
          </w:p>
        </w:tc>
      </w:tr>
      <w:tr>
        <w:trPr>
          <w:trHeight w:val="176"/>
        </w:trPr>
        <w:tc>
          <w:tcPr>
            <w:tcW w:w="64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Sales to related parties:</w:t>
            </w: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r>
      <w:tr>
        <w:trPr>
          <w:trHeight w:val="170"/>
        </w:trPr>
        <w:tc>
          <w:tcPr>
            <w:tcW w:w="6420" w:type="dxa"/>
            <w:vAlign w:val="bottom"/>
          </w:tcPr>
          <w:p>
            <w:pPr>
              <w:ind w:left="80"/>
              <w:spacing w:after="0" w:line="170" w:lineRule="exact"/>
              <w:rPr>
                <w:sz w:val="20"/>
                <w:szCs w:val="20"/>
                <w:color w:val="auto"/>
              </w:rPr>
            </w:pPr>
            <w:r>
              <w:rPr>
                <w:rFonts w:ascii="Arial" w:cs="Arial" w:eastAsia="Arial" w:hAnsi="Arial"/>
                <w:sz w:val="13"/>
                <w:szCs w:val="13"/>
                <w:color w:val="auto"/>
              </w:rPr>
              <w:t>JBS USA Food Company</w:t>
            </w:r>
            <w:r>
              <w:rPr>
                <w:rFonts w:ascii="Arial" w:cs="Arial" w:eastAsia="Arial" w:hAnsi="Arial"/>
                <w:sz w:val="16"/>
                <w:szCs w:val="16"/>
                <w:color w:val="auto"/>
                <w:vertAlign w:val="superscript"/>
              </w:rPr>
              <w:t>(a)</w:t>
            </w:r>
          </w:p>
        </w:tc>
        <w:tc>
          <w:tcPr>
            <w:tcW w:w="200" w:type="dxa"/>
            <w:vAlign w:val="bottom"/>
            <w:gridSpan w:val="2"/>
          </w:tcPr>
          <w:p>
            <w:pPr>
              <w:jc w:val="right"/>
              <w:ind w:right="56"/>
              <w:spacing w:after="0"/>
              <w:rPr>
                <w:sz w:val="20"/>
                <w:szCs w:val="20"/>
                <w:color w:val="auto"/>
              </w:rPr>
            </w:pPr>
            <w:r>
              <w:rPr>
                <w:rFonts w:ascii="Arial" w:cs="Arial" w:eastAsia="Arial" w:hAnsi="Arial"/>
                <w:sz w:val="13"/>
                <w:szCs w:val="13"/>
                <w:color w:val="auto"/>
                <w:w w:val="82"/>
              </w:rPr>
              <w:t>$</w:t>
            </w:r>
          </w:p>
        </w:tc>
        <w:tc>
          <w:tcPr>
            <w:tcW w:w="1360" w:type="dxa"/>
            <w:vAlign w:val="bottom"/>
          </w:tcPr>
          <w:p>
            <w:pPr>
              <w:jc w:val="right"/>
              <w:spacing w:after="0"/>
              <w:rPr>
                <w:sz w:val="20"/>
                <w:szCs w:val="20"/>
                <w:color w:val="auto"/>
              </w:rPr>
            </w:pPr>
            <w:r>
              <w:rPr>
                <w:rFonts w:ascii="Arial" w:cs="Arial" w:eastAsia="Arial" w:hAnsi="Arial"/>
                <w:sz w:val="13"/>
                <w:szCs w:val="13"/>
                <w:color w:val="auto"/>
              </w:rPr>
              <w:t>17,296</w:t>
            </w:r>
          </w:p>
        </w:tc>
        <w:tc>
          <w:tcPr>
            <w:tcW w:w="80" w:type="dxa"/>
            <w:vAlign w:val="bottom"/>
          </w:tcPr>
          <w:p>
            <w:pPr>
              <w:spacing w:after="0"/>
              <w:rPr>
                <w:sz w:val="14"/>
                <w:szCs w:val="14"/>
                <w:color w:val="auto"/>
              </w:rPr>
            </w:pPr>
          </w:p>
        </w:tc>
        <w:tc>
          <w:tcPr>
            <w:tcW w:w="220" w:type="dxa"/>
            <w:vAlign w:val="bottom"/>
            <w:gridSpan w:val="2"/>
          </w:tcPr>
          <w:p>
            <w:pPr>
              <w:jc w:val="right"/>
              <w:ind w:right="76"/>
              <w:spacing w:after="0"/>
              <w:rPr>
                <w:sz w:val="20"/>
                <w:szCs w:val="20"/>
                <w:color w:val="auto"/>
              </w:rPr>
            </w:pPr>
            <w:r>
              <w:rPr>
                <w:rFonts w:ascii="Arial" w:cs="Arial" w:eastAsia="Arial" w:hAnsi="Arial"/>
                <w:sz w:val="13"/>
                <w:szCs w:val="13"/>
                <w:color w:val="auto"/>
                <w:w w:val="82"/>
              </w:rPr>
              <w:t>$</w:t>
            </w:r>
          </w:p>
        </w:tc>
        <w:tc>
          <w:tcPr>
            <w:tcW w:w="1340" w:type="dxa"/>
            <w:vAlign w:val="bottom"/>
          </w:tcPr>
          <w:p>
            <w:pPr>
              <w:jc w:val="right"/>
              <w:spacing w:after="0"/>
              <w:rPr>
                <w:sz w:val="20"/>
                <w:szCs w:val="20"/>
                <w:color w:val="auto"/>
              </w:rPr>
            </w:pPr>
            <w:r>
              <w:rPr>
                <w:rFonts w:ascii="Arial" w:cs="Arial" w:eastAsia="Arial" w:hAnsi="Arial"/>
                <w:sz w:val="13"/>
                <w:szCs w:val="13"/>
                <w:color w:val="auto"/>
              </w:rPr>
              <w:t>14,228</w:t>
            </w:r>
          </w:p>
        </w:tc>
        <w:tc>
          <w:tcPr>
            <w:tcW w:w="100" w:type="dxa"/>
            <w:vAlign w:val="bottom"/>
          </w:tcPr>
          <w:p>
            <w:pPr>
              <w:spacing w:after="0"/>
              <w:rPr>
                <w:sz w:val="14"/>
                <w:szCs w:val="14"/>
                <w:color w:val="auto"/>
              </w:rPr>
            </w:pP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1360" w:type="dxa"/>
            <w:vAlign w:val="bottom"/>
          </w:tcPr>
          <w:p>
            <w:pPr>
              <w:jc w:val="right"/>
              <w:spacing w:after="0"/>
              <w:rPr>
                <w:sz w:val="20"/>
                <w:szCs w:val="20"/>
                <w:color w:val="auto"/>
              </w:rPr>
            </w:pPr>
            <w:r>
              <w:rPr>
                <w:rFonts w:ascii="Arial" w:cs="Arial" w:eastAsia="Arial" w:hAnsi="Arial"/>
                <w:sz w:val="13"/>
                <w:szCs w:val="13"/>
                <w:color w:val="auto"/>
              </w:rPr>
              <w:t>14,108</w:t>
            </w:r>
          </w:p>
        </w:tc>
      </w:tr>
      <w:tr>
        <w:trPr>
          <w:trHeight w:val="170"/>
        </w:trPr>
        <w:tc>
          <w:tcPr>
            <w:tcW w:w="6420" w:type="dxa"/>
            <w:vAlign w:val="bottom"/>
            <w:shd w:val="clear" w:color="auto" w:fill="CCEEFF"/>
          </w:tcPr>
          <w:p>
            <w:pPr>
              <w:ind w:left="80"/>
              <w:spacing w:after="0"/>
              <w:rPr>
                <w:sz w:val="20"/>
                <w:szCs w:val="20"/>
                <w:color w:val="auto"/>
              </w:rPr>
            </w:pPr>
            <w:r>
              <w:rPr>
                <w:rFonts w:ascii="Arial" w:cs="Arial" w:eastAsia="Arial" w:hAnsi="Arial"/>
                <w:sz w:val="13"/>
                <w:szCs w:val="13"/>
                <w:color w:val="auto"/>
              </w:rPr>
              <w:t>JBS Australia Pty. Ltd.</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2,439</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2,540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6420" w:type="dxa"/>
            <w:vAlign w:val="bottom"/>
          </w:tcPr>
          <w:p>
            <w:pPr>
              <w:ind w:left="80"/>
              <w:spacing w:after="0"/>
              <w:rPr>
                <w:sz w:val="20"/>
                <w:szCs w:val="20"/>
                <w:color w:val="auto"/>
              </w:rPr>
            </w:pPr>
            <w:r>
              <w:rPr>
                <w:rFonts w:ascii="Arial" w:cs="Arial" w:eastAsia="Arial" w:hAnsi="Arial"/>
                <w:sz w:val="13"/>
                <w:szCs w:val="13"/>
                <w:color w:val="auto"/>
              </w:rPr>
              <w:t>Combo, Mercado de Congelados</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1,368</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887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207</w:t>
            </w:r>
          </w:p>
        </w:tc>
      </w:tr>
      <w:tr>
        <w:trPr>
          <w:trHeight w:val="172"/>
        </w:trPr>
        <w:tc>
          <w:tcPr>
            <w:tcW w:w="6420" w:type="dxa"/>
            <w:vAlign w:val="bottom"/>
            <w:shd w:val="clear" w:color="auto" w:fill="CCEEFF"/>
          </w:tcPr>
          <w:p>
            <w:pPr>
              <w:ind w:left="80"/>
              <w:spacing w:after="0"/>
              <w:rPr>
                <w:sz w:val="20"/>
                <w:szCs w:val="20"/>
                <w:color w:val="auto"/>
              </w:rPr>
            </w:pPr>
            <w:r>
              <w:rPr>
                <w:rFonts w:ascii="Arial" w:cs="Arial" w:eastAsia="Arial" w:hAnsi="Arial"/>
                <w:sz w:val="13"/>
                <w:szCs w:val="13"/>
                <w:color w:val="auto"/>
              </w:rPr>
              <w:t>JBS Chile Ltda.</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353</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482</w:t>
            </w:r>
          </w:p>
        </w:tc>
      </w:tr>
      <w:tr>
        <w:trPr>
          <w:trHeight w:val="168"/>
        </w:trPr>
        <w:tc>
          <w:tcPr>
            <w:tcW w:w="6420" w:type="dxa"/>
            <w:vAlign w:val="bottom"/>
          </w:tcPr>
          <w:p>
            <w:pPr>
              <w:ind w:left="80"/>
              <w:spacing w:after="0"/>
              <w:rPr>
                <w:sz w:val="20"/>
                <w:szCs w:val="20"/>
                <w:color w:val="auto"/>
              </w:rPr>
            </w:pPr>
            <w:r>
              <w:rPr>
                <w:rFonts w:ascii="Arial" w:cs="Arial" w:eastAsia="Arial" w:hAnsi="Arial"/>
                <w:sz w:val="13"/>
                <w:szCs w:val="13"/>
                <w:color w:val="auto"/>
              </w:rPr>
              <w:t>JBS Global (UK) Ltd.</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141</w:t>
            </w:r>
          </w:p>
        </w:tc>
      </w:tr>
      <w:tr>
        <w:trPr>
          <w:trHeight w:val="188"/>
        </w:trPr>
        <w:tc>
          <w:tcPr>
            <w:tcW w:w="6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sales to related parties</w:t>
            </w:r>
          </w:p>
        </w:tc>
        <w:tc>
          <w:tcPr>
            <w:tcW w:w="200" w:type="dxa"/>
            <w:vAlign w:val="bottom"/>
            <w:tcBorders>
              <w:top w:val="single" w:sz="8" w:color="auto"/>
              <w:bottom w:val="single" w:sz="8" w:color="auto"/>
            </w:tcBorders>
            <w:gridSpan w:val="2"/>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21,456</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gridSpan w:val="2"/>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17,880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14,938</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255"/>
        </w:trPr>
        <w:tc>
          <w:tcPr>
            <w:tcW w:w="6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1"/>
                <w:szCs w:val="11"/>
                <w:b w:val="1"/>
                <w:bCs w:val="1"/>
                <w:color w:val="auto"/>
                <w:w w:val="92"/>
              </w:rPr>
              <w:t>Year Ended</w:t>
            </w:r>
          </w:p>
        </w:tc>
        <w:tc>
          <w:tcPr>
            <w:tcW w:w="2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spacing w:after="0"/>
              <w:rPr>
                <w:sz w:val="22"/>
                <w:szCs w:val="22"/>
                <w:color w:val="auto"/>
              </w:rPr>
            </w:pPr>
          </w:p>
        </w:tc>
      </w:tr>
      <w:tr>
        <w:trPr>
          <w:trHeight w:val="142"/>
        </w:trPr>
        <w:tc>
          <w:tcPr>
            <w:tcW w:w="6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gridSpan w:val="2"/>
          </w:tcPr>
          <w:p>
            <w:pPr>
              <w:ind w:left="140"/>
              <w:spacing w:after="0"/>
              <w:rPr>
                <w:sz w:val="20"/>
                <w:szCs w:val="20"/>
                <w:color w:val="auto"/>
              </w:rPr>
            </w:pPr>
            <w:r>
              <w:rPr>
                <w:rFonts w:ascii="Arial" w:cs="Arial" w:eastAsia="Arial" w:hAnsi="Arial"/>
                <w:sz w:val="11"/>
                <w:szCs w:val="11"/>
                <w:b w:val="1"/>
                <w:bCs w:val="1"/>
                <w:color w:val="auto"/>
              </w:rPr>
              <w:t>December 26, 2021</w:t>
            </w:r>
          </w:p>
        </w:tc>
        <w:tc>
          <w:tcPr>
            <w:tcW w:w="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1"/>
                <w:szCs w:val="11"/>
                <w:b w:val="1"/>
                <w:bCs w:val="1"/>
                <w:color w:val="auto"/>
                <w:w w:val="92"/>
              </w:rPr>
              <w:t>December 27, 2020</w:t>
            </w:r>
          </w:p>
        </w:tc>
        <w:tc>
          <w:tcPr>
            <w:tcW w:w="20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ind w:right="257"/>
              <w:spacing w:after="0"/>
              <w:rPr>
                <w:sz w:val="20"/>
                <w:szCs w:val="20"/>
                <w:color w:val="auto"/>
              </w:rPr>
            </w:pPr>
            <w:r>
              <w:rPr>
                <w:rFonts w:ascii="Arial" w:cs="Arial" w:eastAsia="Arial" w:hAnsi="Arial"/>
                <w:sz w:val="11"/>
                <w:szCs w:val="11"/>
                <w:b w:val="1"/>
                <w:bCs w:val="1"/>
                <w:color w:val="auto"/>
              </w:rPr>
              <w:t>December 29, 2019</w:t>
            </w:r>
          </w:p>
        </w:tc>
      </w:tr>
      <w:tr>
        <w:trPr>
          <w:trHeight w:val="124"/>
        </w:trPr>
        <w:tc>
          <w:tcPr>
            <w:tcW w:w="6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87"/>
              </w:rPr>
              <w:t>(In thousands)</w:t>
            </w:r>
          </w:p>
        </w:tc>
        <w:tc>
          <w:tcPr>
            <w:tcW w:w="200" w:type="dxa"/>
            <w:vAlign w:val="bottom"/>
          </w:tcPr>
          <w:p>
            <w:pPr>
              <w:spacing w:after="0"/>
              <w:rPr>
                <w:sz w:val="10"/>
                <w:szCs w:val="10"/>
                <w:color w:val="auto"/>
              </w:rPr>
            </w:pPr>
          </w:p>
        </w:tc>
        <w:tc>
          <w:tcPr>
            <w:tcW w:w="1360" w:type="dxa"/>
            <w:vAlign w:val="bottom"/>
          </w:tcPr>
          <w:p>
            <w:pPr>
              <w:spacing w:after="0"/>
              <w:rPr>
                <w:sz w:val="10"/>
                <w:szCs w:val="10"/>
                <w:color w:val="auto"/>
              </w:rPr>
            </w:pPr>
          </w:p>
        </w:tc>
      </w:tr>
      <w:tr>
        <w:trPr>
          <w:trHeight w:val="176"/>
        </w:trPr>
        <w:tc>
          <w:tcPr>
            <w:tcW w:w="64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Cost of goods purchased from related parties:</w:t>
            </w: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r>
      <w:tr>
        <w:trPr>
          <w:trHeight w:val="170"/>
        </w:trPr>
        <w:tc>
          <w:tcPr>
            <w:tcW w:w="6420" w:type="dxa"/>
            <w:vAlign w:val="bottom"/>
          </w:tcPr>
          <w:p>
            <w:pPr>
              <w:ind w:left="80"/>
              <w:spacing w:after="0" w:line="170" w:lineRule="exact"/>
              <w:rPr>
                <w:sz w:val="20"/>
                <w:szCs w:val="20"/>
                <w:color w:val="auto"/>
              </w:rPr>
            </w:pPr>
            <w:r>
              <w:rPr>
                <w:rFonts w:ascii="Arial" w:cs="Arial" w:eastAsia="Arial" w:hAnsi="Arial"/>
                <w:sz w:val="13"/>
                <w:szCs w:val="13"/>
                <w:color w:val="auto"/>
              </w:rPr>
              <w:t>JBS USA Food Company</w:t>
            </w:r>
            <w:r>
              <w:rPr>
                <w:rFonts w:ascii="Arial" w:cs="Arial" w:eastAsia="Arial" w:hAnsi="Arial"/>
                <w:sz w:val="16"/>
                <w:szCs w:val="16"/>
                <w:color w:val="auto"/>
                <w:vertAlign w:val="superscript"/>
              </w:rPr>
              <w:t>(a)</w:t>
            </w:r>
          </w:p>
        </w:tc>
        <w:tc>
          <w:tcPr>
            <w:tcW w:w="200" w:type="dxa"/>
            <w:vAlign w:val="bottom"/>
            <w:gridSpan w:val="2"/>
          </w:tcPr>
          <w:p>
            <w:pPr>
              <w:jc w:val="right"/>
              <w:ind w:right="36"/>
              <w:spacing w:after="0"/>
              <w:rPr>
                <w:sz w:val="20"/>
                <w:szCs w:val="20"/>
                <w:color w:val="auto"/>
              </w:rPr>
            </w:pPr>
            <w:r>
              <w:rPr>
                <w:rFonts w:ascii="Arial" w:cs="Arial" w:eastAsia="Arial" w:hAnsi="Arial"/>
                <w:sz w:val="13"/>
                <w:szCs w:val="13"/>
                <w:color w:val="auto"/>
              </w:rPr>
              <w:t>$</w:t>
            </w:r>
          </w:p>
        </w:tc>
        <w:tc>
          <w:tcPr>
            <w:tcW w:w="1360" w:type="dxa"/>
            <w:vAlign w:val="bottom"/>
          </w:tcPr>
          <w:p>
            <w:pPr>
              <w:jc w:val="right"/>
              <w:spacing w:after="0"/>
              <w:rPr>
                <w:sz w:val="20"/>
                <w:szCs w:val="20"/>
                <w:color w:val="auto"/>
              </w:rPr>
            </w:pPr>
            <w:r>
              <w:rPr>
                <w:rFonts w:ascii="Arial" w:cs="Arial" w:eastAsia="Arial" w:hAnsi="Arial"/>
                <w:sz w:val="13"/>
                <w:szCs w:val="13"/>
                <w:color w:val="auto"/>
              </w:rPr>
              <w:t>210,657</w:t>
            </w:r>
          </w:p>
        </w:tc>
        <w:tc>
          <w:tcPr>
            <w:tcW w:w="80" w:type="dxa"/>
            <w:vAlign w:val="bottom"/>
          </w:tcPr>
          <w:p>
            <w:pPr>
              <w:spacing w:after="0"/>
              <w:rPr>
                <w:sz w:val="14"/>
                <w:szCs w:val="14"/>
                <w:color w:val="auto"/>
              </w:rPr>
            </w:pPr>
          </w:p>
        </w:tc>
        <w:tc>
          <w:tcPr>
            <w:tcW w:w="220" w:type="dxa"/>
            <w:vAlign w:val="bottom"/>
            <w:gridSpan w:val="2"/>
          </w:tcPr>
          <w:p>
            <w:pPr>
              <w:jc w:val="right"/>
              <w:ind w:right="56"/>
              <w:spacing w:after="0"/>
              <w:rPr>
                <w:sz w:val="20"/>
                <w:szCs w:val="20"/>
                <w:color w:val="auto"/>
              </w:rPr>
            </w:pPr>
            <w:r>
              <w:rPr>
                <w:rFonts w:ascii="Arial" w:cs="Arial" w:eastAsia="Arial" w:hAnsi="Arial"/>
                <w:sz w:val="13"/>
                <w:szCs w:val="13"/>
                <w:color w:val="auto"/>
              </w:rPr>
              <w:t>$</w:t>
            </w:r>
          </w:p>
        </w:tc>
        <w:tc>
          <w:tcPr>
            <w:tcW w:w="1340" w:type="dxa"/>
            <w:vAlign w:val="bottom"/>
          </w:tcPr>
          <w:p>
            <w:pPr>
              <w:jc w:val="right"/>
              <w:spacing w:after="0"/>
              <w:rPr>
                <w:sz w:val="20"/>
                <w:szCs w:val="20"/>
                <w:color w:val="auto"/>
              </w:rPr>
            </w:pPr>
            <w:r>
              <w:rPr>
                <w:rFonts w:ascii="Arial" w:cs="Arial" w:eastAsia="Arial" w:hAnsi="Arial"/>
                <w:sz w:val="13"/>
                <w:szCs w:val="13"/>
                <w:color w:val="auto"/>
              </w:rPr>
              <w:t>142,615</w:t>
            </w:r>
          </w:p>
        </w:tc>
        <w:tc>
          <w:tcPr>
            <w:tcW w:w="100" w:type="dxa"/>
            <w:vAlign w:val="bottom"/>
          </w:tcPr>
          <w:p>
            <w:pPr>
              <w:spacing w:after="0"/>
              <w:rPr>
                <w:sz w:val="14"/>
                <w:szCs w:val="14"/>
                <w:color w:val="auto"/>
              </w:rPr>
            </w:pP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1360" w:type="dxa"/>
            <w:vAlign w:val="bottom"/>
          </w:tcPr>
          <w:p>
            <w:pPr>
              <w:jc w:val="right"/>
              <w:spacing w:after="0"/>
              <w:rPr>
                <w:sz w:val="20"/>
                <w:szCs w:val="20"/>
                <w:color w:val="auto"/>
              </w:rPr>
            </w:pPr>
            <w:r>
              <w:rPr>
                <w:rFonts w:ascii="Arial" w:cs="Arial" w:eastAsia="Arial" w:hAnsi="Arial"/>
                <w:sz w:val="13"/>
                <w:szCs w:val="13"/>
                <w:color w:val="auto"/>
              </w:rPr>
              <w:t>134,790</w:t>
            </w:r>
          </w:p>
        </w:tc>
      </w:tr>
      <w:tr>
        <w:trPr>
          <w:trHeight w:val="170"/>
        </w:trPr>
        <w:tc>
          <w:tcPr>
            <w:tcW w:w="6420" w:type="dxa"/>
            <w:vAlign w:val="bottom"/>
            <w:shd w:val="clear" w:color="auto" w:fill="CCEEFF"/>
          </w:tcPr>
          <w:p>
            <w:pPr>
              <w:ind w:left="80"/>
              <w:spacing w:after="0"/>
              <w:rPr>
                <w:sz w:val="20"/>
                <w:szCs w:val="20"/>
                <w:color w:val="auto"/>
              </w:rPr>
            </w:pPr>
            <w:r>
              <w:rPr>
                <w:rFonts w:ascii="Arial" w:cs="Arial" w:eastAsia="Arial" w:hAnsi="Arial"/>
                <w:sz w:val="13"/>
                <w:szCs w:val="13"/>
                <w:color w:val="auto"/>
              </w:rPr>
              <w:t>Penasul UK LTD</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6,697</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6420" w:type="dxa"/>
            <w:vAlign w:val="bottom"/>
          </w:tcPr>
          <w:p>
            <w:pPr>
              <w:ind w:left="80"/>
              <w:spacing w:after="0"/>
              <w:rPr>
                <w:sz w:val="20"/>
                <w:szCs w:val="20"/>
                <w:color w:val="auto"/>
              </w:rPr>
            </w:pPr>
            <w:r>
              <w:rPr>
                <w:rFonts w:ascii="Arial" w:cs="Arial" w:eastAsia="Arial" w:hAnsi="Arial"/>
                <w:sz w:val="13"/>
                <w:szCs w:val="13"/>
                <w:color w:val="auto"/>
              </w:rPr>
              <w:t>Seara Meats B.V.</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4,722</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8,138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22,797</w:t>
            </w:r>
          </w:p>
        </w:tc>
      </w:tr>
      <w:tr>
        <w:trPr>
          <w:trHeight w:val="172"/>
        </w:trPr>
        <w:tc>
          <w:tcPr>
            <w:tcW w:w="6420" w:type="dxa"/>
            <w:vAlign w:val="bottom"/>
            <w:shd w:val="clear" w:color="auto" w:fill="CCEEFF"/>
          </w:tcPr>
          <w:p>
            <w:pPr>
              <w:ind w:left="80"/>
              <w:spacing w:after="0"/>
              <w:rPr>
                <w:sz w:val="20"/>
                <w:szCs w:val="20"/>
                <w:color w:val="auto"/>
              </w:rPr>
            </w:pPr>
            <w:r>
              <w:rPr>
                <w:rFonts w:ascii="Arial" w:cs="Arial" w:eastAsia="Arial" w:hAnsi="Arial"/>
                <w:sz w:val="13"/>
                <w:szCs w:val="13"/>
                <w:color w:val="auto"/>
              </w:rPr>
              <w:t>JBS Global (UK) Ltd.</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871</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170</w:t>
            </w:r>
          </w:p>
        </w:tc>
      </w:tr>
      <w:tr>
        <w:trPr>
          <w:trHeight w:val="168"/>
        </w:trPr>
        <w:tc>
          <w:tcPr>
            <w:tcW w:w="6420" w:type="dxa"/>
            <w:vAlign w:val="bottom"/>
          </w:tcPr>
          <w:p>
            <w:pPr>
              <w:ind w:left="80"/>
              <w:spacing w:after="0"/>
              <w:rPr>
                <w:sz w:val="20"/>
                <w:szCs w:val="20"/>
                <w:color w:val="auto"/>
              </w:rPr>
            </w:pPr>
            <w:r>
              <w:rPr>
                <w:rFonts w:ascii="Arial" w:cs="Arial" w:eastAsia="Arial" w:hAnsi="Arial"/>
                <w:sz w:val="13"/>
                <w:szCs w:val="13"/>
                <w:color w:val="auto"/>
              </w:rPr>
              <w:t>Planterra Food Company</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152</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2"/>
        </w:trPr>
        <w:tc>
          <w:tcPr>
            <w:tcW w:w="6420" w:type="dxa"/>
            <w:vAlign w:val="bottom"/>
            <w:shd w:val="clear" w:color="auto" w:fill="CCEEFF"/>
          </w:tcPr>
          <w:p>
            <w:pPr>
              <w:ind w:left="80"/>
              <w:spacing w:after="0"/>
              <w:rPr>
                <w:sz w:val="20"/>
                <w:szCs w:val="20"/>
                <w:color w:val="auto"/>
              </w:rPr>
            </w:pPr>
            <w:r>
              <w:rPr>
                <w:rFonts w:ascii="Arial" w:cs="Arial" w:eastAsia="Arial" w:hAnsi="Arial"/>
                <w:sz w:val="13"/>
                <w:szCs w:val="13"/>
                <w:color w:val="auto"/>
              </w:rPr>
              <w:t>Vivera Topholding B.V.</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6420" w:type="dxa"/>
            <w:vAlign w:val="bottom"/>
          </w:tcPr>
          <w:p>
            <w:pPr>
              <w:ind w:left="80"/>
              <w:spacing w:after="0"/>
              <w:rPr>
                <w:sz w:val="20"/>
                <w:szCs w:val="20"/>
                <w:color w:val="auto"/>
              </w:rPr>
            </w:pPr>
            <w:r>
              <w:rPr>
                <w:rFonts w:ascii="Arial" w:cs="Arial" w:eastAsia="Arial" w:hAnsi="Arial"/>
                <w:sz w:val="13"/>
                <w:szCs w:val="13"/>
                <w:color w:val="auto"/>
              </w:rPr>
              <w:t>JBS Asia CO Limited</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5</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2"/>
        </w:trPr>
        <w:tc>
          <w:tcPr>
            <w:tcW w:w="6420" w:type="dxa"/>
            <w:vAlign w:val="bottom"/>
            <w:shd w:val="clear" w:color="auto" w:fill="CCEEFF"/>
          </w:tcPr>
          <w:p>
            <w:pPr>
              <w:ind w:left="80"/>
              <w:spacing w:after="0"/>
              <w:rPr>
                <w:sz w:val="20"/>
                <w:szCs w:val="20"/>
                <w:color w:val="auto"/>
              </w:rPr>
            </w:pPr>
            <w:r>
              <w:rPr>
                <w:rFonts w:ascii="Arial" w:cs="Arial" w:eastAsia="Arial" w:hAnsi="Arial"/>
                <w:sz w:val="13"/>
                <w:szCs w:val="13"/>
                <w:color w:val="auto"/>
              </w:rPr>
              <w:t>JBS Toledo NV</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307</w:t>
            </w:r>
          </w:p>
        </w:tc>
      </w:tr>
      <w:tr>
        <w:trPr>
          <w:trHeight w:val="170"/>
        </w:trPr>
        <w:tc>
          <w:tcPr>
            <w:tcW w:w="6420" w:type="dxa"/>
            <w:vAlign w:val="bottom"/>
          </w:tcPr>
          <w:p>
            <w:pPr>
              <w:ind w:left="20"/>
              <w:spacing w:after="0"/>
              <w:rPr>
                <w:sz w:val="20"/>
                <w:szCs w:val="20"/>
                <w:color w:val="auto"/>
              </w:rPr>
            </w:pPr>
            <w:r>
              <w:rPr>
                <w:rFonts w:ascii="Arial" w:cs="Arial" w:eastAsia="Arial" w:hAnsi="Arial"/>
                <w:sz w:val="13"/>
                <w:szCs w:val="13"/>
                <w:b w:val="1"/>
                <w:bCs w:val="1"/>
                <w:color w:val="auto"/>
              </w:rPr>
              <w:t>Total cost of goods purchased from related parties</w:t>
            </w:r>
          </w:p>
        </w:tc>
        <w:tc>
          <w:tcPr>
            <w:tcW w:w="20" w:type="dxa"/>
            <w:vAlign w:val="bottom"/>
          </w:tcPr>
          <w:p>
            <w:pPr>
              <w:spacing w:after="0"/>
              <w:rPr>
                <w:sz w:val="14"/>
                <w:szCs w:val="14"/>
                <w:color w:val="auto"/>
              </w:rPr>
            </w:pPr>
          </w:p>
        </w:tc>
        <w:tc>
          <w:tcPr>
            <w:tcW w:w="1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w w:val="82"/>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223,135</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w w:val="82"/>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151,582</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w w:val="82"/>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158,064</w:t>
            </w:r>
          </w:p>
        </w:tc>
      </w:tr>
      <w:tr>
        <w:trPr>
          <w:trHeight w:val="20"/>
        </w:trPr>
        <w:tc>
          <w:tcPr>
            <w:tcW w:w="6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75"/>
        </w:trPr>
        <w:tc>
          <w:tcPr>
            <w:tcW w:w="6420" w:type="dxa"/>
            <w:vAlign w:val="bottom"/>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1"/>
                <w:szCs w:val="11"/>
                <w:b w:val="1"/>
                <w:bCs w:val="1"/>
                <w:color w:val="auto"/>
                <w:w w:val="95"/>
              </w:rPr>
              <w:t>Year Ended</w:t>
            </w:r>
          </w:p>
        </w:tc>
        <w:tc>
          <w:tcPr>
            <w:tcW w:w="20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spacing w:after="0"/>
              <w:rPr>
                <w:sz w:val="23"/>
                <w:szCs w:val="23"/>
                <w:color w:val="auto"/>
              </w:rPr>
            </w:pPr>
          </w:p>
        </w:tc>
      </w:tr>
      <w:tr>
        <w:trPr>
          <w:trHeight w:val="142"/>
        </w:trPr>
        <w:tc>
          <w:tcPr>
            <w:tcW w:w="64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gridSpan w:val="2"/>
          </w:tcPr>
          <w:p>
            <w:pPr>
              <w:ind w:left="120"/>
              <w:spacing w:after="0"/>
              <w:rPr>
                <w:sz w:val="20"/>
                <w:szCs w:val="20"/>
                <w:color w:val="auto"/>
              </w:rPr>
            </w:pPr>
            <w:r>
              <w:rPr>
                <w:rFonts w:ascii="Arial" w:cs="Arial" w:eastAsia="Arial" w:hAnsi="Arial"/>
                <w:sz w:val="11"/>
                <w:szCs w:val="11"/>
                <w:b w:val="1"/>
                <w:bCs w:val="1"/>
                <w:color w:val="auto"/>
              </w:rPr>
              <w:t>December 26, 2021</w:t>
            </w:r>
          </w:p>
        </w:tc>
        <w:tc>
          <w:tcPr>
            <w:tcW w:w="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1"/>
                <w:szCs w:val="11"/>
                <w:b w:val="1"/>
                <w:bCs w:val="1"/>
                <w:color w:val="auto"/>
                <w:w w:val="90"/>
              </w:rPr>
              <w:t>December 27, 2020</w:t>
            </w:r>
          </w:p>
        </w:tc>
        <w:tc>
          <w:tcPr>
            <w:tcW w:w="20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ind w:right="257"/>
              <w:spacing w:after="0"/>
              <w:rPr>
                <w:sz w:val="20"/>
                <w:szCs w:val="20"/>
                <w:color w:val="auto"/>
              </w:rPr>
            </w:pPr>
            <w:r>
              <w:rPr>
                <w:rFonts w:ascii="Arial" w:cs="Arial" w:eastAsia="Arial" w:hAnsi="Arial"/>
                <w:sz w:val="11"/>
                <w:szCs w:val="11"/>
                <w:b w:val="1"/>
                <w:bCs w:val="1"/>
                <w:color w:val="auto"/>
              </w:rPr>
              <w:t>December 29, 2019</w:t>
            </w:r>
          </w:p>
        </w:tc>
      </w:tr>
      <w:tr>
        <w:trPr>
          <w:trHeight w:val="124"/>
        </w:trPr>
        <w:tc>
          <w:tcPr>
            <w:tcW w:w="6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89"/>
              </w:rPr>
              <w:t>(In thousands)</w:t>
            </w:r>
          </w:p>
        </w:tc>
        <w:tc>
          <w:tcPr>
            <w:tcW w:w="200" w:type="dxa"/>
            <w:vAlign w:val="bottom"/>
          </w:tcPr>
          <w:p>
            <w:pPr>
              <w:spacing w:after="0"/>
              <w:rPr>
                <w:sz w:val="10"/>
                <w:szCs w:val="10"/>
                <w:color w:val="auto"/>
              </w:rPr>
            </w:pPr>
          </w:p>
        </w:tc>
        <w:tc>
          <w:tcPr>
            <w:tcW w:w="1360" w:type="dxa"/>
            <w:vAlign w:val="bottom"/>
          </w:tcPr>
          <w:p>
            <w:pPr>
              <w:spacing w:after="0"/>
              <w:rPr>
                <w:sz w:val="10"/>
                <w:szCs w:val="10"/>
                <w:color w:val="auto"/>
              </w:rPr>
            </w:pPr>
          </w:p>
        </w:tc>
      </w:tr>
      <w:tr>
        <w:trPr>
          <w:trHeight w:val="176"/>
        </w:trPr>
        <w:tc>
          <w:tcPr>
            <w:tcW w:w="64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Expenditures paid by related parties:</w:t>
            </w: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r>
      <w:tr>
        <w:trPr>
          <w:trHeight w:val="170"/>
        </w:trPr>
        <w:tc>
          <w:tcPr>
            <w:tcW w:w="6420" w:type="dxa"/>
            <w:vAlign w:val="bottom"/>
          </w:tcPr>
          <w:p>
            <w:pPr>
              <w:ind w:left="80"/>
              <w:spacing w:after="0" w:line="170" w:lineRule="exact"/>
              <w:rPr>
                <w:sz w:val="20"/>
                <w:szCs w:val="20"/>
                <w:color w:val="auto"/>
              </w:rPr>
            </w:pPr>
            <w:r>
              <w:rPr>
                <w:rFonts w:ascii="Arial" w:cs="Arial" w:eastAsia="Arial" w:hAnsi="Arial"/>
                <w:sz w:val="13"/>
                <w:szCs w:val="13"/>
                <w:color w:val="auto"/>
              </w:rPr>
              <w:t>JBS USA Food Company</w:t>
            </w:r>
            <w:r>
              <w:rPr>
                <w:rFonts w:ascii="Arial" w:cs="Arial" w:eastAsia="Arial" w:hAnsi="Arial"/>
                <w:sz w:val="16"/>
                <w:szCs w:val="16"/>
                <w:color w:val="auto"/>
                <w:vertAlign w:val="superscript"/>
              </w:rPr>
              <w:t>(b)</w:t>
            </w:r>
          </w:p>
        </w:tc>
        <w:tc>
          <w:tcPr>
            <w:tcW w:w="200" w:type="dxa"/>
            <w:vAlign w:val="bottom"/>
            <w:gridSpan w:val="2"/>
          </w:tcPr>
          <w:p>
            <w:pPr>
              <w:jc w:val="right"/>
              <w:ind w:right="56"/>
              <w:spacing w:after="0"/>
              <w:rPr>
                <w:sz w:val="20"/>
                <w:szCs w:val="20"/>
                <w:color w:val="auto"/>
              </w:rPr>
            </w:pPr>
            <w:r>
              <w:rPr>
                <w:rFonts w:ascii="Arial" w:cs="Arial" w:eastAsia="Arial" w:hAnsi="Arial"/>
                <w:sz w:val="13"/>
                <w:szCs w:val="13"/>
                <w:color w:val="auto"/>
                <w:w w:val="82"/>
              </w:rPr>
              <w:t>$</w:t>
            </w:r>
          </w:p>
        </w:tc>
        <w:tc>
          <w:tcPr>
            <w:tcW w:w="1360" w:type="dxa"/>
            <w:vAlign w:val="bottom"/>
          </w:tcPr>
          <w:p>
            <w:pPr>
              <w:jc w:val="right"/>
              <w:spacing w:after="0"/>
              <w:rPr>
                <w:sz w:val="20"/>
                <w:szCs w:val="20"/>
                <w:color w:val="auto"/>
              </w:rPr>
            </w:pPr>
            <w:r>
              <w:rPr>
                <w:rFonts w:ascii="Arial" w:cs="Arial" w:eastAsia="Arial" w:hAnsi="Arial"/>
                <w:sz w:val="13"/>
                <w:szCs w:val="13"/>
                <w:color w:val="auto"/>
              </w:rPr>
              <w:t>97,713</w:t>
            </w:r>
          </w:p>
        </w:tc>
        <w:tc>
          <w:tcPr>
            <w:tcW w:w="80" w:type="dxa"/>
            <w:vAlign w:val="bottom"/>
          </w:tcPr>
          <w:p>
            <w:pPr>
              <w:spacing w:after="0"/>
              <w:rPr>
                <w:sz w:val="14"/>
                <w:szCs w:val="14"/>
                <w:color w:val="auto"/>
              </w:rPr>
            </w:pPr>
          </w:p>
        </w:tc>
        <w:tc>
          <w:tcPr>
            <w:tcW w:w="220" w:type="dxa"/>
            <w:vAlign w:val="bottom"/>
            <w:gridSpan w:val="2"/>
          </w:tcPr>
          <w:p>
            <w:pPr>
              <w:jc w:val="right"/>
              <w:ind w:right="76"/>
              <w:spacing w:after="0"/>
              <w:rPr>
                <w:sz w:val="20"/>
                <w:szCs w:val="20"/>
                <w:color w:val="auto"/>
              </w:rPr>
            </w:pPr>
            <w:r>
              <w:rPr>
                <w:rFonts w:ascii="Arial" w:cs="Arial" w:eastAsia="Arial" w:hAnsi="Arial"/>
                <w:sz w:val="13"/>
                <w:szCs w:val="13"/>
                <w:color w:val="auto"/>
                <w:w w:val="82"/>
              </w:rPr>
              <w:t>$</w:t>
            </w:r>
          </w:p>
        </w:tc>
        <w:tc>
          <w:tcPr>
            <w:tcW w:w="1340" w:type="dxa"/>
            <w:vAlign w:val="bottom"/>
          </w:tcPr>
          <w:p>
            <w:pPr>
              <w:jc w:val="right"/>
              <w:spacing w:after="0"/>
              <w:rPr>
                <w:sz w:val="20"/>
                <w:szCs w:val="20"/>
                <w:color w:val="auto"/>
              </w:rPr>
            </w:pPr>
            <w:r>
              <w:rPr>
                <w:rFonts w:ascii="Arial" w:cs="Arial" w:eastAsia="Arial" w:hAnsi="Arial"/>
                <w:sz w:val="13"/>
                <w:szCs w:val="13"/>
                <w:color w:val="auto"/>
              </w:rPr>
              <w:t>39,025</w:t>
            </w:r>
          </w:p>
        </w:tc>
        <w:tc>
          <w:tcPr>
            <w:tcW w:w="100" w:type="dxa"/>
            <w:vAlign w:val="bottom"/>
          </w:tcPr>
          <w:p>
            <w:pPr>
              <w:spacing w:after="0"/>
              <w:rPr>
                <w:sz w:val="14"/>
                <w:szCs w:val="14"/>
                <w:color w:val="auto"/>
              </w:rPr>
            </w:pP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1360" w:type="dxa"/>
            <w:vAlign w:val="bottom"/>
          </w:tcPr>
          <w:p>
            <w:pPr>
              <w:jc w:val="right"/>
              <w:spacing w:after="0"/>
              <w:rPr>
                <w:sz w:val="20"/>
                <w:szCs w:val="20"/>
                <w:color w:val="auto"/>
              </w:rPr>
            </w:pPr>
            <w:r>
              <w:rPr>
                <w:rFonts w:ascii="Arial" w:cs="Arial" w:eastAsia="Arial" w:hAnsi="Arial"/>
                <w:sz w:val="13"/>
                <w:szCs w:val="13"/>
                <w:color w:val="auto"/>
              </w:rPr>
              <w:t>32,161</w:t>
            </w:r>
          </w:p>
        </w:tc>
      </w:tr>
      <w:tr>
        <w:trPr>
          <w:trHeight w:val="170"/>
        </w:trPr>
        <w:tc>
          <w:tcPr>
            <w:tcW w:w="6420" w:type="dxa"/>
            <w:vAlign w:val="bottom"/>
            <w:shd w:val="clear" w:color="auto" w:fill="CCEEFF"/>
          </w:tcPr>
          <w:p>
            <w:pPr>
              <w:ind w:left="80"/>
              <w:spacing w:after="0"/>
              <w:rPr>
                <w:sz w:val="20"/>
                <w:szCs w:val="20"/>
                <w:color w:val="auto"/>
              </w:rPr>
            </w:pPr>
            <w:r>
              <w:rPr>
                <w:rFonts w:ascii="Arial" w:cs="Arial" w:eastAsia="Arial" w:hAnsi="Arial"/>
                <w:sz w:val="13"/>
                <w:szCs w:val="13"/>
                <w:color w:val="auto"/>
              </w:rPr>
              <w:t>Seara Food Europe Holdings</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w:t>
            </w:r>
          </w:p>
        </w:tc>
      </w:tr>
      <w:tr>
        <w:trPr>
          <w:trHeight w:val="168"/>
        </w:trPr>
        <w:tc>
          <w:tcPr>
            <w:tcW w:w="6420" w:type="dxa"/>
            <w:vAlign w:val="bottom"/>
          </w:tcPr>
          <w:p>
            <w:pPr>
              <w:ind w:left="80"/>
              <w:spacing w:after="0"/>
              <w:rPr>
                <w:sz w:val="20"/>
                <w:szCs w:val="20"/>
                <w:color w:val="auto"/>
              </w:rPr>
            </w:pPr>
            <w:r>
              <w:rPr>
                <w:rFonts w:ascii="Arial" w:cs="Arial" w:eastAsia="Arial" w:hAnsi="Arial"/>
                <w:sz w:val="13"/>
                <w:szCs w:val="13"/>
                <w:color w:val="auto"/>
              </w:rPr>
              <w:t>JBS Chile Ltda.</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6</w:t>
            </w:r>
          </w:p>
        </w:tc>
      </w:tr>
      <w:tr>
        <w:trPr>
          <w:trHeight w:val="188"/>
        </w:trPr>
        <w:tc>
          <w:tcPr>
            <w:tcW w:w="6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expenditures paid by related parties</w:t>
            </w:r>
          </w:p>
        </w:tc>
        <w:tc>
          <w:tcPr>
            <w:tcW w:w="200" w:type="dxa"/>
            <w:vAlign w:val="bottom"/>
            <w:tcBorders>
              <w:top w:val="single" w:sz="8" w:color="auto"/>
              <w:bottom w:val="single" w:sz="8" w:color="auto"/>
            </w:tcBorders>
            <w:gridSpan w:val="2"/>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97,726</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gridSpan w:val="2"/>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39,034</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32,244</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255"/>
        </w:trPr>
        <w:tc>
          <w:tcPr>
            <w:tcW w:w="642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1"/>
                <w:szCs w:val="11"/>
                <w:b w:val="1"/>
                <w:bCs w:val="1"/>
                <w:color w:val="auto"/>
                <w:w w:val="95"/>
              </w:rPr>
              <w:t>Year Ended</w:t>
            </w:r>
          </w:p>
        </w:tc>
        <w:tc>
          <w:tcPr>
            <w:tcW w:w="2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spacing w:after="0"/>
              <w:rPr>
                <w:sz w:val="22"/>
                <w:szCs w:val="22"/>
                <w:color w:val="auto"/>
              </w:rPr>
            </w:pPr>
          </w:p>
        </w:tc>
      </w:tr>
      <w:tr>
        <w:trPr>
          <w:trHeight w:val="142"/>
        </w:trPr>
        <w:tc>
          <w:tcPr>
            <w:tcW w:w="64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gridSpan w:val="2"/>
          </w:tcPr>
          <w:p>
            <w:pPr>
              <w:ind w:left="120"/>
              <w:spacing w:after="0"/>
              <w:rPr>
                <w:sz w:val="20"/>
                <w:szCs w:val="20"/>
                <w:color w:val="auto"/>
              </w:rPr>
            </w:pPr>
            <w:r>
              <w:rPr>
                <w:rFonts w:ascii="Arial" w:cs="Arial" w:eastAsia="Arial" w:hAnsi="Arial"/>
                <w:sz w:val="11"/>
                <w:szCs w:val="11"/>
                <w:b w:val="1"/>
                <w:bCs w:val="1"/>
                <w:color w:val="auto"/>
              </w:rPr>
              <w:t>December 26, 2021</w:t>
            </w:r>
          </w:p>
        </w:tc>
        <w:tc>
          <w:tcPr>
            <w:tcW w:w="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1"/>
                <w:szCs w:val="11"/>
                <w:b w:val="1"/>
                <w:bCs w:val="1"/>
                <w:color w:val="auto"/>
                <w:w w:val="90"/>
              </w:rPr>
              <w:t>December 27, 2020</w:t>
            </w:r>
          </w:p>
        </w:tc>
        <w:tc>
          <w:tcPr>
            <w:tcW w:w="20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ind w:right="257"/>
              <w:spacing w:after="0"/>
              <w:rPr>
                <w:sz w:val="20"/>
                <w:szCs w:val="20"/>
                <w:color w:val="auto"/>
              </w:rPr>
            </w:pPr>
            <w:r>
              <w:rPr>
                <w:rFonts w:ascii="Arial" w:cs="Arial" w:eastAsia="Arial" w:hAnsi="Arial"/>
                <w:sz w:val="11"/>
                <w:szCs w:val="11"/>
                <w:b w:val="1"/>
                <w:bCs w:val="1"/>
                <w:color w:val="auto"/>
              </w:rPr>
              <w:t>December 29, 2019</w:t>
            </w:r>
          </w:p>
        </w:tc>
      </w:tr>
      <w:tr>
        <w:trPr>
          <w:trHeight w:val="124"/>
        </w:trPr>
        <w:tc>
          <w:tcPr>
            <w:tcW w:w="6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89"/>
              </w:rPr>
              <w:t>(In thousands)</w:t>
            </w:r>
          </w:p>
        </w:tc>
        <w:tc>
          <w:tcPr>
            <w:tcW w:w="200" w:type="dxa"/>
            <w:vAlign w:val="bottom"/>
          </w:tcPr>
          <w:p>
            <w:pPr>
              <w:spacing w:after="0"/>
              <w:rPr>
                <w:sz w:val="10"/>
                <w:szCs w:val="10"/>
                <w:color w:val="auto"/>
              </w:rPr>
            </w:pPr>
          </w:p>
        </w:tc>
        <w:tc>
          <w:tcPr>
            <w:tcW w:w="1360" w:type="dxa"/>
            <w:vAlign w:val="bottom"/>
          </w:tcPr>
          <w:p>
            <w:pPr>
              <w:spacing w:after="0"/>
              <w:rPr>
                <w:sz w:val="10"/>
                <w:szCs w:val="10"/>
                <w:color w:val="auto"/>
              </w:rPr>
            </w:pPr>
          </w:p>
        </w:tc>
      </w:tr>
      <w:tr>
        <w:trPr>
          <w:trHeight w:val="176"/>
        </w:trPr>
        <w:tc>
          <w:tcPr>
            <w:tcW w:w="64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Expenditures paid on behalf of related parties:</w:t>
            </w: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r>
      <w:tr>
        <w:trPr>
          <w:trHeight w:val="170"/>
        </w:trPr>
        <w:tc>
          <w:tcPr>
            <w:tcW w:w="6420" w:type="dxa"/>
            <w:vAlign w:val="bottom"/>
            <w:tcBorders>
              <w:bottom w:val="single" w:sz="8" w:color="CCEEFF"/>
            </w:tcBorders>
          </w:tcPr>
          <w:p>
            <w:pPr>
              <w:ind w:left="80"/>
              <w:spacing w:after="0" w:line="170" w:lineRule="exact"/>
              <w:rPr>
                <w:sz w:val="20"/>
                <w:szCs w:val="20"/>
                <w:color w:val="auto"/>
              </w:rPr>
            </w:pPr>
            <w:r>
              <w:rPr>
                <w:rFonts w:ascii="Arial" w:cs="Arial" w:eastAsia="Arial" w:hAnsi="Arial"/>
                <w:sz w:val="13"/>
                <w:szCs w:val="13"/>
                <w:color w:val="auto"/>
              </w:rPr>
              <w:t>JBS USA Food Company</w:t>
            </w:r>
            <w:r>
              <w:rPr>
                <w:rFonts w:ascii="Arial" w:cs="Arial" w:eastAsia="Arial" w:hAnsi="Arial"/>
                <w:sz w:val="16"/>
                <w:szCs w:val="16"/>
                <w:color w:val="auto"/>
                <w:vertAlign w:val="superscript"/>
              </w:rPr>
              <w:t>(b)</w:t>
            </w:r>
          </w:p>
        </w:tc>
        <w:tc>
          <w:tcPr>
            <w:tcW w:w="200" w:type="dxa"/>
            <w:vAlign w:val="bottom"/>
            <w:tcBorders>
              <w:bottom w:val="single" w:sz="8" w:color="auto"/>
            </w:tcBorders>
            <w:gridSpan w:val="2"/>
          </w:tcPr>
          <w:p>
            <w:pPr>
              <w:jc w:val="right"/>
              <w:ind w:right="56"/>
              <w:spacing w:after="0"/>
              <w:rPr>
                <w:sz w:val="20"/>
                <w:szCs w:val="20"/>
                <w:color w:val="auto"/>
              </w:rPr>
            </w:pPr>
            <w:r>
              <w:rPr>
                <w:rFonts w:ascii="Arial" w:cs="Arial" w:eastAsia="Arial" w:hAnsi="Arial"/>
                <w:sz w:val="13"/>
                <w:szCs w:val="13"/>
                <w:color w:val="auto"/>
                <w:w w:val="82"/>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42,951</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gridSpan w:val="2"/>
          </w:tcPr>
          <w:p>
            <w:pPr>
              <w:jc w:val="right"/>
              <w:ind w:right="76"/>
              <w:spacing w:after="0"/>
              <w:rPr>
                <w:sz w:val="20"/>
                <w:szCs w:val="20"/>
                <w:color w:val="auto"/>
              </w:rPr>
            </w:pPr>
            <w:r>
              <w:rPr>
                <w:rFonts w:ascii="Arial" w:cs="Arial" w:eastAsia="Arial" w:hAnsi="Arial"/>
                <w:sz w:val="13"/>
                <w:szCs w:val="13"/>
                <w:color w:val="auto"/>
                <w:w w:val="82"/>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16,266</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w w:val="82"/>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9,103</w:t>
            </w:r>
          </w:p>
        </w:tc>
      </w:tr>
      <w:tr>
        <w:trPr>
          <w:trHeight w:val="185"/>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expenditures paid on behalf of related parties</w:t>
            </w:r>
          </w:p>
        </w:tc>
        <w:tc>
          <w:tcPr>
            <w:tcW w:w="200" w:type="dxa"/>
            <w:vAlign w:val="bottom"/>
            <w:tcBorders>
              <w:bottom w:val="single" w:sz="8" w:color="auto"/>
            </w:tcBorders>
            <w:gridSpan w:val="2"/>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42,951</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gridSpan w:val="2"/>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16,266</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9,103</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89" w:name="page90"/>
    <w:bookmarkEnd w:id="8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Other related party transactions:</w:t>
      </w:r>
    </w:p>
    <w:p>
      <w:pPr>
        <w:spacing w:after="0" w:line="24" w:lineRule="exact"/>
        <w:rPr>
          <w:sz w:val="20"/>
          <w:szCs w:val="20"/>
          <w:color w:val="auto"/>
        </w:rPr>
      </w:pPr>
    </w:p>
    <w:p>
      <w:pPr>
        <w:ind w:left="80"/>
        <w:spacing w:after="0"/>
        <w:rPr>
          <w:sz w:val="20"/>
          <w:szCs w:val="20"/>
          <w:color w:val="auto"/>
        </w:rPr>
      </w:pPr>
      <w:r>
        <w:rPr>
          <w:rFonts w:ascii="Arial" w:cs="Arial" w:eastAsia="Arial" w:hAnsi="Arial"/>
          <w:sz w:val="11"/>
          <w:szCs w:val="11"/>
          <w:color w:val="auto"/>
        </w:rPr>
        <w:t xml:space="preserve">Capital distribution under tax sharing agreement </w:t>
      </w:r>
      <w:r>
        <w:rPr>
          <w:rFonts w:ascii="Arial" w:cs="Arial" w:eastAsia="Arial" w:hAnsi="Arial"/>
          <w:sz w:val="14"/>
          <w:szCs w:val="14"/>
          <w:color w:val="auto"/>
          <w:vertAlign w:val="superscript"/>
        </w:rPr>
        <w:t>(c)</w:t>
      </w:r>
    </w:p>
    <w:p>
      <w:pPr>
        <w:spacing w:after="0" w:line="51"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Total other related party transactions</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color w:val="auto"/>
        </w:rPr>
        <w:t>NOTES TO CONSOLIDATED FINANCIAL STATEMENTS</w:t>
      </w:r>
    </w:p>
    <w:p>
      <w:pPr>
        <w:spacing w:after="0" w:line="200" w:lineRule="exact"/>
        <w:rPr>
          <w:sz w:val="20"/>
          <w:szCs w:val="20"/>
          <w:color w:val="auto"/>
        </w:rPr>
      </w:pPr>
    </w:p>
    <w:p>
      <w:pPr>
        <w:spacing w:after="0" w:line="227" w:lineRule="exact"/>
        <w:rPr>
          <w:sz w:val="20"/>
          <w:szCs w:val="20"/>
          <w:color w:val="auto"/>
        </w:rPr>
      </w:pPr>
    </w:p>
    <w:p>
      <w:pPr>
        <w:ind w:left="4680"/>
        <w:spacing w:after="0"/>
        <w:rPr>
          <w:sz w:val="20"/>
          <w:szCs w:val="20"/>
          <w:color w:val="auto"/>
        </w:rPr>
      </w:pPr>
      <w:r>
        <w:rPr>
          <w:rFonts w:ascii="Arial" w:cs="Arial" w:eastAsia="Arial" w:hAnsi="Arial"/>
          <w:sz w:val="11"/>
          <w:szCs w:val="11"/>
          <w:b w:val="1"/>
          <w:bCs w:val="1"/>
          <w:color w:val="auto"/>
        </w:rPr>
        <w:t>Year Ended</w:t>
      </w:r>
    </w:p>
    <w:p>
      <w:pPr>
        <w:spacing w:after="0" w:line="20" w:lineRule="exact"/>
        <w:rPr>
          <w:sz w:val="20"/>
          <w:szCs w:val="20"/>
          <w:color w:val="auto"/>
        </w:rPr>
      </w:pPr>
    </w:p>
    <w:tbl>
      <w:tblPr>
        <w:tblLayout w:type="fixed"/>
        <w:tblInd w:w="2540" w:type="dxa"/>
        <w:tblCellMar>
          <w:top w:w="0" w:type="dxa"/>
          <w:left w:w="0" w:type="dxa"/>
          <w:bottom w:w="0" w:type="dxa"/>
          <w:right w:w="0" w:type="dxa"/>
        </w:tblCellMar>
      </w:tblPr>
      <w:tr>
        <w:trPr>
          <w:trHeight w:val="147"/>
        </w:trPr>
        <w:tc>
          <w:tcPr>
            <w:tcW w:w="200" w:type="dxa"/>
            <w:vAlign w:val="bottom"/>
            <w:tcBorders>
              <w:top w:val="single" w:sz="8" w:color="auto"/>
              <w:bottom w:val="single" w:sz="8" w:color="auto"/>
            </w:tcBorders>
          </w:tcPr>
          <w:p>
            <w:pPr>
              <w:spacing w:after="0"/>
              <w:rPr>
                <w:sz w:val="12"/>
                <w:szCs w:val="12"/>
                <w:color w:val="auto"/>
              </w:rPr>
            </w:pPr>
          </w:p>
        </w:tc>
        <w:tc>
          <w:tcPr>
            <w:tcW w:w="1440" w:type="dxa"/>
            <w:vAlign w:val="bottom"/>
            <w:tcBorders>
              <w:top w:val="single" w:sz="8" w:color="auto"/>
              <w:bottom w:val="single" w:sz="8" w:color="auto"/>
            </w:tcBorders>
            <w:gridSpan w:val="3"/>
          </w:tcPr>
          <w:p>
            <w:pPr>
              <w:ind w:left="120"/>
              <w:spacing w:after="0"/>
              <w:rPr>
                <w:sz w:val="20"/>
                <w:szCs w:val="20"/>
                <w:color w:val="auto"/>
              </w:rPr>
            </w:pPr>
            <w:r>
              <w:rPr>
                <w:rFonts w:ascii="Arial" w:cs="Arial" w:eastAsia="Arial" w:hAnsi="Arial"/>
                <w:sz w:val="11"/>
                <w:szCs w:val="11"/>
                <w:b w:val="1"/>
                <w:bCs w:val="1"/>
                <w:color w:val="auto"/>
              </w:rPr>
              <w:t>December 26, 2021</w:t>
            </w:r>
          </w:p>
        </w:tc>
        <w:tc>
          <w:tcPr>
            <w:tcW w:w="180" w:type="dxa"/>
            <w:vAlign w:val="bottom"/>
            <w:tcBorders>
              <w:top w:val="single" w:sz="8" w:color="auto"/>
              <w:bottom w:val="single" w:sz="8" w:color="auto"/>
            </w:tcBorders>
          </w:tcPr>
          <w:p>
            <w:pPr>
              <w:spacing w:after="0"/>
              <w:rPr>
                <w:sz w:val="12"/>
                <w:szCs w:val="12"/>
                <w:color w:val="auto"/>
              </w:rPr>
            </w:pPr>
          </w:p>
        </w:tc>
        <w:tc>
          <w:tcPr>
            <w:tcW w:w="1480" w:type="dxa"/>
            <w:vAlign w:val="bottom"/>
            <w:tcBorders>
              <w:top w:val="single" w:sz="8" w:color="auto"/>
              <w:bottom w:val="single" w:sz="8" w:color="auto"/>
            </w:tcBorders>
            <w:gridSpan w:val="2"/>
          </w:tcPr>
          <w:p>
            <w:pPr>
              <w:jc w:val="center"/>
              <w:ind w:right="260"/>
              <w:spacing w:after="0"/>
              <w:rPr>
                <w:sz w:val="20"/>
                <w:szCs w:val="20"/>
                <w:color w:val="auto"/>
              </w:rPr>
            </w:pPr>
            <w:r>
              <w:rPr>
                <w:rFonts w:ascii="Arial" w:cs="Arial" w:eastAsia="Arial" w:hAnsi="Arial"/>
                <w:sz w:val="11"/>
                <w:szCs w:val="11"/>
                <w:b w:val="1"/>
                <w:bCs w:val="1"/>
                <w:color w:val="auto"/>
                <w:w w:val="90"/>
              </w:rPr>
              <w:t>December 27, 2020</w:t>
            </w:r>
          </w:p>
        </w:tc>
        <w:tc>
          <w:tcPr>
            <w:tcW w:w="280" w:type="dxa"/>
            <w:vAlign w:val="bottom"/>
            <w:tcBorders>
              <w:top w:val="single" w:sz="8" w:color="auto"/>
              <w:bottom w:val="single" w:sz="8" w:color="auto"/>
            </w:tcBorders>
          </w:tcPr>
          <w:p>
            <w:pPr>
              <w:spacing w:after="0"/>
              <w:rPr>
                <w:sz w:val="12"/>
                <w:szCs w:val="12"/>
                <w:color w:val="auto"/>
              </w:rPr>
            </w:pPr>
          </w:p>
        </w:tc>
        <w:tc>
          <w:tcPr>
            <w:tcW w:w="12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1"/>
                <w:szCs w:val="11"/>
                <w:b w:val="1"/>
                <w:bCs w:val="1"/>
                <w:color w:val="auto"/>
              </w:rPr>
              <w:t>December 29, 2019</w:t>
            </w:r>
          </w:p>
        </w:tc>
      </w:tr>
      <w:tr>
        <w:trPr>
          <w:trHeight w:val="117"/>
        </w:trPr>
        <w:tc>
          <w:tcPr>
            <w:tcW w:w="2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89"/>
              </w:rPr>
              <w:t>(In thousands)</w:t>
            </w:r>
          </w:p>
        </w:tc>
        <w:tc>
          <w:tcPr>
            <w:tcW w:w="280" w:type="dxa"/>
            <w:vAlign w:val="bottom"/>
          </w:tcPr>
          <w:p>
            <w:pPr>
              <w:spacing w:after="0"/>
              <w:rPr>
                <w:sz w:val="10"/>
                <w:szCs w:val="10"/>
                <w:color w:val="auto"/>
              </w:rPr>
            </w:pPr>
          </w:p>
        </w:tc>
        <w:tc>
          <w:tcPr>
            <w:tcW w:w="1280" w:type="dxa"/>
            <w:vAlign w:val="bottom"/>
          </w:tcPr>
          <w:p>
            <w:pPr>
              <w:spacing w:after="0"/>
              <w:rPr>
                <w:sz w:val="10"/>
                <w:szCs w:val="10"/>
                <w:color w:val="auto"/>
              </w:rPr>
            </w:pPr>
          </w:p>
        </w:tc>
      </w:tr>
      <w:tr>
        <w:trPr>
          <w:trHeight w:val="349"/>
        </w:trPr>
        <w:tc>
          <w:tcPr>
            <w:tcW w:w="20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w w:val="82"/>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1,961</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w w:val="82"/>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650</w:t>
            </w:r>
          </w:p>
        </w:tc>
        <w:tc>
          <w:tcPr>
            <w:tcW w:w="100" w:type="dxa"/>
            <w:vAlign w:val="bottom"/>
          </w:tcPr>
          <w:p>
            <w:pPr>
              <w:spacing w:after="0"/>
              <w:rPr>
                <w:sz w:val="24"/>
                <w:szCs w:val="24"/>
                <w:color w:val="auto"/>
              </w:rPr>
            </w:pPr>
          </w:p>
        </w:tc>
        <w:tc>
          <w:tcPr>
            <w:tcW w:w="28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w w:val="82"/>
              </w:rPr>
              <w:t>$</w:t>
            </w:r>
          </w:p>
        </w:tc>
        <w:tc>
          <w:tcPr>
            <w:tcW w:w="1280" w:type="dxa"/>
            <w:vAlign w:val="bottom"/>
            <w:tcBorders>
              <w:bottom w:val="single" w:sz="8" w:color="auto"/>
            </w:tcBorders>
          </w:tcPr>
          <w:p>
            <w:pPr>
              <w:ind w:left="1100"/>
              <w:spacing w:after="0"/>
              <w:rPr>
                <w:sz w:val="20"/>
                <w:szCs w:val="20"/>
                <w:color w:val="auto"/>
              </w:rPr>
            </w:pPr>
            <w:r>
              <w:rPr>
                <w:rFonts w:ascii="Arial" w:cs="Arial" w:eastAsia="Arial" w:hAnsi="Arial"/>
                <w:sz w:val="13"/>
                <w:szCs w:val="13"/>
                <w:color w:val="auto"/>
              </w:rPr>
              <w:t>—</w:t>
            </w:r>
          </w:p>
        </w:tc>
      </w:tr>
      <w:tr>
        <w:trPr>
          <w:trHeight w:val="160"/>
        </w:trPr>
        <w:tc>
          <w:tcPr>
            <w:tcW w:w="20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w w:val="82"/>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1,961</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w w:val="82"/>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650</w:t>
            </w:r>
          </w:p>
        </w:tc>
        <w:tc>
          <w:tcPr>
            <w:tcW w:w="100" w:type="dxa"/>
            <w:vAlign w:val="bottom"/>
          </w:tcPr>
          <w:p>
            <w:pPr>
              <w:spacing w:after="0"/>
              <w:rPr>
                <w:sz w:val="13"/>
                <w:szCs w:val="13"/>
                <w:color w:val="auto"/>
              </w:rPr>
            </w:pPr>
          </w:p>
        </w:tc>
        <w:tc>
          <w:tcPr>
            <w:tcW w:w="28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w w:val="82"/>
              </w:rPr>
              <w:t>$</w:t>
            </w:r>
          </w:p>
        </w:tc>
        <w:tc>
          <w:tcPr>
            <w:tcW w:w="1280" w:type="dxa"/>
            <w:vAlign w:val="bottom"/>
            <w:tcBorders>
              <w:bottom w:val="single" w:sz="8" w:color="auto"/>
            </w:tcBorders>
          </w:tcPr>
          <w:p>
            <w:pPr>
              <w:ind w:left="1100"/>
              <w:spacing w:after="0"/>
              <w:rPr>
                <w:sz w:val="20"/>
                <w:szCs w:val="20"/>
                <w:color w:val="auto"/>
              </w:rPr>
            </w:pPr>
            <w:r>
              <w:rPr>
                <w:rFonts w:ascii="Arial" w:cs="Arial" w:eastAsia="Arial" w:hAnsi="Arial"/>
                <w:sz w:val="13"/>
                <w:szCs w:val="13"/>
                <w:color w:val="auto"/>
              </w:rPr>
              <w:t>—</w:t>
            </w: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78"/>
        </w:trPr>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2"/>
          </w:tcPr>
          <w:p>
            <w:pPr>
              <w:ind w:left="100"/>
              <w:spacing w:after="0"/>
              <w:rPr>
                <w:sz w:val="20"/>
                <w:szCs w:val="20"/>
                <w:color w:val="auto"/>
              </w:rPr>
            </w:pPr>
            <w:r>
              <w:rPr>
                <w:rFonts w:ascii="Arial" w:cs="Arial" w:eastAsia="Arial" w:hAnsi="Arial"/>
                <w:sz w:val="11"/>
                <w:szCs w:val="11"/>
                <w:b w:val="1"/>
                <w:bCs w:val="1"/>
                <w:color w:val="auto"/>
              </w:rPr>
              <w:t>December 26, 2021</w:t>
            </w:r>
          </w:p>
        </w:tc>
        <w:tc>
          <w:tcPr>
            <w:tcW w:w="2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December 27, 2020</w:t>
            </w:r>
          </w:p>
        </w:tc>
      </w:tr>
      <w:tr>
        <w:trPr>
          <w:trHeight w:val="121"/>
        </w:trPr>
        <w:tc>
          <w:tcPr>
            <w:tcW w:w="2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760" w:type="dxa"/>
            <w:vAlign w:val="bottom"/>
            <w:gridSpan w:val="3"/>
          </w:tcPr>
          <w:p>
            <w:pPr>
              <w:jc w:val="right"/>
              <w:spacing w:after="0"/>
              <w:rPr>
                <w:sz w:val="20"/>
                <w:szCs w:val="20"/>
                <w:color w:val="auto"/>
              </w:rPr>
            </w:pPr>
            <w:r>
              <w:rPr>
                <w:rFonts w:ascii="Arial" w:cs="Arial" w:eastAsia="Arial" w:hAnsi="Arial"/>
                <w:sz w:val="10"/>
                <w:szCs w:val="10"/>
                <w:b w:val="1"/>
                <w:bCs w:val="1"/>
                <w:color w:val="auto"/>
              </w:rPr>
              <w:t>(In thousands)</w:t>
            </w:r>
          </w:p>
        </w:tc>
        <w:tc>
          <w:tcPr>
            <w:tcW w:w="128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-2459990</wp:posOffset>
            </wp:positionH>
            <wp:positionV relativeFrom="paragraph">
              <wp:posOffset>-631825</wp:posOffset>
            </wp:positionV>
            <wp:extent cx="7161530" cy="1079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61530" cy="107950"/>
                    </a:xfrm>
                    <a:prstGeom prst="rect">
                      <a:avLst/>
                    </a:prstGeom>
                    <a:noFill/>
                  </pic:spPr>
                </pic:pic>
              </a:graphicData>
            </a:graphic>
          </wp:anchor>
        </w:drawing>
        <w:drawing>
          <wp:anchor simplePos="0" relativeHeight="251657728" behindDoc="1" locked="0" layoutInCell="0" allowOverlap="1">
            <wp:simplePos x="0" y="0"/>
            <wp:positionH relativeFrom="column">
              <wp:posOffset>-2459990</wp:posOffset>
            </wp:positionH>
            <wp:positionV relativeFrom="paragraph">
              <wp:posOffset>-416560</wp:posOffset>
            </wp:positionV>
            <wp:extent cx="7161530" cy="12827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61530" cy="12827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3160" w:space="720"/>
            <w:col w:w="7400"/>
          </w:cols>
          <w:pgMar w:left="300" w:top="129" w:right="319" w:bottom="1440" w:gutter="0" w:footer="0" w:header="0"/>
        </w:sectPr>
      </w:pPr>
    </w:p>
    <w:tbl>
      <w:tblPr>
        <w:tblLayout w:type="fixed"/>
        <w:tblInd w:w="0" w:type="dxa"/>
        <w:tblCellMar>
          <w:top w:w="0" w:type="dxa"/>
          <w:left w:w="0" w:type="dxa"/>
          <w:bottom w:w="0" w:type="dxa"/>
          <w:right w:w="0" w:type="dxa"/>
        </w:tblCellMar>
      </w:tblPr>
      <w:tr>
        <w:trPr>
          <w:trHeight w:val="161"/>
        </w:trPr>
        <w:tc>
          <w:tcPr>
            <w:tcW w:w="80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Accounts receivable from related parties:</w:t>
            </w:r>
          </w:p>
        </w:tc>
        <w:tc>
          <w:tcPr>
            <w:tcW w:w="22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r>
      <w:tr>
        <w:trPr>
          <w:trHeight w:val="170"/>
        </w:trPr>
        <w:tc>
          <w:tcPr>
            <w:tcW w:w="8020" w:type="dxa"/>
            <w:vAlign w:val="bottom"/>
          </w:tcPr>
          <w:p>
            <w:pPr>
              <w:ind w:left="80"/>
              <w:spacing w:after="0" w:line="170" w:lineRule="exact"/>
              <w:rPr>
                <w:sz w:val="20"/>
                <w:szCs w:val="20"/>
                <w:color w:val="auto"/>
              </w:rPr>
            </w:pPr>
            <w:r>
              <w:rPr>
                <w:rFonts w:ascii="Arial" w:cs="Arial" w:eastAsia="Arial" w:hAnsi="Arial"/>
                <w:sz w:val="13"/>
                <w:szCs w:val="13"/>
                <w:color w:val="auto"/>
              </w:rPr>
              <w:t>JBS USA Food Company</w:t>
            </w:r>
            <w:r>
              <w:rPr>
                <w:rFonts w:ascii="Arial" w:cs="Arial" w:eastAsia="Arial" w:hAnsi="Arial"/>
                <w:sz w:val="16"/>
                <w:szCs w:val="16"/>
                <w:color w:val="auto"/>
                <w:vertAlign w:val="superscript"/>
              </w:rPr>
              <w:t>(a)</w:t>
            </w:r>
          </w:p>
        </w:tc>
        <w:tc>
          <w:tcPr>
            <w:tcW w:w="220" w:type="dxa"/>
            <w:vAlign w:val="bottom"/>
          </w:tcPr>
          <w:p>
            <w:pPr>
              <w:jc w:val="right"/>
              <w:ind w:right="76"/>
              <w:spacing w:after="0"/>
              <w:rPr>
                <w:sz w:val="20"/>
                <w:szCs w:val="20"/>
                <w:color w:val="auto"/>
              </w:rPr>
            </w:pPr>
            <w:r>
              <w:rPr>
                <w:rFonts w:ascii="Arial" w:cs="Arial" w:eastAsia="Arial" w:hAnsi="Arial"/>
                <w:sz w:val="13"/>
                <w:szCs w:val="13"/>
                <w:color w:val="auto"/>
                <w:w w:val="82"/>
              </w:rPr>
              <w:t>$</w:t>
            </w:r>
          </w:p>
        </w:tc>
        <w:tc>
          <w:tcPr>
            <w:tcW w:w="1340" w:type="dxa"/>
            <w:vAlign w:val="bottom"/>
          </w:tcPr>
          <w:p>
            <w:pPr>
              <w:jc w:val="right"/>
              <w:spacing w:after="0"/>
              <w:rPr>
                <w:sz w:val="20"/>
                <w:szCs w:val="20"/>
                <w:color w:val="auto"/>
              </w:rPr>
            </w:pPr>
            <w:r>
              <w:rPr>
                <w:rFonts w:ascii="Arial" w:cs="Arial" w:eastAsia="Arial" w:hAnsi="Arial"/>
                <w:sz w:val="13"/>
                <w:szCs w:val="13"/>
                <w:color w:val="auto"/>
              </w:rPr>
              <w:t>1,059</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gridSpan w:val="2"/>
          </w:tcPr>
          <w:p>
            <w:pPr>
              <w:jc w:val="right"/>
              <w:ind w:right="260"/>
              <w:spacing w:after="0"/>
              <w:rPr>
                <w:sz w:val="20"/>
                <w:szCs w:val="20"/>
                <w:color w:val="auto"/>
              </w:rPr>
            </w:pPr>
            <w:r>
              <w:rPr>
                <w:rFonts w:ascii="Arial" w:cs="Arial" w:eastAsia="Arial" w:hAnsi="Arial"/>
                <w:sz w:val="10"/>
                <w:szCs w:val="10"/>
                <w:color w:val="auto"/>
                <w:w w:val="71"/>
              </w:rPr>
              <w:t>$</w:t>
            </w:r>
          </w:p>
        </w:tc>
        <w:tc>
          <w:tcPr>
            <w:tcW w:w="1280" w:type="dxa"/>
            <w:vAlign w:val="bottom"/>
          </w:tcPr>
          <w:p>
            <w:pPr>
              <w:jc w:val="right"/>
              <w:spacing w:after="0"/>
              <w:rPr>
                <w:sz w:val="20"/>
                <w:szCs w:val="20"/>
                <w:color w:val="auto"/>
              </w:rPr>
            </w:pPr>
            <w:r>
              <w:rPr>
                <w:rFonts w:ascii="Arial" w:cs="Arial" w:eastAsia="Arial" w:hAnsi="Arial"/>
                <w:sz w:val="13"/>
                <w:szCs w:val="13"/>
                <w:color w:val="auto"/>
              </w:rPr>
              <w:t>714</w:t>
            </w:r>
          </w:p>
        </w:tc>
      </w:tr>
      <w:tr>
        <w:trPr>
          <w:trHeight w:val="170"/>
        </w:trPr>
        <w:tc>
          <w:tcPr>
            <w:tcW w:w="8020" w:type="dxa"/>
            <w:vAlign w:val="bottom"/>
            <w:shd w:val="clear" w:color="auto" w:fill="CCEEFF"/>
          </w:tcPr>
          <w:p>
            <w:pPr>
              <w:ind w:left="80"/>
              <w:spacing w:after="0"/>
              <w:rPr>
                <w:sz w:val="20"/>
                <w:szCs w:val="20"/>
                <w:color w:val="auto"/>
              </w:rPr>
            </w:pPr>
            <w:r>
              <w:rPr>
                <w:rFonts w:ascii="Arial" w:cs="Arial" w:eastAsia="Arial" w:hAnsi="Arial"/>
                <w:sz w:val="13"/>
                <w:szCs w:val="13"/>
                <w:color w:val="auto"/>
              </w:rPr>
              <w:t>JBS Australia Pty. Ltd.</w:t>
            </w:r>
          </w:p>
        </w:tc>
        <w:tc>
          <w:tcPr>
            <w:tcW w:w="22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370</w:t>
            </w:r>
          </w:p>
        </w:tc>
      </w:tr>
      <w:tr>
        <w:trPr>
          <w:trHeight w:val="168"/>
        </w:trPr>
        <w:tc>
          <w:tcPr>
            <w:tcW w:w="8020" w:type="dxa"/>
            <w:vAlign w:val="bottom"/>
          </w:tcPr>
          <w:p>
            <w:pPr>
              <w:ind w:left="80"/>
              <w:spacing w:after="0"/>
              <w:rPr>
                <w:sz w:val="20"/>
                <w:szCs w:val="20"/>
                <w:color w:val="auto"/>
              </w:rPr>
            </w:pPr>
            <w:r>
              <w:rPr>
                <w:rFonts w:ascii="Arial" w:cs="Arial" w:eastAsia="Arial" w:hAnsi="Arial"/>
                <w:sz w:val="13"/>
                <w:szCs w:val="13"/>
                <w:color w:val="auto"/>
              </w:rPr>
              <w:t>Combo, Mercado de Congelados</w:t>
            </w:r>
          </w:p>
        </w:tc>
        <w:tc>
          <w:tcPr>
            <w:tcW w:w="2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84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0"/>
        </w:trPr>
        <w:tc>
          <w:tcPr>
            <w:tcW w:w="8020" w:type="dxa"/>
            <w:vAlign w:val="bottom"/>
            <w:shd w:val="clear" w:color="auto" w:fill="CCEEFF"/>
          </w:tcPr>
          <w:p>
            <w:pPr>
              <w:ind w:left="80"/>
              <w:spacing w:after="0"/>
              <w:rPr>
                <w:sz w:val="20"/>
                <w:szCs w:val="20"/>
                <w:color w:val="auto"/>
              </w:rPr>
            </w:pPr>
            <w:r>
              <w:rPr>
                <w:rFonts w:ascii="Arial" w:cs="Arial" w:eastAsia="Arial" w:hAnsi="Arial"/>
                <w:sz w:val="13"/>
                <w:szCs w:val="13"/>
                <w:color w:val="auto"/>
              </w:rPr>
              <w:t>JBS Chile Ltda.</w:t>
            </w:r>
          </w:p>
        </w:tc>
        <w:tc>
          <w:tcPr>
            <w:tcW w:w="22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3"/>
        </w:trPr>
        <w:tc>
          <w:tcPr>
            <w:tcW w:w="8020" w:type="dxa"/>
            <w:vAlign w:val="bottom"/>
          </w:tcPr>
          <w:p>
            <w:pPr>
              <w:ind w:left="20"/>
              <w:spacing w:after="0"/>
              <w:rPr>
                <w:sz w:val="20"/>
                <w:szCs w:val="20"/>
                <w:color w:val="auto"/>
              </w:rPr>
            </w:pPr>
            <w:r>
              <w:rPr>
                <w:rFonts w:ascii="Arial" w:cs="Arial" w:eastAsia="Arial" w:hAnsi="Arial"/>
                <w:sz w:val="13"/>
                <w:szCs w:val="13"/>
                <w:b w:val="1"/>
                <w:bCs w:val="1"/>
                <w:color w:val="auto"/>
              </w:rPr>
              <w:t>Total accounts receivable from related parties</w:t>
            </w:r>
          </w:p>
        </w:tc>
        <w:tc>
          <w:tcPr>
            <w:tcW w:w="2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w w:val="82"/>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1,345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0"/>
                <w:szCs w:val="10"/>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1,084</w:t>
            </w:r>
          </w:p>
        </w:tc>
      </w:tr>
      <w:tr>
        <w:trPr>
          <w:trHeight w:val="20"/>
        </w:trPr>
        <w:tc>
          <w:tcPr>
            <w:tcW w:w="8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75"/>
        </w:trPr>
        <w:tc>
          <w:tcPr>
            <w:tcW w:w="802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gridSpan w:val="3"/>
          </w:tcPr>
          <w:p>
            <w:pPr>
              <w:ind w:left="120"/>
              <w:spacing w:after="0"/>
              <w:rPr>
                <w:sz w:val="20"/>
                <w:szCs w:val="20"/>
                <w:color w:val="auto"/>
              </w:rPr>
            </w:pPr>
            <w:r>
              <w:rPr>
                <w:rFonts w:ascii="Arial" w:cs="Arial" w:eastAsia="Arial" w:hAnsi="Arial"/>
                <w:sz w:val="11"/>
                <w:szCs w:val="11"/>
                <w:b w:val="1"/>
                <w:bCs w:val="1"/>
                <w:color w:val="auto"/>
              </w:rPr>
              <w:t>December 26, 2021</w:t>
            </w:r>
          </w:p>
        </w:tc>
        <w:tc>
          <w:tcPr>
            <w:tcW w:w="2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277"/>
              <w:spacing w:after="0"/>
              <w:rPr>
                <w:sz w:val="20"/>
                <w:szCs w:val="20"/>
                <w:color w:val="auto"/>
              </w:rPr>
            </w:pPr>
            <w:r>
              <w:rPr>
                <w:rFonts w:ascii="Arial" w:cs="Arial" w:eastAsia="Arial" w:hAnsi="Arial"/>
                <w:sz w:val="11"/>
                <w:szCs w:val="11"/>
                <w:b w:val="1"/>
                <w:bCs w:val="1"/>
                <w:color w:val="auto"/>
                <w:w w:val="92"/>
              </w:rPr>
              <w:t>December 27, 2020</w:t>
            </w:r>
          </w:p>
        </w:tc>
      </w:tr>
      <w:tr>
        <w:trPr>
          <w:trHeight w:val="127"/>
        </w:trPr>
        <w:tc>
          <w:tcPr>
            <w:tcW w:w="8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60" w:type="dxa"/>
            <w:vAlign w:val="bottom"/>
            <w:gridSpan w:val="5"/>
          </w:tcPr>
          <w:p>
            <w:pPr>
              <w:jc w:val="right"/>
              <w:ind w:right="40"/>
              <w:spacing w:after="0"/>
              <w:rPr>
                <w:sz w:val="20"/>
                <w:szCs w:val="20"/>
                <w:color w:val="auto"/>
              </w:rPr>
            </w:pPr>
            <w:r>
              <w:rPr>
                <w:rFonts w:ascii="Arial" w:cs="Arial" w:eastAsia="Arial" w:hAnsi="Arial"/>
                <w:sz w:val="10"/>
                <w:szCs w:val="10"/>
                <w:b w:val="1"/>
                <w:bCs w:val="1"/>
                <w:color w:val="auto"/>
              </w:rPr>
              <w:t>(In thousands)</w:t>
            </w:r>
          </w:p>
        </w:tc>
        <w:tc>
          <w:tcPr>
            <w:tcW w:w="1280" w:type="dxa"/>
            <w:vAlign w:val="bottom"/>
          </w:tcPr>
          <w:p>
            <w:pPr>
              <w:spacing w:after="0"/>
              <w:rPr>
                <w:sz w:val="11"/>
                <w:szCs w:val="11"/>
                <w:color w:val="auto"/>
              </w:rPr>
            </w:pPr>
          </w:p>
        </w:tc>
      </w:tr>
      <w:tr>
        <w:trPr>
          <w:trHeight w:val="176"/>
        </w:trPr>
        <w:tc>
          <w:tcPr>
            <w:tcW w:w="80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Accounts payable to related parties:</w:t>
            </w:r>
          </w:p>
        </w:tc>
        <w:tc>
          <w:tcPr>
            <w:tcW w:w="2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170"/>
        </w:trPr>
        <w:tc>
          <w:tcPr>
            <w:tcW w:w="8020" w:type="dxa"/>
            <w:vAlign w:val="bottom"/>
          </w:tcPr>
          <w:p>
            <w:pPr>
              <w:ind w:left="80"/>
              <w:spacing w:after="0" w:line="170" w:lineRule="exact"/>
              <w:rPr>
                <w:sz w:val="20"/>
                <w:szCs w:val="20"/>
                <w:color w:val="auto"/>
              </w:rPr>
            </w:pPr>
            <w:r>
              <w:rPr>
                <w:rFonts w:ascii="Arial" w:cs="Arial" w:eastAsia="Arial" w:hAnsi="Arial"/>
                <w:sz w:val="13"/>
                <w:szCs w:val="13"/>
                <w:color w:val="auto"/>
              </w:rPr>
              <w:t>JBS USA Food Company</w:t>
            </w:r>
            <w:r>
              <w:rPr>
                <w:rFonts w:ascii="Arial" w:cs="Arial" w:eastAsia="Arial" w:hAnsi="Arial"/>
                <w:sz w:val="16"/>
                <w:szCs w:val="16"/>
                <w:color w:val="auto"/>
                <w:vertAlign w:val="superscript"/>
              </w:rPr>
              <w:t>(a)</w:t>
            </w:r>
          </w:p>
        </w:tc>
        <w:tc>
          <w:tcPr>
            <w:tcW w:w="220" w:type="dxa"/>
            <w:vAlign w:val="bottom"/>
          </w:tcPr>
          <w:p>
            <w:pPr>
              <w:jc w:val="right"/>
              <w:ind w:right="76"/>
              <w:spacing w:after="0"/>
              <w:rPr>
                <w:sz w:val="20"/>
                <w:szCs w:val="20"/>
                <w:color w:val="auto"/>
              </w:rPr>
            </w:pPr>
            <w:r>
              <w:rPr>
                <w:rFonts w:ascii="Arial" w:cs="Arial" w:eastAsia="Arial" w:hAnsi="Arial"/>
                <w:sz w:val="13"/>
                <w:szCs w:val="13"/>
                <w:color w:val="auto"/>
                <w:w w:val="82"/>
              </w:rPr>
              <w:t>$</w:t>
            </w:r>
          </w:p>
        </w:tc>
        <w:tc>
          <w:tcPr>
            <w:tcW w:w="1340" w:type="dxa"/>
            <w:vAlign w:val="bottom"/>
          </w:tcPr>
          <w:p>
            <w:pPr>
              <w:jc w:val="right"/>
              <w:spacing w:after="0"/>
              <w:rPr>
                <w:sz w:val="20"/>
                <w:szCs w:val="20"/>
                <w:color w:val="auto"/>
              </w:rPr>
            </w:pPr>
            <w:r>
              <w:rPr>
                <w:rFonts w:ascii="Arial" w:cs="Arial" w:eastAsia="Arial" w:hAnsi="Arial"/>
                <w:sz w:val="13"/>
                <w:szCs w:val="13"/>
                <w:color w:val="auto"/>
              </w:rPr>
              <w:t>21,628</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80" w:type="dxa"/>
            <w:vAlign w:val="bottom"/>
          </w:tcPr>
          <w:p>
            <w:pPr>
              <w:jc w:val="right"/>
              <w:spacing w:after="0"/>
              <w:rPr>
                <w:sz w:val="20"/>
                <w:szCs w:val="20"/>
                <w:color w:val="auto"/>
              </w:rPr>
            </w:pPr>
            <w:r>
              <w:rPr>
                <w:rFonts w:ascii="Arial" w:cs="Arial" w:eastAsia="Arial" w:hAnsi="Arial"/>
                <w:sz w:val="13"/>
                <w:szCs w:val="13"/>
                <w:color w:val="auto"/>
              </w:rPr>
              <w:t>8,562</w:t>
            </w:r>
          </w:p>
        </w:tc>
      </w:tr>
      <w:tr>
        <w:trPr>
          <w:trHeight w:val="170"/>
        </w:trPr>
        <w:tc>
          <w:tcPr>
            <w:tcW w:w="8020" w:type="dxa"/>
            <w:vAlign w:val="bottom"/>
            <w:shd w:val="clear" w:color="auto" w:fill="CCEEFF"/>
          </w:tcPr>
          <w:p>
            <w:pPr>
              <w:ind w:left="80"/>
              <w:spacing w:after="0"/>
              <w:rPr>
                <w:sz w:val="20"/>
                <w:szCs w:val="20"/>
                <w:color w:val="auto"/>
              </w:rPr>
            </w:pPr>
            <w:r>
              <w:rPr>
                <w:rFonts w:ascii="Arial" w:cs="Arial" w:eastAsia="Arial" w:hAnsi="Arial"/>
                <w:sz w:val="13"/>
                <w:szCs w:val="13"/>
                <w:color w:val="auto"/>
              </w:rPr>
              <w:t>Seara Meats B.V.</w:t>
            </w:r>
          </w:p>
        </w:tc>
        <w:tc>
          <w:tcPr>
            <w:tcW w:w="22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534</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1,075</w:t>
            </w:r>
          </w:p>
        </w:tc>
      </w:tr>
      <w:tr>
        <w:trPr>
          <w:trHeight w:val="168"/>
        </w:trPr>
        <w:tc>
          <w:tcPr>
            <w:tcW w:w="8020" w:type="dxa"/>
            <w:vAlign w:val="bottom"/>
          </w:tcPr>
          <w:p>
            <w:pPr>
              <w:ind w:left="80"/>
              <w:spacing w:after="0"/>
              <w:rPr>
                <w:sz w:val="20"/>
                <w:szCs w:val="20"/>
                <w:color w:val="auto"/>
              </w:rPr>
            </w:pPr>
            <w:r>
              <w:rPr>
                <w:rFonts w:ascii="Arial" w:cs="Arial" w:eastAsia="Arial" w:hAnsi="Arial"/>
                <w:sz w:val="13"/>
                <w:szCs w:val="13"/>
                <w:color w:val="auto"/>
              </w:rPr>
              <w:t>Penasul UK LTD</w:t>
            </w:r>
          </w:p>
        </w:tc>
        <w:tc>
          <w:tcPr>
            <w:tcW w:w="2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147</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2"/>
        </w:trPr>
        <w:tc>
          <w:tcPr>
            <w:tcW w:w="8020" w:type="dxa"/>
            <w:vAlign w:val="bottom"/>
            <w:shd w:val="clear" w:color="auto" w:fill="CCEEFF"/>
          </w:tcPr>
          <w:p>
            <w:pPr>
              <w:ind w:left="80"/>
              <w:spacing w:after="0"/>
              <w:rPr>
                <w:sz w:val="20"/>
                <w:szCs w:val="20"/>
                <w:color w:val="auto"/>
              </w:rPr>
            </w:pPr>
            <w:r>
              <w:rPr>
                <w:rFonts w:ascii="Arial" w:cs="Arial" w:eastAsia="Arial" w:hAnsi="Arial"/>
                <w:sz w:val="13"/>
                <w:szCs w:val="13"/>
                <w:color w:val="auto"/>
              </w:rPr>
              <w:t>JBS Chile Ltda.</w:t>
            </w:r>
          </w:p>
        </w:tc>
        <w:tc>
          <w:tcPr>
            <w:tcW w:w="22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w:t>
            </w:r>
          </w:p>
        </w:tc>
      </w:tr>
      <w:tr>
        <w:trPr>
          <w:trHeight w:val="168"/>
        </w:trPr>
        <w:tc>
          <w:tcPr>
            <w:tcW w:w="8020" w:type="dxa"/>
            <w:vAlign w:val="bottom"/>
            <w:tcBorders>
              <w:bottom w:val="single" w:sz="8" w:color="CCEEFF"/>
            </w:tcBorders>
          </w:tcPr>
          <w:p>
            <w:pPr>
              <w:ind w:left="80"/>
              <w:spacing w:after="0"/>
              <w:rPr>
                <w:sz w:val="20"/>
                <w:szCs w:val="20"/>
                <w:color w:val="auto"/>
              </w:rPr>
            </w:pPr>
            <w:r>
              <w:rPr>
                <w:rFonts w:ascii="Arial" w:cs="Arial" w:eastAsia="Arial" w:hAnsi="Arial"/>
                <w:sz w:val="13"/>
                <w:szCs w:val="13"/>
                <w:color w:val="auto"/>
              </w:rPr>
              <w:t>JBS Global (UK) Ltd.</w:t>
            </w: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w:t>
            </w:r>
          </w:p>
        </w:tc>
      </w:tr>
      <w:tr>
        <w:trPr>
          <w:trHeight w:val="183"/>
        </w:trPr>
        <w:tc>
          <w:tcPr>
            <w:tcW w:w="80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Total accounts payable to related parties</w:t>
            </w: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22,317</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9,650</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ind w:left="520" w:right="60" w:hanging="515"/>
        <w:spacing w:after="0" w:line="257" w:lineRule="auto"/>
        <w:tabs>
          <w:tab w:leader="none" w:pos="247" w:val="left"/>
        </w:tabs>
        <w:numPr>
          <w:ilvl w:val="0"/>
          <w:numId w:val="38"/>
        </w:numPr>
        <w:rPr>
          <w:rFonts w:ascii="Arial" w:cs="Arial" w:eastAsia="Arial" w:hAnsi="Arial"/>
          <w:sz w:val="11"/>
          <w:szCs w:val="11"/>
          <w:color w:val="auto"/>
        </w:rPr>
      </w:pPr>
      <w:r>
        <w:rPr>
          <w:rFonts w:ascii="Arial" w:cs="Arial" w:eastAsia="Arial" w:hAnsi="Arial"/>
          <w:sz w:val="11"/>
          <w:szCs w:val="11"/>
          <w:color w:val="auto"/>
        </w:rPr>
        <w:t>The Company routinely execute transactions to both purchase products from JBS USA Food Company (“JBS USA”) and sell products to them. As of December 26, 2021, approximately $1.8 million of goods from JBS USA were in transit and not reflected on our Consolidated Balance Sheets.</w:t>
      </w:r>
    </w:p>
    <w:p>
      <w:pPr>
        <w:ind w:left="520" w:hanging="515"/>
        <w:spacing w:after="0" w:line="245" w:lineRule="auto"/>
        <w:tabs>
          <w:tab w:leader="none" w:pos="255" w:val="left"/>
        </w:tabs>
        <w:numPr>
          <w:ilvl w:val="0"/>
          <w:numId w:val="38"/>
        </w:numPr>
        <w:rPr>
          <w:rFonts w:ascii="Arial" w:cs="Arial" w:eastAsia="Arial" w:hAnsi="Arial"/>
          <w:sz w:val="11"/>
          <w:szCs w:val="11"/>
          <w:color w:val="auto"/>
        </w:rPr>
      </w:pPr>
      <w:r>
        <w:rPr>
          <w:rFonts w:ascii="Arial" w:cs="Arial" w:eastAsia="Arial" w:hAnsi="Arial"/>
          <w:sz w:val="11"/>
          <w:szCs w:val="11"/>
          <w:color w:val="auto"/>
        </w:rPr>
        <w:t>The Company has an agreement with JBS USA to allocate costs associated with JBS USA’s procurement of SAP licenses and maintenance services for both companies. Under this agreement, the fees associated with procuring SAP licenses and maintenance services are allocated between the Company and JBS USA in proportion to the percentage of licenses used by each company. The agreement expires on the date of expiration, or earlier termination, of the underlying SAP license agreement. The Company also has an agreement with JBS USA to allocate the costs of supporting the business operations by one consolidated corporate team, which have historically been supported by their respective corporate teams. Expenditures paid by JBS USA on behalf of the Company will be reimbursed by the Company and expenditures paid by the Company on behalf of JBS USA will be reimbursed by JBS USA. This agreement expires on December 31, 2021.</w:t>
      </w:r>
    </w:p>
    <w:p>
      <w:pPr>
        <w:ind w:left="520" w:hanging="515"/>
        <w:spacing w:after="0" w:line="257" w:lineRule="auto"/>
        <w:tabs>
          <w:tab w:leader="none" w:pos="268" w:val="left"/>
        </w:tabs>
        <w:numPr>
          <w:ilvl w:val="0"/>
          <w:numId w:val="38"/>
        </w:numPr>
        <w:rPr>
          <w:rFonts w:ascii="Arial" w:cs="Arial" w:eastAsia="Arial" w:hAnsi="Arial"/>
          <w:sz w:val="11"/>
          <w:szCs w:val="11"/>
          <w:color w:val="auto"/>
        </w:rPr>
      </w:pPr>
      <w:r>
        <w:rPr>
          <w:rFonts w:ascii="Arial" w:cs="Arial" w:eastAsia="Arial" w:hAnsi="Arial"/>
          <w:sz w:val="11"/>
          <w:szCs w:val="11"/>
          <w:color w:val="auto"/>
        </w:rPr>
        <w:t>The Company entered into a TSA during 2014 with JBS USA Holdings effective for tax years starting in 2010. The net tax payable for tax year 2021 was accrued in 2021 and will be paid in 2022. The net tax payable for tax year 2020 was accrued in 2020 and was paid in 2021.</w:t>
      </w:r>
    </w:p>
    <w:p>
      <w:pPr>
        <w:spacing w:after="0" w:line="102"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b w:val="1"/>
          <w:bCs w:val="1"/>
          <w:color w:val="auto"/>
        </w:rPr>
        <w:t>19.</w:t>
      </w:r>
      <w:r>
        <w:rPr>
          <w:sz w:val="20"/>
          <w:szCs w:val="20"/>
          <w:color w:val="auto"/>
        </w:rPr>
        <w:tab/>
      </w:r>
      <w:r>
        <w:rPr>
          <w:rFonts w:ascii="Arial" w:cs="Arial" w:eastAsia="Arial" w:hAnsi="Arial"/>
          <w:sz w:val="13"/>
          <w:szCs w:val="13"/>
          <w:b w:val="1"/>
          <w:bCs w:val="1"/>
          <w:color w:val="auto"/>
        </w:rPr>
        <w:t>REPORTABLE SEGMENTS</w:t>
      </w:r>
    </w:p>
    <w:p>
      <w:pPr>
        <w:spacing w:after="0" w:line="140"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4"/>
          <w:szCs w:val="14"/>
          <w:color w:val="auto"/>
        </w:rPr>
        <w:t>The Company operates in three reportable segments: U.S., U.K. and Europe and Mexico. The Company measures segment profit as operating income. Corporate expenses are allocated to the Mexico and U.K. and Europe reportable segments based upon various apportionment methods for specific expenditures incurred related thereto with the remaining amounts allocated to the U.S. reportable segment.</w:t>
      </w:r>
    </w:p>
    <w:p>
      <w:pPr>
        <w:spacing w:after="0" w:line="99"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4"/>
          <w:szCs w:val="14"/>
          <w:color w:val="auto"/>
        </w:rPr>
        <w:t>We conduct separate operations in the continental U.S. and in Puerto Rico. For segment reporting purposes, the Puerto Rico operations are included in the U.S. reportable segment. The chicken products processed by the U.S. reportable segment are sold to foodservice, retail and frozen entrée customers. The segment’s primary distribution is through retailers, foodservice distributors and restaurants.</w:t>
      </w:r>
    </w:p>
    <w:p>
      <w:pPr>
        <w:spacing w:after="0" w:line="99" w:lineRule="exact"/>
        <w:rPr>
          <w:sz w:val="20"/>
          <w:szCs w:val="20"/>
          <w:color w:val="auto"/>
        </w:rPr>
      </w:pPr>
    </w:p>
    <w:p>
      <w:pPr>
        <w:jc w:val="both"/>
        <w:ind w:firstLine="509"/>
        <w:spacing w:after="0" w:line="281" w:lineRule="auto"/>
        <w:rPr>
          <w:sz w:val="20"/>
          <w:szCs w:val="20"/>
          <w:color w:val="auto"/>
        </w:rPr>
      </w:pPr>
      <w:r>
        <w:rPr>
          <w:rFonts w:ascii="Arial" w:cs="Arial" w:eastAsia="Arial" w:hAnsi="Arial"/>
          <w:sz w:val="14"/>
          <w:szCs w:val="14"/>
          <w:color w:val="auto"/>
        </w:rPr>
        <w:t>The U.K. and Europe reportable segment processes primarily fresh chicken, pork products, specialty meats, ready meals and other prepared foods that are sold to foodservice, retail and direct to consumer customers. The segment’s primary distribution is through retailers, foodservice distributors and restaurants.</w:t>
      </w:r>
    </w:p>
    <w:p>
      <w:pPr>
        <w:spacing w:after="0" w:line="90" w:lineRule="exact"/>
        <w:rPr>
          <w:sz w:val="20"/>
          <w:szCs w:val="20"/>
          <w:color w:val="auto"/>
        </w:rPr>
      </w:pPr>
    </w:p>
    <w:p>
      <w:pPr>
        <w:jc w:val="both"/>
        <w:ind w:firstLine="509"/>
        <w:spacing w:after="0" w:line="281" w:lineRule="auto"/>
        <w:rPr>
          <w:sz w:val="20"/>
          <w:szCs w:val="20"/>
          <w:color w:val="auto"/>
        </w:rPr>
      </w:pPr>
      <w:r>
        <w:rPr>
          <w:rFonts w:ascii="Arial" w:cs="Arial" w:eastAsia="Arial" w:hAnsi="Arial"/>
          <w:sz w:val="14"/>
          <w:szCs w:val="14"/>
          <w:color w:val="auto"/>
        </w:rPr>
        <w:t>The chicken products processed by the Mexico reportable segment are sold to foodservice, retail and frozen entrée customers. The segment’s primary distribution is through retailers, foodservice distributors and restaurants.</w:t>
      </w:r>
    </w:p>
    <w:p>
      <w:pPr>
        <w:spacing w:after="0" w:line="9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Additional information regarding reportable segments is as follows: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type w:val="continuous"/>
        </w:sectPr>
      </w:pPr>
    </w:p>
    <w:bookmarkStart w:id="90" w:name="page91"/>
    <w:bookmarkEnd w:id="9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NOTES TO CONSOLIDATED FINANCIAL STATEMENTS</w:t>
      </w:r>
    </w:p>
    <w:p>
      <w:pPr>
        <w:spacing w:after="0" w:line="200" w:lineRule="exact"/>
        <w:rPr>
          <w:sz w:val="20"/>
          <w:szCs w:val="20"/>
          <w:color w:val="auto"/>
        </w:rPr>
      </w:pPr>
    </w:p>
    <w:p>
      <w:pPr>
        <w:spacing w:after="0" w:line="206" w:lineRule="exact"/>
        <w:rPr>
          <w:sz w:val="20"/>
          <w:szCs w:val="20"/>
          <w:color w:val="auto"/>
        </w:rPr>
      </w:pPr>
    </w:p>
    <w:tbl>
      <w:tblPr>
        <w:tblLayout w:type="fixed"/>
        <w:tblInd w:w="20" w:type="dxa"/>
        <w:tblCellMar>
          <w:top w:w="0" w:type="dxa"/>
          <w:left w:w="0" w:type="dxa"/>
          <w:bottom w:w="0" w:type="dxa"/>
          <w:right w:w="0" w:type="dxa"/>
        </w:tblCellMar>
      </w:tblPr>
      <w:tr>
        <w:trPr>
          <w:trHeight w:val="151"/>
        </w:trPr>
        <w:tc>
          <w:tcPr>
            <w:tcW w:w="57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1"/>
                <w:szCs w:val="11"/>
                <w:b w:val="1"/>
                <w:bCs w:val="1"/>
                <w:color w:val="auto"/>
                <w:w w:val="92"/>
              </w:rPr>
              <w:t>Year Ended</w:t>
            </w:r>
          </w:p>
        </w:tc>
        <w:tc>
          <w:tcPr>
            <w:tcW w:w="22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spacing w:after="0"/>
              <w:rPr>
                <w:sz w:val="13"/>
                <w:szCs w:val="13"/>
                <w:color w:val="auto"/>
              </w:rPr>
            </w:pPr>
          </w:p>
        </w:tc>
      </w:tr>
      <w:tr>
        <w:trPr>
          <w:trHeight w:val="143"/>
        </w:trPr>
        <w:tc>
          <w:tcPr>
            <w:tcW w:w="57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gridSpan w:val="2"/>
          </w:tcPr>
          <w:p>
            <w:pPr>
              <w:ind w:left="160"/>
              <w:spacing w:after="0" w:line="143" w:lineRule="exact"/>
              <w:rPr>
                <w:sz w:val="20"/>
                <w:szCs w:val="20"/>
                <w:color w:val="auto"/>
              </w:rPr>
            </w:pPr>
            <w:r>
              <w:rPr>
                <w:rFonts w:ascii="Arial" w:cs="Arial" w:eastAsia="Arial" w:hAnsi="Arial"/>
                <w:sz w:val="11"/>
                <w:szCs w:val="11"/>
                <w:b w:val="1"/>
                <w:bCs w:val="1"/>
                <w:color w:val="auto"/>
              </w:rPr>
              <w:t>December 26, 2021</w:t>
            </w:r>
            <w:r>
              <w:rPr>
                <w:rFonts w:ascii="Arial" w:cs="Arial" w:eastAsia="Arial" w:hAnsi="Arial"/>
                <w:sz w:val="14"/>
                <w:szCs w:val="14"/>
                <w:b w:val="1"/>
                <w:bCs w:val="1"/>
                <w:color w:val="auto"/>
                <w:vertAlign w:val="superscript"/>
              </w:rPr>
              <w:t>(a)</w:t>
            </w:r>
          </w:p>
        </w:tc>
        <w:tc>
          <w:tcPr>
            <w:tcW w:w="22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gridSpan w:val="2"/>
          </w:tcPr>
          <w:p>
            <w:pPr>
              <w:jc w:val="center"/>
              <w:ind w:right="320"/>
              <w:spacing w:after="0" w:line="143" w:lineRule="exact"/>
              <w:rPr>
                <w:sz w:val="20"/>
                <w:szCs w:val="20"/>
                <w:color w:val="auto"/>
              </w:rPr>
            </w:pPr>
            <w:r>
              <w:rPr>
                <w:rFonts w:ascii="Arial" w:cs="Arial" w:eastAsia="Arial" w:hAnsi="Arial"/>
                <w:sz w:val="11"/>
                <w:szCs w:val="11"/>
                <w:b w:val="1"/>
                <w:bCs w:val="1"/>
                <w:color w:val="auto"/>
                <w:w w:val="90"/>
              </w:rPr>
              <w:t>December 27, 2020</w:t>
            </w:r>
            <w:r>
              <w:rPr>
                <w:rFonts w:ascii="Arial" w:cs="Arial" w:eastAsia="Arial" w:hAnsi="Arial"/>
                <w:sz w:val="14"/>
                <w:szCs w:val="14"/>
                <w:b w:val="1"/>
                <w:bCs w:val="1"/>
                <w:color w:val="auto"/>
                <w:w w:val="90"/>
                <w:vertAlign w:val="superscript"/>
              </w:rPr>
              <w:t>(b)</w:t>
            </w:r>
          </w:p>
        </w:tc>
        <w:tc>
          <w:tcPr>
            <w:tcW w:w="22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jc w:val="right"/>
              <w:ind w:right="338"/>
              <w:spacing w:after="0" w:line="143" w:lineRule="exact"/>
              <w:rPr>
                <w:sz w:val="20"/>
                <w:szCs w:val="20"/>
                <w:color w:val="auto"/>
              </w:rPr>
            </w:pPr>
            <w:r>
              <w:rPr>
                <w:rFonts w:ascii="Arial" w:cs="Arial" w:eastAsia="Arial" w:hAnsi="Arial"/>
                <w:sz w:val="11"/>
                <w:szCs w:val="11"/>
                <w:b w:val="1"/>
                <w:bCs w:val="1"/>
                <w:color w:val="auto"/>
              </w:rPr>
              <w:t>December 29. 2019</w:t>
            </w:r>
            <w:r>
              <w:rPr>
                <w:rFonts w:ascii="Arial" w:cs="Arial" w:eastAsia="Arial" w:hAnsi="Arial"/>
                <w:sz w:val="14"/>
                <w:szCs w:val="14"/>
                <w:b w:val="1"/>
                <w:bCs w:val="1"/>
                <w:color w:val="auto"/>
                <w:vertAlign w:val="superscript"/>
              </w:rPr>
              <w:t>(c)</w:t>
            </w:r>
          </w:p>
        </w:tc>
      </w:tr>
      <w:tr>
        <w:trPr>
          <w:trHeight w:val="123"/>
        </w:trPr>
        <w:tc>
          <w:tcPr>
            <w:tcW w:w="5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40" w:type="dxa"/>
            <w:vAlign w:val="bottom"/>
            <w:gridSpan w:val="2"/>
          </w:tcPr>
          <w:p>
            <w:pPr>
              <w:jc w:val="center"/>
              <w:ind w:right="340"/>
              <w:spacing w:after="0"/>
              <w:rPr>
                <w:sz w:val="20"/>
                <w:szCs w:val="20"/>
                <w:color w:val="auto"/>
              </w:rPr>
            </w:pPr>
            <w:r>
              <w:rPr>
                <w:rFonts w:ascii="Arial" w:cs="Arial" w:eastAsia="Arial" w:hAnsi="Arial"/>
                <w:sz w:val="10"/>
                <w:szCs w:val="10"/>
                <w:b w:val="1"/>
                <w:bCs w:val="1"/>
                <w:color w:val="auto"/>
                <w:w w:val="89"/>
              </w:rPr>
              <w:t>(In thousands)</w:t>
            </w:r>
          </w:p>
        </w:tc>
        <w:tc>
          <w:tcPr>
            <w:tcW w:w="220" w:type="dxa"/>
            <w:vAlign w:val="bottom"/>
          </w:tcPr>
          <w:p>
            <w:pPr>
              <w:spacing w:after="0"/>
              <w:rPr>
                <w:sz w:val="10"/>
                <w:szCs w:val="10"/>
                <w:color w:val="auto"/>
              </w:rPr>
            </w:pPr>
          </w:p>
        </w:tc>
        <w:tc>
          <w:tcPr>
            <w:tcW w:w="1540" w:type="dxa"/>
            <w:vAlign w:val="bottom"/>
          </w:tcPr>
          <w:p>
            <w:pPr>
              <w:spacing w:after="0"/>
              <w:rPr>
                <w:sz w:val="10"/>
                <w:szCs w:val="10"/>
                <w:color w:val="auto"/>
              </w:rPr>
            </w:pPr>
          </w:p>
        </w:tc>
      </w:tr>
      <w:tr>
        <w:trPr>
          <w:trHeight w:val="176"/>
        </w:trPr>
        <w:tc>
          <w:tcPr>
            <w:tcW w:w="57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Net sales</w:t>
            </w:r>
          </w:p>
        </w:tc>
        <w:tc>
          <w:tcPr>
            <w:tcW w:w="22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r>
      <w:tr>
        <w:trPr>
          <w:trHeight w:val="168"/>
        </w:trPr>
        <w:tc>
          <w:tcPr>
            <w:tcW w:w="5780" w:type="dxa"/>
            <w:vAlign w:val="bottom"/>
          </w:tcPr>
          <w:p>
            <w:pPr>
              <w:ind w:left="100"/>
              <w:spacing w:after="0"/>
              <w:rPr>
                <w:sz w:val="20"/>
                <w:szCs w:val="20"/>
                <w:color w:val="auto"/>
              </w:rPr>
            </w:pPr>
            <w:r>
              <w:rPr>
                <w:rFonts w:ascii="Arial" w:cs="Arial" w:eastAsia="Arial" w:hAnsi="Arial"/>
                <w:sz w:val="13"/>
                <w:szCs w:val="13"/>
                <w:color w:val="auto"/>
              </w:rPr>
              <w:t>U.S.</w:t>
            </w:r>
          </w:p>
        </w:tc>
        <w:tc>
          <w:tcPr>
            <w:tcW w:w="220" w:type="dxa"/>
            <w:vAlign w:val="bottom"/>
          </w:tcPr>
          <w:p>
            <w:pPr>
              <w:jc w:val="right"/>
              <w:ind w:right="76"/>
              <w:spacing w:after="0"/>
              <w:rPr>
                <w:sz w:val="20"/>
                <w:szCs w:val="20"/>
                <w:color w:val="auto"/>
              </w:rPr>
            </w:pPr>
            <w:r>
              <w:rPr>
                <w:rFonts w:ascii="Arial" w:cs="Arial" w:eastAsia="Arial" w:hAnsi="Arial"/>
                <w:sz w:val="13"/>
                <w:szCs w:val="13"/>
                <w:color w:val="auto"/>
                <w:w w:val="82"/>
              </w:rPr>
              <w:t>$</w:t>
            </w:r>
          </w:p>
        </w:tc>
        <w:tc>
          <w:tcPr>
            <w:tcW w:w="1540" w:type="dxa"/>
            <w:vAlign w:val="bottom"/>
          </w:tcPr>
          <w:p>
            <w:pPr>
              <w:jc w:val="right"/>
              <w:spacing w:after="0"/>
              <w:rPr>
                <w:sz w:val="20"/>
                <w:szCs w:val="20"/>
                <w:color w:val="auto"/>
              </w:rPr>
            </w:pPr>
            <w:r>
              <w:rPr>
                <w:rFonts w:ascii="Arial" w:cs="Arial" w:eastAsia="Arial" w:hAnsi="Arial"/>
                <w:sz w:val="13"/>
                <w:szCs w:val="13"/>
                <w:color w:val="auto"/>
              </w:rPr>
              <w:t>9,113,879</w:t>
            </w:r>
          </w:p>
        </w:tc>
        <w:tc>
          <w:tcPr>
            <w:tcW w:w="100" w:type="dxa"/>
            <w:vAlign w:val="bottom"/>
          </w:tcPr>
          <w:p>
            <w:pPr>
              <w:spacing w:after="0"/>
              <w:rPr>
                <w:sz w:val="14"/>
                <w:szCs w:val="14"/>
                <w:color w:val="auto"/>
              </w:rPr>
            </w:pPr>
          </w:p>
        </w:tc>
        <w:tc>
          <w:tcPr>
            <w:tcW w:w="220" w:type="dxa"/>
            <w:vAlign w:val="bottom"/>
          </w:tcPr>
          <w:p>
            <w:pPr>
              <w:jc w:val="right"/>
              <w:ind w:right="76"/>
              <w:spacing w:after="0"/>
              <w:rPr>
                <w:sz w:val="20"/>
                <w:szCs w:val="20"/>
                <w:color w:val="auto"/>
              </w:rPr>
            </w:pPr>
            <w:r>
              <w:rPr>
                <w:rFonts w:ascii="Arial" w:cs="Arial" w:eastAsia="Arial" w:hAnsi="Arial"/>
                <w:sz w:val="13"/>
                <w:szCs w:val="13"/>
                <w:color w:val="auto"/>
                <w:w w:val="82"/>
              </w:rPr>
              <w:t>$</w:t>
            </w:r>
          </w:p>
        </w:tc>
        <w:tc>
          <w:tcPr>
            <w:tcW w:w="1540" w:type="dxa"/>
            <w:vAlign w:val="bottom"/>
          </w:tcPr>
          <w:p>
            <w:pPr>
              <w:jc w:val="right"/>
              <w:spacing w:after="0"/>
              <w:rPr>
                <w:sz w:val="20"/>
                <w:szCs w:val="20"/>
                <w:color w:val="auto"/>
              </w:rPr>
            </w:pPr>
            <w:r>
              <w:rPr>
                <w:rFonts w:ascii="Arial" w:cs="Arial" w:eastAsia="Arial" w:hAnsi="Arial"/>
                <w:sz w:val="13"/>
                <w:szCs w:val="13"/>
                <w:color w:val="auto"/>
              </w:rPr>
              <w:t>7,496,017</w:t>
            </w:r>
          </w:p>
        </w:tc>
        <w:tc>
          <w:tcPr>
            <w:tcW w:w="100" w:type="dxa"/>
            <w:vAlign w:val="bottom"/>
          </w:tcPr>
          <w:p>
            <w:pPr>
              <w:spacing w:after="0"/>
              <w:rPr>
                <w:sz w:val="14"/>
                <w:szCs w:val="14"/>
                <w:color w:val="auto"/>
              </w:rPr>
            </w:pP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1540" w:type="dxa"/>
            <w:vAlign w:val="bottom"/>
          </w:tcPr>
          <w:p>
            <w:pPr>
              <w:jc w:val="right"/>
              <w:spacing w:after="0"/>
              <w:rPr>
                <w:sz w:val="20"/>
                <w:szCs w:val="20"/>
                <w:color w:val="auto"/>
              </w:rPr>
            </w:pPr>
            <w:r>
              <w:rPr>
                <w:rFonts w:ascii="Arial" w:cs="Arial" w:eastAsia="Arial" w:hAnsi="Arial"/>
                <w:sz w:val="13"/>
                <w:szCs w:val="13"/>
                <w:color w:val="auto"/>
              </w:rPr>
              <w:t>7,636,716</w:t>
            </w:r>
          </w:p>
        </w:tc>
      </w:tr>
      <w:tr>
        <w:trPr>
          <w:trHeight w:val="172"/>
        </w:trPr>
        <w:tc>
          <w:tcPr>
            <w:tcW w:w="57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U.K. and Europe</w:t>
            </w:r>
          </w:p>
        </w:tc>
        <w:tc>
          <w:tcPr>
            <w:tcW w:w="22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3,934,062</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3,274,292</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2,383,793</w:t>
            </w:r>
          </w:p>
        </w:tc>
      </w:tr>
      <w:tr>
        <w:trPr>
          <w:trHeight w:val="168"/>
        </w:trPr>
        <w:tc>
          <w:tcPr>
            <w:tcW w:w="5780" w:type="dxa"/>
            <w:vAlign w:val="bottom"/>
            <w:tcBorders>
              <w:bottom w:val="single" w:sz="8" w:color="CCEEFF"/>
            </w:tcBorders>
          </w:tcPr>
          <w:p>
            <w:pPr>
              <w:ind w:left="100"/>
              <w:spacing w:after="0"/>
              <w:rPr>
                <w:sz w:val="20"/>
                <w:szCs w:val="20"/>
                <w:color w:val="auto"/>
              </w:rPr>
            </w:pPr>
            <w:r>
              <w:rPr>
                <w:rFonts w:ascii="Arial" w:cs="Arial" w:eastAsia="Arial" w:hAnsi="Arial"/>
                <w:sz w:val="13"/>
                <w:szCs w:val="13"/>
                <w:color w:val="auto"/>
              </w:rPr>
              <w:t>Mexico</w:t>
            </w:r>
          </w:p>
        </w:tc>
        <w:tc>
          <w:tcPr>
            <w:tcW w:w="2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1,729,517</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1,321,592</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1,388,710</w:t>
            </w:r>
          </w:p>
        </w:tc>
      </w:tr>
      <w:tr>
        <w:trPr>
          <w:trHeight w:val="185"/>
        </w:trPr>
        <w:tc>
          <w:tcPr>
            <w:tcW w:w="5780" w:type="dxa"/>
            <w:vAlign w:val="bottom"/>
            <w:tcBorders>
              <w:bottom w:val="single" w:sz="8" w:color="CCEEFF"/>
            </w:tcBorders>
            <w:shd w:val="clear" w:color="auto" w:fill="CCEEFF"/>
          </w:tcPr>
          <w:p>
            <w:pPr>
              <w:ind w:left="260"/>
              <w:spacing w:after="0" w:line="148" w:lineRule="exact"/>
              <w:rPr>
                <w:sz w:val="20"/>
                <w:szCs w:val="20"/>
                <w:color w:val="auto"/>
              </w:rPr>
            </w:pPr>
            <w:r>
              <w:rPr>
                <w:rFonts w:ascii="Arial" w:cs="Arial" w:eastAsia="Arial" w:hAnsi="Arial"/>
                <w:sz w:val="13"/>
                <w:szCs w:val="13"/>
                <w:color w:val="auto"/>
              </w:rPr>
              <w:t>Total</w:t>
            </w: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14,777,458</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12,091,901</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11,409,219</w:t>
            </w: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48" w:lineRule="exact"/>
        <w:rPr>
          <w:sz w:val="20"/>
          <w:szCs w:val="20"/>
          <w:color w:val="auto"/>
        </w:rPr>
      </w:pPr>
    </w:p>
    <w:p>
      <w:pPr>
        <w:ind w:left="520" w:hanging="515"/>
        <w:spacing w:after="0"/>
        <w:tabs>
          <w:tab w:leader="none" w:pos="520" w:val="left"/>
        </w:tabs>
        <w:numPr>
          <w:ilvl w:val="0"/>
          <w:numId w:val="39"/>
        </w:numPr>
        <w:rPr>
          <w:rFonts w:ascii="Arial" w:cs="Arial" w:eastAsia="Arial" w:hAnsi="Arial"/>
          <w:sz w:val="11"/>
          <w:szCs w:val="11"/>
          <w:color w:val="auto"/>
        </w:rPr>
      </w:pPr>
      <w:r>
        <w:rPr>
          <w:rFonts w:ascii="Arial" w:cs="Arial" w:eastAsia="Arial" w:hAnsi="Arial"/>
          <w:sz w:val="11"/>
          <w:szCs w:val="11"/>
          <w:color w:val="auto"/>
        </w:rPr>
        <w:t>For the year 2021, the U.S. reportable segment had intercompany sales to the Mexico reportable segment of $296.9 million. These sales consisted of fresh products, prepared products, eggs and grain.</w:t>
      </w:r>
    </w:p>
    <w:p>
      <w:pPr>
        <w:spacing w:after="0" w:line="22" w:lineRule="exact"/>
        <w:rPr>
          <w:rFonts w:ascii="Arial" w:cs="Arial" w:eastAsia="Arial" w:hAnsi="Arial"/>
          <w:sz w:val="11"/>
          <w:szCs w:val="11"/>
          <w:color w:val="auto"/>
        </w:rPr>
      </w:pPr>
    </w:p>
    <w:p>
      <w:pPr>
        <w:ind w:left="500" w:hanging="495"/>
        <w:spacing w:after="0"/>
        <w:tabs>
          <w:tab w:leader="none" w:pos="500" w:val="left"/>
        </w:tabs>
        <w:numPr>
          <w:ilvl w:val="0"/>
          <w:numId w:val="39"/>
        </w:numPr>
        <w:rPr>
          <w:rFonts w:ascii="Arial" w:cs="Arial" w:eastAsia="Arial" w:hAnsi="Arial"/>
          <w:sz w:val="11"/>
          <w:szCs w:val="11"/>
          <w:color w:val="auto"/>
        </w:rPr>
      </w:pPr>
      <w:r>
        <w:rPr>
          <w:rFonts w:ascii="Arial" w:cs="Arial" w:eastAsia="Arial" w:hAnsi="Arial"/>
          <w:sz w:val="11"/>
          <w:szCs w:val="11"/>
          <w:color w:val="auto"/>
        </w:rPr>
        <w:t>For the year 2020, the U.S. reportable segment had intercompany sales to the Mexico reportable segment of $210.6 million. These sales consisted of fresh products, prepared products and grain.</w:t>
      </w:r>
    </w:p>
    <w:p>
      <w:pPr>
        <w:spacing w:after="0" w:line="18" w:lineRule="exact"/>
        <w:rPr>
          <w:rFonts w:ascii="Arial" w:cs="Arial" w:eastAsia="Arial" w:hAnsi="Arial"/>
          <w:sz w:val="11"/>
          <w:szCs w:val="11"/>
          <w:color w:val="auto"/>
        </w:rPr>
      </w:pPr>
    </w:p>
    <w:p>
      <w:pPr>
        <w:ind w:left="520" w:hanging="515"/>
        <w:spacing w:after="0"/>
        <w:tabs>
          <w:tab w:leader="none" w:pos="520" w:val="left"/>
        </w:tabs>
        <w:numPr>
          <w:ilvl w:val="0"/>
          <w:numId w:val="39"/>
        </w:numPr>
        <w:rPr>
          <w:rFonts w:ascii="Arial" w:cs="Arial" w:eastAsia="Arial" w:hAnsi="Arial"/>
          <w:sz w:val="11"/>
          <w:szCs w:val="11"/>
          <w:color w:val="auto"/>
        </w:rPr>
      </w:pPr>
      <w:r>
        <w:rPr>
          <w:rFonts w:ascii="Arial" w:cs="Arial" w:eastAsia="Arial" w:hAnsi="Arial"/>
          <w:sz w:val="11"/>
          <w:szCs w:val="11"/>
          <w:color w:val="auto"/>
        </w:rPr>
        <w:t>For the year 2019, the U.S. reportable segment had intercompany sales to the Mexico reportable segment of $188.9 million. These sales consisted of fresh products, prepared products and grain.</w:t>
      </w:r>
    </w:p>
    <w:p>
      <w:pPr>
        <w:spacing w:after="0" w:line="141" w:lineRule="exact"/>
        <w:rPr>
          <w:sz w:val="20"/>
          <w:szCs w:val="20"/>
          <w:color w:val="auto"/>
        </w:rPr>
      </w:pPr>
    </w:p>
    <w:tbl>
      <w:tblPr>
        <w:tblLayout w:type="fixed"/>
        <w:tblInd w:w="20" w:type="dxa"/>
        <w:tblCellMar>
          <w:top w:w="0" w:type="dxa"/>
          <w:left w:w="0" w:type="dxa"/>
          <w:bottom w:w="0" w:type="dxa"/>
          <w:right w:w="0" w:type="dxa"/>
        </w:tblCellMar>
      </w:tblPr>
      <w:tr>
        <w:trPr>
          <w:trHeight w:val="151"/>
        </w:trPr>
        <w:tc>
          <w:tcPr>
            <w:tcW w:w="20" w:type="dxa"/>
            <w:vAlign w:val="bottom"/>
          </w:tcPr>
          <w:p>
            <w:pPr>
              <w:spacing w:after="0"/>
              <w:rPr>
                <w:sz w:val="13"/>
                <w:szCs w:val="13"/>
                <w:color w:val="auto"/>
              </w:rPr>
            </w:pPr>
          </w:p>
        </w:tc>
        <w:tc>
          <w:tcPr>
            <w:tcW w:w="5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1"/>
                <w:szCs w:val="11"/>
                <w:b w:val="1"/>
                <w:bCs w:val="1"/>
                <w:color w:val="auto"/>
                <w:w w:val="92"/>
              </w:rPr>
              <w:t>Year Ended</w:t>
            </w: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r>
      <w:tr>
        <w:trPr>
          <w:trHeight w:val="142"/>
        </w:trPr>
        <w:tc>
          <w:tcPr>
            <w:tcW w:w="2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gridSpan w:val="2"/>
          </w:tcPr>
          <w:p>
            <w:pPr>
              <w:ind w:left="180"/>
              <w:spacing w:after="0"/>
              <w:rPr>
                <w:sz w:val="20"/>
                <w:szCs w:val="20"/>
                <w:color w:val="auto"/>
              </w:rPr>
            </w:pPr>
            <w:r>
              <w:rPr>
                <w:rFonts w:ascii="Arial" w:cs="Arial" w:eastAsia="Arial" w:hAnsi="Arial"/>
                <w:sz w:val="11"/>
                <w:szCs w:val="11"/>
                <w:b w:val="1"/>
                <w:bCs w:val="1"/>
                <w:color w:val="auto"/>
              </w:rPr>
              <w:t>December 26, 2021</w:t>
            </w:r>
          </w:p>
        </w:tc>
        <w:tc>
          <w:tcPr>
            <w:tcW w:w="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1"/>
                <w:szCs w:val="11"/>
                <w:b w:val="1"/>
                <w:bCs w:val="1"/>
                <w:color w:val="auto"/>
                <w:w w:val="92"/>
              </w:rPr>
              <w:t>December 27, 2020</w:t>
            </w:r>
          </w:p>
        </w:tc>
        <w:tc>
          <w:tcPr>
            <w:tcW w:w="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gridSpan w:val="2"/>
          </w:tcPr>
          <w:p>
            <w:pPr>
              <w:ind w:left="200"/>
              <w:spacing w:after="0"/>
              <w:rPr>
                <w:sz w:val="20"/>
                <w:szCs w:val="20"/>
                <w:color w:val="auto"/>
              </w:rPr>
            </w:pPr>
            <w:r>
              <w:rPr>
                <w:rFonts w:ascii="Arial" w:cs="Arial" w:eastAsia="Arial" w:hAnsi="Arial"/>
                <w:sz w:val="11"/>
                <w:szCs w:val="11"/>
                <w:b w:val="1"/>
                <w:bCs w:val="1"/>
                <w:color w:val="auto"/>
              </w:rPr>
              <w:t>December 29, 2019</w:t>
            </w:r>
          </w:p>
        </w:tc>
      </w:tr>
      <w:tr>
        <w:trPr>
          <w:trHeight w:val="124"/>
        </w:trPr>
        <w:tc>
          <w:tcPr>
            <w:tcW w:w="20" w:type="dxa"/>
            <w:vAlign w:val="bottom"/>
          </w:tcPr>
          <w:p>
            <w:pPr>
              <w:spacing w:after="0"/>
              <w:rPr>
                <w:sz w:val="10"/>
                <w:szCs w:val="10"/>
                <w:color w:val="auto"/>
              </w:rPr>
            </w:pPr>
          </w:p>
        </w:tc>
        <w:tc>
          <w:tcPr>
            <w:tcW w:w="5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89"/>
              </w:rPr>
              <w:t>(In thousands)</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76"/>
        </w:trPr>
        <w:tc>
          <w:tcPr>
            <w:tcW w:w="576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Operating income</w:t>
            </w: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168"/>
        </w:trPr>
        <w:tc>
          <w:tcPr>
            <w:tcW w:w="20" w:type="dxa"/>
            <w:vAlign w:val="bottom"/>
          </w:tcPr>
          <w:p>
            <w:pPr>
              <w:spacing w:after="0"/>
              <w:rPr>
                <w:sz w:val="14"/>
                <w:szCs w:val="14"/>
                <w:color w:val="auto"/>
              </w:rPr>
            </w:pPr>
          </w:p>
        </w:tc>
        <w:tc>
          <w:tcPr>
            <w:tcW w:w="5740" w:type="dxa"/>
            <w:vAlign w:val="bottom"/>
          </w:tcPr>
          <w:p>
            <w:pPr>
              <w:ind w:left="80"/>
              <w:spacing w:after="0"/>
              <w:rPr>
                <w:sz w:val="20"/>
                <w:szCs w:val="20"/>
                <w:color w:val="auto"/>
              </w:rPr>
            </w:pPr>
            <w:r>
              <w:rPr>
                <w:rFonts w:ascii="Arial" w:cs="Arial" w:eastAsia="Arial" w:hAnsi="Arial"/>
                <w:sz w:val="13"/>
                <w:szCs w:val="13"/>
                <w:color w:val="auto"/>
              </w:rPr>
              <w:t>U.S.</w:t>
            </w:r>
          </w:p>
        </w:tc>
        <w:tc>
          <w:tcPr>
            <w:tcW w:w="2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520" w:type="dxa"/>
            <w:vAlign w:val="bottom"/>
            <w:gridSpan w:val="2"/>
          </w:tcPr>
          <w:p>
            <w:pPr>
              <w:jc w:val="right"/>
              <w:ind w:right="20"/>
              <w:spacing w:after="0"/>
              <w:rPr>
                <w:sz w:val="20"/>
                <w:szCs w:val="20"/>
                <w:color w:val="auto"/>
              </w:rPr>
            </w:pPr>
            <w:r>
              <w:rPr>
                <w:rFonts w:ascii="Arial" w:cs="Arial" w:eastAsia="Arial" w:hAnsi="Arial"/>
                <w:sz w:val="13"/>
                <w:szCs w:val="13"/>
                <w:color w:val="auto"/>
              </w:rPr>
              <w:t>(17,036)</w:t>
            </w:r>
          </w:p>
        </w:tc>
        <w:tc>
          <w:tcPr>
            <w:tcW w:w="34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1500" w:type="dxa"/>
            <w:vAlign w:val="bottom"/>
          </w:tcPr>
          <w:p>
            <w:pPr>
              <w:jc w:val="right"/>
              <w:spacing w:after="0"/>
              <w:rPr>
                <w:sz w:val="20"/>
                <w:szCs w:val="20"/>
                <w:color w:val="auto"/>
              </w:rPr>
            </w:pPr>
            <w:r>
              <w:rPr>
                <w:rFonts w:ascii="Arial" w:cs="Arial" w:eastAsia="Arial" w:hAnsi="Arial"/>
                <w:sz w:val="13"/>
                <w:szCs w:val="13"/>
                <w:color w:val="auto"/>
              </w:rPr>
              <w:t>69,377</w:t>
            </w:r>
          </w:p>
        </w:tc>
        <w:tc>
          <w:tcPr>
            <w:tcW w:w="20" w:type="dxa"/>
            <w:vAlign w:val="bottom"/>
          </w:tcPr>
          <w:p>
            <w:pPr>
              <w:spacing w:after="0"/>
              <w:rPr>
                <w:sz w:val="14"/>
                <w:szCs w:val="14"/>
                <w:color w:val="auto"/>
              </w:rPr>
            </w:pPr>
          </w:p>
        </w:tc>
        <w:tc>
          <w:tcPr>
            <w:tcW w:w="32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1520" w:type="dxa"/>
            <w:vAlign w:val="bottom"/>
          </w:tcPr>
          <w:p>
            <w:pPr>
              <w:jc w:val="right"/>
              <w:spacing w:after="0"/>
              <w:rPr>
                <w:sz w:val="20"/>
                <w:szCs w:val="20"/>
                <w:color w:val="auto"/>
              </w:rPr>
            </w:pPr>
            <w:r>
              <w:rPr>
                <w:rFonts w:ascii="Arial" w:cs="Arial" w:eastAsia="Arial" w:hAnsi="Arial"/>
                <w:sz w:val="13"/>
                <w:szCs w:val="13"/>
                <w:color w:val="auto"/>
              </w:rPr>
              <w:t>487,275</w:t>
            </w:r>
          </w:p>
        </w:tc>
        <w:tc>
          <w:tcPr>
            <w:tcW w:w="20" w:type="dxa"/>
            <w:vAlign w:val="bottom"/>
          </w:tcPr>
          <w:p>
            <w:pPr>
              <w:spacing w:after="0"/>
              <w:rPr>
                <w:sz w:val="14"/>
                <w:szCs w:val="14"/>
                <w:color w:val="auto"/>
              </w:rPr>
            </w:pPr>
          </w:p>
        </w:tc>
      </w:tr>
      <w:tr>
        <w:trPr>
          <w:trHeight w:val="172"/>
        </w:trPr>
        <w:tc>
          <w:tcPr>
            <w:tcW w:w="20" w:type="dxa"/>
            <w:vAlign w:val="bottom"/>
            <w:shd w:val="clear" w:color="auto" w:fill="CCEEFF"/>
          </w:tcPr>
          <w:p>
            <w:pPr>
              <w:spacing w:after="0"/>
              <w:rPr>
                <w:sz w:val="14"/>
                <w:szCs w:val="14"/>
                <w:color w:val="auto"/>
              </w:rPr>
            </w:pPr>
          </w:p>
        </w:tc>
        <w:tc>
          <w:tcPr>
            <w:tcW w:w="5740" w:type="dxa"/>
            <w:vAlign w:val="bottom"/>
            <w:shd w:val="clear" w:color="auto" w:fill="CCEEFF"/>
          </w:tcPr>
          <w:p>
            <w:pPr>
              <w:ind w:left="80"/>
              <w:spacing w:after="0"/>
              <w:rPr>
                <w:sz w:val="20"/>
                <w:szCs w:val="20"/>
                <w:color w:val="auto"/>
              </w:rPr>
            </w:pPr>
            <w:r>
              <w:rPr>
                <w:rFonts w:ascii="Arial" w:cs="Arial" w:eastAsia="Arial" w:hAnsi="Arial"/>
                <w:sz w:val="13"/>
                <w:szCs w:val="13"/>
                <w:color w:val="auto"/>
              </w:rPr>
              <w:t>U.K. and Europe</w:t>
            </w: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(627)</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102,734</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79,182</w:t>
            </w:r>
          </w:p>
        </w:tc>
        <w:tc>
          <w:tcPr>
            <w:tcW w:w="20" w:type="dxa"/>
            <w:vAlign w:val="bottom"/>
            <w:shd w:val="clear" w:color="auto" w:fill="CCEEFF"/>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5740" w:type="dxa"/>
            <w:vAlign w:val="bottom"/>
          </w:tcPr>
          <w:p>
            <w:pPr>
              <w:ind w:left="80"/>
              <w:spacing w:after="0"/>
              <w:rPr>
                <w:sz w:val="20"/>
                <w:szCs w:val="20"/>
                <w:color w:val="auto"/>
              </w:rPr>
            </w:pPr>
            <w:r>
              <w:rPr>
                <w:rFonts w:ascii="Arial" w:cs="Arial" w:eastAsia="Arial" w:hAnsi="Arial"/>
                <w:sz w:val="13"/>
                <w:szCs w:val="13"/>
                <w:color w:val="auto"/>
              </w:rPr>
              <w:t>Mexico</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228,773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72,879</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124,015</w:t>
            </w:r>
          </w:p>
        </w:tc>
        <w:tc>
          <w:tcPr>
            <w:tcW w:w="20" w:type="dxa"/>
            <w:vAlign w:val="bottom"/>
          </w:tcPr>
          <w:p>
            <w:pPr>
              <w:spacing w:after="0"/>
              <w:rPr>
                <w:sz w:val="14"/>
                <w:szCs w:val="14"/>
                <w:color w:val="auto"/>
              </w:rPr>
            </w:pPr>
          </w:p>
        </w:tc>
      </w:tr>
      <w:tr>
        <w:trPr>
          <w:trHeight w:val="172"/>
        </w:trPr>
        <w:tc>
          <w:tcPr>
            <w:tcW w:w="20" w:type="dxa"/>
            <w:vAlign w:val="bottom"/>
            <w:shd w:val="clear" w:color="auto" w:fill="CCEEFF"/>
          </w:tcPr>
          <w:p>
            <w:pPr>
              <w:spacing w:after="0"/>
              <w:rPr>
                <w:sz w:val="14"/>
                <w:szCs w:val="14"/>
                <w:color w:val="auto"/>
              </w:rPr>
            </w:pPr>
          </w:p>
        </w:tc>
        <w:tc>
          <w:tcPr>
            <w:tcW w:w="5740" w:type="dxa"/>
            <w:vAlign w:val="bottom"/>
            <w:shd w:val="clear" w:color="auto" w:fill="CCEEFF"/>
          </w:tcPr>
          <w:p>
            <w:pPr>
              <w:ind w:left="80"/>
              <w:spacing w:after="0"/>
              <w:rPr>
                <w:sz w:val="20"/>
                <w:szCs w:val="20"/>
                <w:color w:val="auto"/>
              </w:rPr>
            </w:pPr>
            <w:r>
              <w:rPr>
                <w:rFonts w:ascii="Arial" w:cs="Arial" w:eastAsia="Arial" w:hAnsi="Arial"/>
                <w:sz w:val="13"/>
                <w:szCs w:val="13"/>
                <w:color w:val="auto"/>
              </w:rPr>
              <w:t>Eliminations</w:t>
            </w:r>
          </w:p>
        </w:tc>
        <w:tc>
          <w:tcPr>
            <w:tcW w:w="2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54</w:t>
            </w: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473</w:t>
            </w: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20" w:type="dxa"/>
            <w:vAlign w:val="bottom"/>
            <w:tcBorders>
              <w:bottom w:val="single" w:sz="8" w:color="auto"/>
            </w:tcBorders>
            <w:shd w:val="clear" w:color="auto" w:fill="CCEEFF"/>
          </w:tcPr>
          <w:p>
            <w:pPr>
              <w:spacing w:after="0"/>
              <w:rPr>
                <w:sz w:val="14"/>
                <w:szCs w:val="14"/>
                <w:color w:val="auto"/>
              </w:rPr>
            </w:pPr>
          </w:p>
        </w:tc>
      </w:tr>
      <w:tr>
        <w:trPr>
          <w:trHeight w:val="158"/>
        </w:trPr>
        <w:tc>
          <w:tcPr>
            <w:tcW w:w="20" w:type="dxa"/>
            <w:vAlign w:val="bottom"/>
          </w:tcPr>
          <w:p>
            <w:pPr>
              <w:spacing w:after="0"/>
              <w:rPr>
                <w:sz w:val="13"/>
                <w:szCs w:val="13"/>
                <w:color w:val="auto"/>
              </w:rPr>
            </w:pPr>
          </w:p>
        </w:tc>
        <w:tc>
          <w:tcPr>
            <w:tcW w:w="5740" w:type="dxa"/>
            <w:vAlign w:val="bottom"/>
          </w:tcPr>
          <w:p>
            <w:pPr>
              <w:ind w:left="140"/>
              <w:spacing w:after="0"/>
              <w:rPr>
                <w:sz w:val="20"/>
                <w:szCs w:val="20"/>
                <w:color w:val="auto"/>
              </w:rPr>
            </w:pPr>
            <w:r>
              <w:rPr>
                <w:rFonts w:ascii="Arial" w:cs="Arial" w:eastAsia="Arial" w:hAnsi="Arial"/>
                <w:sz w:val="13"/>
                <w:szCs w:val="13"/>
                <w:color w:val="auto"/>
              </w:rPr>
              <w:t>Total operating income</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211,164</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245,463</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690,568</w:t>
            </w:r>
          </w:p>
        </w:tc>
        <w:tc>
          <w:tcPr>
            <w:tcW w:w="20" w:type="dxa"/>
            <w:vAlign w:val="bottom"/>
          </w:tcPr>
          <w:p>
            <w:pPr>
              <w:spacing w:after="0"/>
              <w:rPr>
                <w:sz w:val="13"/>
                <w:szCs w:val="13"/>
                <w:color w:val="auto"/>
              </w:rPr>
            </w:pPr>
          </w:p>
        </w:tc>
      </w:tr>
      <w:tr>
        <w:trPr>
          <w:trHeight w:val="172"/>
        </w:trPr>
        <w:tc>
          <w:tcPr>
            <w:tcW w:w="57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Interest expense, net of capitalized interest</w:t>
            </w: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145,792</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126,118</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132,630</w:t>
            </w:r>
          </w:p>
        </w:tc>
        <w:tc>
          <w:tcPr>
            <w:tcW w:w="20" w:type="dxa"/>
            <w:vAlign w:val="bottom"/>
            <w:shd w:val="clear" w:color="auto" w:fill="CCEEFF"/>
          </w:tcPr>
          <w:p>
            <w:pPr>
              <w:spacing w:after="0"/>
              <w:rPr>
                <w:sz w:val="14"/>
                <w:szCs w:val="14"/>
                <w:color w:val="auto"/>
              </w:rPr>
            </w:pPr>
          </w:p>
        </w:tc>
      </w:tr>
      <w:tr>
        <w:trPr>
          <w:trHeight w:val="168"/>
        </w:trPr>
        <w:tc>
          <w:tcPr>
            <w:tcW w:w="5760" w:type="dxa"/>
            <w:vAlign w:val="bottom"/>
            <w:gridSpan w:val="2"/>
          </w:tcPr>
          <w:p>
            <w:pPr>
              <w:spacing w:after="0"/>
              <w:rPr>
                <w:sz w:val="20"/>
                <w:szCs w:val="20"/>
                <w:color w:val="auto"/>
              </w:rPr>
            </w:pPr>
            <w:r>
              <w:rPr>
                <w:rFonts w:ascii="Arial" w:cs="Arial" w:eastAsia="Arial" w:hAnsi="Arial"/>
                <w:sz w:val="13"/>
                <w:szCs w:val="13"/>
                <w:color w:val="auto"/>
              </w:rPr>
              <w:t>Interest income</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3"/>
                <w:szCs w:val="13"/>
                <w:color w:val="auto"/>
              </w:rPr>
              <w:t>(6,056)</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3"/>
                <w:szCs w:val="13"/>
                <w:color w:val="auto"/>
              </w:rPr>
              <w:t>(7,305)</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3"/>
                <w:szCs w:val="13"/>
                <w:color w:val="auto"/>
              </w:rPr>
              <w:t>(14,277)</w:t>
            </w:r>
          </w:p>
        </w:tc>
      </w:tr>
      <w:tr>
        <w:trPr>
          <w:trHeight w:val="172"/>
        </w:trPr>
        <w:tc>
          <w:tcPr>
            <w:tcW w:w="57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Foreign currency transaction (gains) losses</w:t>
            </w: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(9,382)</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760</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6,917</w:t>
            </w:r>
          </w:p>
        </w:tc>
        <w:tc>
          <w:tcPr>
            <w:tcW w:w="20" w:type="dxa"/>
            <w:vAlign w:val="bottom"/>
            <w:shd w:val="clear" w:color="auto" w:fill="CCEEFF"/>
          </w:tcPr>
          <w:p>
            <w:pPr>
              <w:spacing w:after="0"/>
              <w:rPr>
                <w:sz w:val="14"/>
                <w:szCs w:val="14"/>
                <w:color w:val="auto"/>
              </w:rPr>
            </w:pPr>
          </w:p>
        </w:tc>
      </w:tr>
      <w:tr>
        <w:trPr>
          <w:trHeight w:val="168"/>
        </w:trPr>
        <w:tc>
          <w:tcPr>
            <w:tcW w:w="5760" w:type="dxa"/>
            <w:vAlign w:val="bottom"/>
            <w:gridSpan w:val="2"/>
          </w:tcPr>
          <w:p>
            <w:pPr>
              <w:spacing w:after="0"/>
              <w:rPr>
                <w:sz w:val="20"/>
                <w:szCs w:val="20"/>
                <w:color w:val="auto"/>
              </w:rPr>
            </w:pPr>
            <w:r>
              <w:rPr>
                <w:rFonts w:ascii="Arial" w:cs="Arial" w:eastAsia="Arial" w:hAnsi="Arial"/>
                <w:sz w:val="13"/>
                <w:szCs w:val="13"/>
                <w:color w:val="auto"/>
              </w:rPr>
              <w:t>Gain on bargain purchase</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3,746</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3"/>
                <w:szCs w:val="13"/>
                <w:color w:val="auto"/>
              </w:rPr>
              <w:t>(56,880)</w:t>
            </w:r>
          </w:p>
        </w:tc>
      </w:tr>
      <w:tr>
        <w:trPr>
          <w:trHeight w:val="172"/>
        </w:trPr>
        <w:tc>
          <w:tcPr>
            <w:tcW w:w="57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Miscellaneous, net</w:t>
            </w:r>
          </w:p>
        </w:tc>
        <w:tc>
          <w:tcPr>
            <w:tcW w:w="2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(11,580)</w:t>
            </w: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5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(39,681)</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4,633</w:t>
            </w:r>
          </w:p>
        </w:tc>
        <w:tc>
          <w:tcPr>
            <w:tcW w:w="20" w:type="dxa"/>
            <w:vAlign w:val="bottom"/>
            <w:tcBorders>
              <w:bottom w:val="single" w:sz="8" w:color="auto"/>
            </w:tcBorders>
            <w:shd w:val="clear" w:color="auto" w:fill="CCEEFF"/>
          </w:tcPr>
          <w:p>
            <w:pPr>
              <w:spacing w:after="0"/>
              <w:rPr>
                <w:sz w:val="14"/>
                <w:szCs w:val="14"/>
                <w:color w:val="auto"/>
              </w:rPr>
            </w:pPr>
          </w:p>
        </w:tc>
      </w:tr>
      <w:tr>
        <w:trPr>
          <w:trHeight w:val="158"/>
        </w:trPr>
        <w:tc>
          <w:tcPr>
            <w:tcW w:w="20" w:type="dxa"/>
            <w:vAlign w:val="bottom"/>
          </w:tcPr>
          <w:p>
            <w:pPr>
              <w:spacing w:after="0"/>
              <w:rPr>
                <w:sz w:val="13"/>
                <w:szCs w:val="13"/>
                <w:color w:val="auto"/>
              </w:rPr>
            </w:pPr>
          </w:p>
        </w:tc>
        <w:tc>
          <w:tcPr>
            <w:tcW w:w="5740" w:type="dxa"/>
            <w:vAlign w:val="bottom"/>
          </w:tcPr>
          <w:p>
            <w:pPr>
              <w:ind w:left="140"/>
              <w:spacing w:after="0"/>
              <w:rPr>
                <w:sz w:val="20"/>
                <w:szCs w:val="20"/>
                <w:color w:val="auto"/>
              </w:rPr>
            </w:pPr>
            <w:r>
              <w:rPr>
                <w:rFonts w:ascii="Arial" w:cs="Arial" w:eastAsia="Arial" w:hAnsi="Arial"/>
                <w:sz w:val="13"/>
                <w:szCs w:val="13"/>
                <w:color w:val="auto"/>
              </w:rPr>
              <w:t>Income before income taxes</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92,390</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161,825</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617,545</w:t>
            </w:r>
          </w:p>
        </w:tc>
        <w:tc>
          <w:tcPr>
            <w:tcW w:w="20" w:type="dxa"/>
            <w:vAlign w:val="bottom"/>
          </w:tcPr>
          <w:p>
            <w:pPr>
              <w:spacing w:after="0"/>
              <w:rPr>
                <w:sz w:val="13"/>
                <w:szCs w:val="13"/>
                <w:color w:val="auto"/>
              </w:rPr>
            </w:pPr>
          </w:p>
        </w:tc>
      </w:tr>
      <w:tr>
        <w:trPr>
          <w:trHeight w:val="170"/>
        </w:trPr>
        <w:tc>
          <w:tcPr>
            <w:tcW w:w="57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Income tax expense</w:t>
            </w:r>
          </w:p>
        </w:tc>
        <w:tc>
          <w:tcPr>
            <w:tcW w:w="2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61,122</w:t>
            </w: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66,755</w:t>
            </w: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161,009</w:t>
            </w:r>
          </w:p>
        </w:tc>
        <w:tc>
          <w:tcPr>
            <w:tcW w:w="20" w:type="dxa"/>
            <w:vAlign w:val="bottom"/>
            <w:tcBorders>
              <w:bottom w:val="single" w:sz="8" w:color="auto"/>
            </w:tcBorders>
            <w:shd w:val="clear" w:color="auto" w:fill="CCEEFF"/>
          </w:tcPr>
          <w:p>
            <w:pPr>
              <w:spacing w:after="0"/>
              <w:rPr>
                <w:sz w:val="14"/>
                <w:szCs w:val="14"/>
                <w:color w:val="auto"/>
              </w:rPr>
            </w:pPr>
          </w:p>
        </w:tc>
      </w:tr>
      <w:tr>
        <w:trPr>
          <w:trHeight w:val="163"/>
        </w:trPr>
        <w:tc>
          <w:tcPr>
            <w:tcW w:w="20" w:type="dxa"/>
            <w:vAlign w:val="bottom"/>
          </w:tcPr>
          <w:p>
            <w:pPr>
              <w:spacing w:after="0"/>
              <w:rPr>
                <w:sz w:val="14"/>
                <w:szCs w:val="14"/>
                <w:color w:val="auto"/>
              </w:rPr>
            </w:pPr>
          </w:p>
        </w:tc>
        <w:tc>
          <w:tcPr>
            <w:tcW w:w="5740" w:type="dxa"/>
            <w:vAlign w:val="bottom"/>
          </w:tcPr>
          <w:p>
            <w:pPr>
              <w:ind w:left="140"/>
              <w:spacing w:after="0"/>
              <w:rPr>
                <w:sz w:val="20"/>
                <w:szCs w:val="20"/>
                <w:color w:val="auto"/>
              </w:rPr>
            </w:pPr>
            <w:r>
              <w:rPr>
                <w:rFonts w:ascii="Arial" w:cs="Arial" w:eastAsia="Arial" w:hAnsi="Arial"/>
                <w:sz w:val="13"/>
                <w:szCs w:val="13"/>
                <w:color w:val="auto"/>
              </w:rPr>
              <w:t>Net income</w:t>
            </w:r>
          </w:p>
        </w:tc>
        <w:tc>
          <w:tcPr>
            <w:tcW w:w="2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500" w:type="dxa"/>
            <w:vAlign w:val="bottom"/>
          </w:tcPr>
          <w:p>
            <w:pPr>
              <w:jc w:val="right"/>
              <w:spacing w:after="0"/>
              <w:rPr>
                <w:sz w:val="20"/>
                <w:szCs w:val="20"/>
                <w:color w:val="auto"/>
              </w:rPr>
            </w:pPr>
            <w:r>
              <w:rPr>
                <w:rFonts w:ascii="Arial" w:cs="Arial" w:eastAsia="Arial" w:hAnsi="Arial"/>
                <w:sz w:val="13"/>
                <w:szCs w:val="13"/>
                <w:color w:val="auto"/>
              </w:rPr>
              <w:t>31,268</w:t>
            </w:r>
          </w:p>
        </w:tc>
        <w:tc>
          <w:tcPr>
            <w:tcW w:w="20" w:type="dxa"/>
            <w:vAlign w:val="bottom"/>
          </w:tcPr>
          <w:p>
            <w:pPr>
              <w:spacing w:after="0"/>
              <w:rPr>
                <w:sz w:val="14"/>
                <w:szCs w:val="14"/>
                <w:color w:val="auto"/>
              </w:rPr>
            </w:pPr>
          </w:p>
        </w:tc>
        <w:tc>
          <w:tcPr>
            <w:tcW w:w="34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1500" w:type="dxa"/>
            <w:vAlign w:val="bottom"/>
          </w:tcPr>
          <w:p>
            <w:pPr>
              <w:jc w:val="right"/>
              <w:spacing w:after="0"/>
              <w:rPr>
                <w:sz w:val="20"/>
                <w:szCs w:val="20"/>
                <w:color w:val="auto"/>
              </w:rPr>
            </w:pPr>
            <w:r>
              <w:rPr>
                <w:rFonts w:ascii="Arial" w:cs="Arial" w:eastAsia="Arial" w:hAnsi="Arial"/>
                <w:sz w:val="13"/>
                <w:szCs w:val="13"/>
                <w:color w:val="auto"/>
              </w:rPr>
              <w:t>95,070</w:t>
            </w:r>
          </w:p>
        </w:tc>
        <w:tc>
          <w:tcPr>
            <w:tcW w:w="20" w:type="dxa"/>
            <w:vAlign w:val="bottom"/>
          </w:tcPr>
          <w:p>
            <w:pPr>
              <w:spacing w:after="0"/>
              <w:rPr>
                <w:sz w:val="14"/>
                <w:szCs w:val="14"/>
                <w:color w:val="auto"/>
              </w:rPr>
            </w:pPr>
          </w:p>
        </w:tc>
        <w:tc>
          <w:tcPr>
            <w:tcW w:w="32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1520" w:type="dxa"/>
            <w:vAlign w:val="bottom"/>
          </w:tcPr>
          <w:p>
            <w:pPr>
              <w:jc w:val="right"/>
              <w:spacing w:after="0"/>
              <w:rPr>
                <w:sz w:val="20"/>
                <w:szCs w:val="20"/>
                <w:color w:val="auto"/>
              </w:rPr>
            </w:pPr>
            <w:r>
              <w:rPr>
                <w:rFonts w:ascii="Arial" w:cs="Arial" w:eastAsia="Arial" w:hAnsi="Arial"/>
                <w:sz w:val="13"/>
                <w:szCs w:val="13"/>
                <w:color w:val="auto"/>
              </w:rPr>
              <w:t>456,536</w:t>
            </w:r>
          </w:p>
        </w:tc>
        <w:tc>
          <w:tcPr>
            <w:tcW w:w="2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r>
        <w:trPr>
          <w:trHeight w:val="254"/>
        </w:trPr>
        <w:tc>
          <w:tcPr>
            <w:tcW w:w="20" w:type="dxa"/>
            <w:vAlign w:val="bottom"/>
          </w:tcPr>
          <w:p>
            <w:pPr>
              <w:spacing w:after="0"/>
              <w:rPr>
                <w:sz w:val="22"/>
                <w:szCs w:val="22"/>
                <w:color w:val="auto"/>
              </w:rPr>
            </w:pPr>
          </w:p>
        </w:tc>
        <w:tc>
          <w:tcPr>
            <w:tcW w:w="5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1"/>
                <w:szCs w:val="11"/>
                <w:b w:val="1"/>
                <w:bCs w:val="1"/>
                <w:color w:val="auto"/>
                <w:w w:val="92"/>
              </w:rPr>
              <w:t>Year Ended</w:t>
            </w: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r>
      <w:tr>
        <w:trPr>
          <w:trHeight w:val="142"/>
        </w:trPr>
        <w:tc>
          <w:tcPr>
            <w:tcW w:w="2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gridSpan w:val="2"/>
          </w:tcPr>
          <w:p>
            <w:pPr>
              <w:ind w:left="180"/>
              <w:spacing w:after="0"/>
              <w:rPr>
                <w:sz w:val="20"/>
                <w:szCs w:val="20"/>
                <w:color w:val="auto"/>
              </w:rPr>
            </w:pPr>
            <w:r>
              <w:rPr>
                <w:rFonts w:ascii="Arial" w:cs="Arial" w:eastAsia="Arial" w:hAnsi="Arial"/>
                <w:sz w:val="11"/>
                <w:szCs w:val="11"/>
                <w:b w:val="1"/>
                <w:bCs w:val="1"/>
                <w:color w:val="auto"/>
              </w:rPr>
              <w:t>December 26, 2021</w:t>
            </w:r>
          </w:p>
        </w:tc>
        <w:tc>
          <w:tcPr>
            <w:tcW w:w="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1"/>
                <w:szCs w:val="11"/>
                <w:b w:val="1"/>
                <w:bCs w:val="1"/>
                <w:color w:val="auto"/>
                <w:w w:val="92"/>
              </w:rPr>
              <w:t>December 27, 2020</w:t>
            </w:r>
          </w:p>
        </w:tc>
        <w:tc>
          <w:tcPr>
            <w:tcW w:w="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gridSpan w:val="2"/>
          </w:tcPr>
          <w:p>
            <w:pPr>
              <w:ind w:left="200"/>
              <w:spacing w:after="0"/>
              <w:rPr>
                <w:sz w:val="20"/>
                <w:szCs w:val="20"/>
                <w:color w:val="auto"/>
              </w:rPr>
            </w:pPr>
            <w:r>
              <w:rPr>
                <w:rFonts w:ascii="Arial" w:cs="Arial" w:eastAsia="Arial" w:hAnsi="Arial"/>
                <w:sz w:val="11"/>
                <w:szCs w:val="11"/>
                <w:b w:val="1"/>
                <w:bCs w:val="1"/>
                <w:color w:val="auto"/>
              </w:rPr>
              <w:t>December 29, 2019</w:t>
            </w:r>
          </w:p>
        </w:tc>
      </w:tr>
      <w:tr>
        <w:trPr>
          <w:trHeight w:val="124"/>
        </w:trPr>
        <w:tc>
          <w:tcPr>
            <w:tcW w:w="20" w:type="dxa"/>
            <w:vAlign w:val="bottom"/>
          </w:tcPr>
          <w:p>
            <w:pPr>
              <w:spacing w:after="0"/>
              <w:rPr>
                <w:sz w:val="10"/>
                <w:szCs w:val="10"/>
                <w:color w:val="auto"/>
              </w:rPr>
            </w:pPr>
          </w:p>
        </w:tc>
        <w:tc>
          <w:tcPr>
            <w:tcW w:w="5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89"/>
              </w:rPr>
              <w:t>(In thousands)</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76"/>
        </w:trPr>
        <w:tc>
          <w:tcPr>
            <w:tcW w:w="576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Depreciation and amortization:</w:t>
            </w: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168"/>
        </w:trPr>
        <w:tc>
          <w:tcPr>
            <w:tcW w:w="20" w:type="dxa"/>
            <w:vAlign w:val="bottom"/>
          </w:tcPr>
          <w:p>
            <w:pPr>
              <w:spacing w:after="0"/>
              <w:rPr>
                <w:sz w:val="14"/>
                <w:szCs w:val="14"/>
                <w:color w:val="auto"/>
              </w:rPr>
            </w:pPr>
          </w:p>
        </w:tc>
        <w:tc>
          <w:tcPr>
            <w:tcW w:w="5740" w:type="dxa"/>
            <w:vAlign w:val="bottom"/>
          </w:tcPr>
          <w:p>
            <w:pPr>
              <w:ind w:left="80"/>
              <w:spacing w:after="0"/>
              <w:rPr>
                <w:sz w:val="20"/>
                <w:szCs w:val="20"/>
                <w:color w:val="auto"/>
              </w:rPr>
            </w:pPr>
            <w:r>
              <w:rPr>
                <w:rFonts w:ascii="Arial" w:cs="Arial" w:eastAsia="Arial" w:hAnsi="Arial"/>
                <w:sz w:val="13"/>
                <w:szCs w:val="13"/>
                <w:color w:val="auto"/>
              </w:rPr>
              <w:t>U.S.</w:t>
            </w:r>
          </w:p>
        </w:tc>
        <w:tc>
          <w:tcPr>
            <w:tcW w:w="2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500" w:type="dxa"/>
            <w:vAlign w:val="bottom"/>
          </w:tcPr>
          <w:p>
            <w:pPr>
              <w:jc w:val="right"/>
              <w:spacing w:after="0"/>
              <w:rPr>
                <w:sz w:val="20"/>
                <w:szCs w:val="20"/>
                <w:color w:val="auto"/>
              </w:rPr>
            </w:pPr>
            <w:r>
              <w:rPr>
                <w:rFonts w:ascii="Arial" w:cs="Arial" w:eastAsia="Arial" w:hAnsi="Arial"/>
                <w:sz w:val="13"/>
                <w:szCs w:val="13"/>
                <w:color w:val="auto"/>
              </w:rPr>
              <w:t>242,944</w:t>
            </w:r>
          </w:p>
        </w:tc>
        <w:tc>
          <w:tcPr>
            <w:tcW w:w="20" w:type="dxa"/>
            <w:vAlign w:val="bottom"/>
          </w:tcPr>
          <w:p>
            <w:pPr>
              <w:spacing w:after="0"/>
              <w:rPr>
                <w:sz w:val="14"/>
                <w:szCs w:val="14"/>
                <w:color w:val="auto"/>
              </w:rPr>
            </w:pPr>
          </w:p>
        </w:tc>
        <w:tc>
          <w:tcPr>
            <w:tcW w:w="34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1500" w:type="dxa"/>
            <w:vAlign w:val="bottom"/>
          </w:tcPr>
          <w:p>
            <w:pPr>
              <w:jc w:val="right"/>
              <w:spacing w:after="0"/>
              <w:rPr>
                <w:sz w:val="20"/>
                <w:szCs w:val="20"/>
                <w:color w:val="auto"/>
              </w:rPr>
            </w:pPr>
            <w:r>
              <w:rPr>
                <w:rFonts w:ascii="Arial" w:cs="Arial" w:eastAsia="Arial" w:hAnsi="Arial"/>
                <w:sz w:val="13"/>
                <w:szCs w:val="13"/>
                <w:color w:val="auto"/>
              </w:rPr>
              <w:t>218,244</w:t>
            </w:r>
          </w:p>
        </w:tc>
        <w:tc>
          <w:tcPr>
            <w:tcW w:w="20" w:type="dxa"/>
            <w:vAlign w:val="bottom"/>
          </w:tcPr>
          <w:p>
            <w:pPr>
              <w:spacing w:after="0"/>
              <w:rPr>
                <w:sz w:val="14"/>
                <w:szCs w:val="14"/>
                <w:color w:val="auto"/>
              </w:rPr>
            </w:pPr>
          </w:p>
        </w:tc>
        <w:tc>
          <w:tcPr>
            <w:tcW w:w="32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1520" w:type="dxa"/>
            <w:vAlign w:val="bottom"/>
          </w:tcPr>
          <w:p>
            <w:pPr>
              <w:jc w:val="right"/>
              <w:spacing w:after="0"/>
              <w:rPr>
                <w:sz w:val="20"/>
                <w:szCs w:val="20"/>
                <w:color w:val="auto"/>
              </w:rPr>
            </w:pPr>
            <w:r>
              <w:rPr>
                <w:rFonts w:ascii="Arial" w:cs="Arial" w:eastAsia="Arial" w:hAnsi="Arial"/>
                <w:sz w:val="13"/>
                <w:szCs w:val="13"/>
                <w:color w:val="auto"/>
              </w:rPr>
              <w:t>207,584</w:t>
            </w:r>
          </w:p>
        </w:tc>
        <w:tc>
          <w:tcPr>
            <w:tcW w:w="20" w:type="dxa"/>
            <w:vAlign w:val="bottom"/>
          </w:tcPr>
          <w:p>
            <w:pPr>
              <w:spacing w:after="0"/>
              <w:rPr>
                <w:sz w:val="14"/>
                <w:szCs w:val="14"/>
                <w:color w:val="auto"/>
              </w:rPr>
            </w:pPr>
          </w:p>
        </w:tc>
      </w:tr>
      <w:tr>
        <w:trPr>
          <w:trHeight w:val="172"/>
        </w:trPr>
        <w:tc>
          <w:tcPr>
            <w:tcW w:w="20" w:type="dxa"/>
            <w:vAlign w:val="bottom"/>
            <w:shd w:val="clear" w:color="auto" w:fill="CCEEFF"/>
          </w:tcPr>
          <w:p>
            <w:pPr>
              <w:spacing w:after="0"/>
              <w:rPr>
                <w:sz w:val="14"/>
                <w:szCs w:val="14"/>
                <w:color w:val="auto"/>
              </w:rPr>
            </w:pPr>
          </w:p>
        </w:tc>
        <w:tc>
          <w:tcPr>
            <w:tcW w:w="5740" w:type="dxa"/>
            <w:vAlign w:val="bottom"/>
            <w:shd w:val="clear" w:color="auto" w:fill="CCEEFF"/>
          </w:tcPr>
          <w:p>
            <w:pPr>
              <w:ind w:left="80"/>
              <w:spacing w:after="0"/>
              <w:rPr>
                <w:sz w:val="20"/>
                <w:szCs w:val="20"/>
                <w:color w:val="auto"/>
              </w:rPr>
            </w:pPr>
            <w:r>
              <w:rPr>
                <w:rFonts w:ascii="Arial" w:cs="Arial" w:eastAsia="Arial" w:hAnsi="Arial"/>
                <w:sz w:val="13"/>
                <w:szCs w:val="13"/>
                <w:color w:val="auto"/>
              </w:rPr>
              <w:t>U.K. and Europe</w:t>
            </w: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113,256</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92,673</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60,499</w:t>
            </w:r>
          </w:p>
        </w:tc>
        <w:tc>
          <w:tcPr>
            <w:tcW w:w="20" w:type="dxa"/>
            <w:vAlign w:val="bottom"/>
            <w:shd w:val="clear" w:color="auto" w:fill="CCEEFF"/>
          </w:tcPr>
          <w:p>
            <w:pPr>
              <w:spacing w:after="0"/>
              <w:rPr>
                <w:sz w:val="14"/>
                <w:szCs w:val="14"/>
                <w:color w:val="auto"/>
              </w:rPr>
            </w:pPr>
          </w:p>
        </w:tc>
      </w:tr>
      <w:tr>
        <w:trPr>
          <w:trHeight w:val="168"/>
        </w:trPr>
        <w:tc>
          <w:tcPr>
            <w:tcW w:w="20" w:type="dxa"/>
            <w:vAlign w:val="bottom"/>
            <w:tcBorders>
              <w:bottom w:val="single" w:sz="8" w:color="CCEEFF"/>
            </w:tcBorders>
          </w:tcPr>
          <w:p>
            <w:pPr>
              <w:spacing w:after="0"/>
              <w:rPr>
                <w:sz w:val="14"/>
                <w:szCs w:val="14"/>
                <w:color w:val="auto"/>
              </w:rPr>
            </w:pPr>
          </w:p>
        </w:tc>
        <w:tc>
          <w:tcPr>
            <w:tcW w:w="5740" w:type="dxa"/>
            <w:vAlign w:val="bottom"/>
            <w:tcBorders>
              <w:bottom w:val="single" w:sz="8" w:color="CCEEFF"/>
            </w:tcBorders>
          </w:tcPr>
          <w:p>
            <w:pPr>
              <w:ind w:left="80"/>
              <w:spacing w:after="0"/>
              <w:rPr>
                <w:sz w:val="20"/>
                <w:szCs w:val="20"/>
                <w:color w:val="auto"/>
              </w:rPr>
            </w:pPr>
            <w:r>
              <w:rPr>
                <w:rFonts w:ascii="Arial" w:cs="Arial" w:eastAsia="Arial" w:hAnsi="Arial"/>
                <w:sz w:val="13"/>
                <w:szCs w:val="13"/>
                <w:color w:val="auto"/>
              </w:rPr>
              <w:t>Mexico</w:t>
            </w:r>
          </w:p>
        </w:tc>
        <w:tc>
          <w:tcPr>
            <w:tcW w:w="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24,624</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26,187</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19,147</w:t>
            </w:r>
          </w:p>
        </w:tc>
        <w:tc>
          <w:tcPr>
            <w:tcW w:w="20" w:type="dxa"/>
            <w:vAlign w:val="bottom"/>
            <w:tcBorders>
              <w:bottom w:val="single" w:sz="8" w:color="auto"/>
            </w:tcBorders>
          </w:tcPr>
          <w:p>
            <w:pPr>
              <w:spacing w:after="0"/>
              <w:rPr>
                <w:sz w:val="14"/>
                <w:szCs w:val="14"/>
                <w:color w:val="auto"/>
              </w:rPr>
            </w:pPr>
          </w:p>
        </w:tc>
      </w:tr>
      <w:tr>
        <w:trPr>
          <w:trHeight w:val="183"/>
        </w:trPr>
        <w:tc>
          <w:tcPr>
            <w:tcW w:w="20" w:type="dxa"/>
            <w:vAlign w:val="bottom"/>
            <w:shd w:val="clear" w:color="auto" w:fill="CCEEFF"/>
          </w:tcPr>
          <w:p>
            <w:pPr>
              <w:spacing w:after="0"/>
              <w:rPr>
                <w:sz w:val="15"/>
                <w:szCs w:val="15"/>
                <w:color w:val="auto"/>
              </w:rPr>
            </w:pPr>
          </w:p>
        </w:tc>
        <w:tc>
          <w:tcPr>
            <w:tcW w:w="57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Total</w:t>
            </w:r>
          </w:p>
        </w:tc>
        <w:tc>
          <w:tcPr>
            <w:tcW w:w="2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380,824</w:t>
            </w:r>
          </w:p>
        </w:tc>
        <w:tc>
          <w:tcPr>
            <w:tcW w:w="20" w:type="dxa"/>
            <w:vAlign w:val="bottom"/>
            <w:shd w:val="clear" w:color="auto" w:fill="CCEEFF"/>
          </w:tcPr>
          <w:p>
            <w:pPr>
              <w:spacing w:after="0"/>
              <w:rPr>
                <w:sz w:val="15"/>
                <w:szCs w:val="15"/>
                <w:color w:val="auto"/>
              </w:rPr>
            </w:pPr>
          </w:p>
        </w:tc>
        <w:tc>
          <w:tcPr>
            <w:tcW w:w="34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337,104</w:t>
            </w:r>
          </w:p>
        </w:tc>
        <w:tc>
          <w:tcPr>
            <w:tcW w:w="20" w:type="dxa"/>
            <w:vAlign w:val="bottom"/>
            <w:shd w:val="clear" w:color="auto" w:fill="CCEEFF"/>
          </w:tcPr>
          <w:p>
            <w:pPr>
              <w:spacing w:after="0"/>
              <w:rPr>
                <w:sz w:val="15"/>
                <w:szCs w:val="15"/>
                <w:color w:val="auto"/>
              </w:rPr>
            </w:pPr>
          </w:p>
        </w:tc>
        <w:tc>
          <w:tcPr>
            <w:tcW w:w="32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287,230</w:t>
            </w:r>
          </w:p>
        </w:tc>
        <w:tc>
          <w:tcPr>
            <w:tcW w:w="20" w:type="dxa"/>
            <w:vAlign w:val="bottom"/>
            <w:shd w:val="clear" w:color="auto" w:fill="CCEEFF"/>
          </w:tcPr>
          <w:p>
            <w:pPr>
              <w:spacing w:after="0"/>
              <w:rPr>
                <w:sz w:val="15"/>
                <w:szCs w:val="15"/>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7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r>
        <w:trPr>
          <w:trHeight w:val="245"/>
        </w:trPr>
        <w:tc>
          <w:tcPr>
            <w:tcW w:w="20" w:type="dxa"/>
            <w:vAlign w:val="bottom"/>
          </w:tcPr>
          <w:p>
            <w:pPr>
              <w:spacing w:after="0"/>
              <w:rPr>
                <w:sz w:val="21"/>
                <w:szCs w:val="21"/>
                <w:color w:val="auto"/>
              </w:rPr>
            </w:pPr>
          </w:p>
        </w:tc>
        <w:tc>
          <w:tcPr>
            <w:tcW w:w="574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1"/>
                <w:szCs w:val="11"/>
                <w:b w:val="1"/>
                <w:bCs w:val="1"/>
                <w:color w:val="auto"/>
                <w:w w:val="95"/>
              </w:rPr>
              <w:t>Year Ended</w:t>
            </w:r>
          </w:p>
        </w:tc>
        <w:tc>
          <w:tcPr>
            <w:tcW w:w="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142"/>
        </w:trPr>
        <w:tc>
          <w:tcPr>
            <w:tcW w:w="2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gridSpan w:val="2"/>
          </w:tcPr>
          <w:p>
            <w:pPr>
              <w:ind w:left="160"/>
              <w:spacing w:after="0"/>
              <w:rPr>
                <w:sz w:val="20"/>
                <w:szCs w:val="20"/>
                <w:color w:val="auto"/>
              </w:rPr>
            </w:pPr>
            <w:r>
              <w:rPr>
                <w:rFonts w:ascii="Arial" w:cs="Arial" w:eastAsia="Arial" w:hAnsi="Arial"/>
                <w:sz w:val="11"/>
                <w:szCs w:val="11"/>
                <w:b w:val="1"/>
                <w:bCs w:val="1"/>
                <w:color w:val="auto"/>
              </w:rPr>
              <w:t>December 26, 2021</w:t>
            </w:r>
          </w:p>
        </w:tc>
        <w:tc>
          <w:tcPr>
            <w:tcW w:w="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1"/>
                <w:szCs w:val="11"/>
                <w:b w:val="1"/>
                <w:bCs w:val="1"/>
                <w:color w:val="auto"/>
                <w:w w:val="90"/>
              </w:rPr>
              <w:t>December 27, 2020</w:t>
            </w:r>
          </w:p>
        </w:tc>
        <w:tc>
          <w:tcPr>
            <w:tcW w:w="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jc w:val="right"/>
              <w:ind w:right="377"/>
              <w:spacing w:after="0"/>
              <w:rPr>
                <w:sz w:val="20"/>
                <w:szCs w:val="20"/>
                <w:color w:val="auto"/>
              </w:rPr>
            </w:pPr>
            <w:r>
              <w:rPr>
                <w:rFonts w:ascii="Arial" w:cs="Arial" w:eastAsia="Arial" w:hAnsi="Arial"/>
                <w:sz w:val="11"/>
                <w:szCs w:val="11"/>
                <w:b w:val="1"/>
                <w:bCs w:val="1"/>
                <w:color w:val="auto"/>
              </w:rPr>
              <w:t>December 29, 2019</w:t>
            </w:r>
          </w:p>
        </w:tc>
        <w:tc>
          <w:tcPr>
            <w:tcW w:w="20" w:type="dxa"/>
            <w:vAlign w:val="bottom"/>
          </w:tcPr>
          <w:p>
            <w:pPr>
              <w:spacing w:after="0"/>
              <w:rPr>
                <w:sz w:val="12"/>
                <w:szCs w:val="12"/>
                <w:color w:val="auto"/>
              </w:rPr>
            </w:pPr>
          </w:p>
        </w:tc>
      </w:tr>
      <w:tr>
        <w:trPr>
          <w:trHeight w:val="124"/>
        </w:trPr>
        <w:tc>
          <w:tcPr>
            <w:tcW w:w="20" w:type="dxa"/>
            <w:vAlign w:val="bottom"/>
          </w:tcPr>
          <w:p>
            <w:pPr>
              <w:spacing w:after="0"/>
              <w:rPr>
                <w:sz w:val="10"/>
                <w:szCs w:val="10"/>
                <w:color w:val="auto"/>
              </w:rPr>
            </w:pPr>
          </w:p>
        </w:tc>
        <w:tc>
          <w:tcPr>
            <w:tcW w:w="5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89"/>
              </w:rPr>
              <w:t>(In thousands)</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76"/>
        </w:trPr>
        <w:tc>
          <w:tcPr>
            <w:tcW w:w="20" w:type="dxa"/>
            <w:vAlign w:val="bottom"/>
          </w:tcPr>
          <w:p>
            <w:pPr>
              <w:spacing w:after="0"/>
              <w:rPr>
                <w:sz w:val="15"/>
                <w:szCs w:val="15"/>
                <w:color w:val="auto"/>
              </w:rPr>
            </w:pPr>
          </w:p>
        </w:tc>
        <w:tc>
          <w:tcPr>
            <w:tcW w:w="57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Capital expenditures:</w:t>
            </w: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68"/>
        </w:trPr>
        <w:tc>
          <w:tcPr>
            <w:tcW w:w="20" w:type="dxa"/>
            <w:vAlign w:val="bottom"/>
          </w:tcPr>
          <w:p>
            <w:pPr>
              <w:spacing w:after="0"/>
              <w:rPr>
                <w:sz w:val="14"/>
                <w:szCs w:val="14"/>
                <w:color w:val="auto"/>
              </w:rPr>
            </w:pPr>
          </w:p>
        </w:tc>
        <w:tc>
          <w:tcPr>
            <w:tcW w:w="5740" w:type="dxa"/>
            <w:vAlign w:val="bottom"/>
          </w:tcPr>
          <w:p>
            <w:pPr>
              <w:ind w:left="120"/>
              <w:spacing w:after="0"/>
              <w:rPr>
                <w:sz w:val="20"/>
                <w:szCs w:val="20"/>
                <w:color w:val="auto"/>
              </w:rPr>
            </w:pPr>
            <w:r>
              <w:rPr>
                <w:rFonts w:ascii="Arial" w:cs="Arial" w:eastAsia="Arial" w:hAnsi="Arial"/>
                <w:sz w:val="13"/>
                <w:szCs w:val="13"/>
                <w:color w:val="auto"/>
              </w:rPr>
              <w:t>U.S.</w:t>
            </w:r>
          </w:p>
        </w:tc>
        <w:tc>
          <w:tcPr>
            <w:tcW w:w="260" w:type="dxa"/>
            <w:vAlign w:val="bottom"/>
            <w:gridSpan w:val="2"/>
          </w:tcPr>
          <w:p>
            <w:pPr>
              <w:jc w:val="right"/>
              <w:ind w:right="200"/>
              <w:spacing w:after="0"/>
              <w:rPr>
                <w:sz w:val="20"/>
                <w:szCs w:val="20"/>
                <w:color w:val="auto"/>
              </w:rPr>
            </w:pPr>
            <w:r>
              <w:rPr>
                <w:rFonts w:ascii="Arial" w:cs="Arial" w:eastAsia="Arial" w:hAnsi="Arial"/>
                <w:sz w:val="10"/>
                <w:szCs w:val="10"/>
                <w:color w:val="auto"/>
                <w:w w:val="71"/>
              </w:rPr>
              <w:t>$</w:t>
            </w:r>
          </w:p>
        </w:tc>
        <w:tc>
          <w:tcPr>
            <w:tcW w:w="1500" w:type="dxa"/>
            <w:vAlign w:val="bottom"/>
          </w:tcPr>
          <w:p>
            <w:pPr>
              <w:jc w:val="right"/>
              <w:spacing w:after="0"/>
              <w:rPr>
                <w:sz w:val="20"/>
                <w:szCs w:val="20"/>
                <w:color w:val="auto"/>
              </w:rPr>
            </w:pPr>
            <w:r>
              <w:rPr>
                <w:rFonts w:ascii="Arial" w:cs="Arial" w:eastAsia="Arial" w:hAnsi="Arial"/>
                <w:sz w:val="13"/>
                <w:szCs w:val="13"/>
                <w:color w:val="auto"/>
              </w:rPr>
              <w:t>274,934</w:t>
            </w:r>
          </w:p>
        </w:tc>
        <w:tc>
          <w:tcPr>
            <w:tcW w:w="20" w:type="dxa"/>
            <w:vAlign w:val="bottom"/>
          </w:tcPr>
          <w:p>
            <w:pPr>
              <w:spacing w:after="0"/>
              <w:rPr>
                <w:sz w:val="14"/>
                <w:szCs w:val="14"/>
                <w:color w:val="auto"/>
              </w:rPr>
            </w:pPr>
          </w:p>
        </w:tc>
        <w:tc>
          <w:tcPr>
            <w:tcW w:w="340" w:type="dxa"/>
            <w:vAlign w:val="bottom"/>
            <w:gridSpan w:val="3"/>
          </w:tcPr>
          <w:p>
            <w:pPr>
              <w:jc w:val="right"/>
              <w:ind w:right="200"/>
              <w:spacing w:after="0"/>
              <w:rPr>
                <w:sz w:val="20"/>
                <w:szCs w:val="20"/>
                <w:color w:val="auto"/>
              </w:rPr>
            </w:pPr>
            <w:r>
              <w:rPr>
                <w:rFonts w:ascii="Arial" w:cs="Arial" w:eastAsia="Arial" w:hAnsi="Arial"/>
                <w:sz w:val="13"/>
                <w:szCs w:val="13"/>
                <w:color w:val="auto"/>
              </w:rPr>
              <w:t>$</w:t>
            </w:r>
          </w:p>
        </w:tc>
        <w:tc>
          <w:tcPr>
            <w:tcW w:w="1500" w:type="dxa"/>
            <w:vAlign w:val="bottom"/>
          </w:tcPr>
          <w:p>
            <w:pPr>
              <w:jc w:val="right"/>
              <w:spacing w:after="0"/>
              <w:rPr>
                <w:sz w:val="20"/>
                <w:szCs w:val="20"/>
                <w:color w:val="auto"/>
              </w:rPr>
            </w:pPr>
            <w:r>
              <w:rPr>
                <w:rFonts w:ascii="Arial" w:cs="Arial" w:eastAsia="Arial" w:hAnsi="Arial"/>
                <w:sz w:val="13"/>
                <w:szCs w:val="13"/>
                <w:color w:val="auto"/>
              </w:rPr>
              <w:t>264,149</w:t>
            </w:r>
          </w:p>
        </w:tc>
        <w:tc>
          <w:tcPr>
            <w:tcW w:w="20" w:type="dxa"/>
            <w:vAlign w:val="bottom"/>
          </w:tcPr>
          <w:p>
            <w:pPr>
              <w:spacing w:after="0"/>
              <w:rPr>
                <w:sz w:val="14"/>
                <w:szCs w:val="14"/>
                <w:color w:val="auto"/>
              </w:rPr>
            </w:pPr>
          </w:p>
        </w:tc>
        <w:tc>
          <w:tcPr>
            <w:tcW w:w="32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1520" w:type="dxa"/>
            <w:vAlign w:val="bottom"/>
          </w:tcPr>
          <w:p>
            <w:pPr>
              <w:jc w:val="right"/>
              <w:spacing w:after="0"/>
              <w:rPr>
                <w:sz w:val="20"/>
                <w:szCs w:val="20"/>
                <w:color w:val="auto"/>
              </w:rPr>
            </w:pPr>
            <w:r>
              <w:rPr>
                <w:rFonts w:ascii="Arial" w:cs="Arial" w:eastAsia="Arial" w:hAnsi="Arial"/>
                <w:sz w:val="13"/>
                <w:szCs w:val="13"/>
                <w:color w:val="auto"/>
              </w:rPr>
              <w:t>269,609</w:t>
            </w:r>
          </w:p>
        </w:tc>
        <w:tc>
          <w:tcPr>
            <w:tcW w:w="2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7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U.K. and Europe</w:t>
            </w: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87,004</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77,597</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58,795</w:t>
            </w:r>
          </w:p>
        </w:tc>
        <w:tc>
          <w:tcPr>
            <w:tcW w:w="20" w:type="dxa"/>
            <w:vAlign w:val="bottom"/>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574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Mexico</w:t>
            </w: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19,733</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13,016</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19,716</w:t>
            </w:r>
          </w:p>
        </w:tc>
        <w:tc>
          <w:tcPr>
            <w:tcW w:w="20" w:type="dxa"/>
            <w:vAlign w:val="bottom"/>
          </w:tcPr>
          <w:p>
            <w:pPr>
              <w:spacing w:after="0"/>
              <w:rPr>
                <w:sz w:val="14"/>
                <w:szCs w:val="14"/>
                <w:color w:val="auto"/>
              </w:rPr>
            </w:pPr>
          </w:p>
        </w:tc>
      </w:tr>
      <w:tr>
        <w:trPr>
          <w:trHeight w:val="183"/>
        </w:trPr>
        <w:tc>
          <w:tcPr>
            <w:tcW w:w="20" w:type="dxa"/>
            <w:vAlign w:val="bottom"/>
          </w:tcPr>
          <w:p>
            <w:pPr>
              <w:spacing w:after="0"/>
              <w:rPr>
                <w:sz w:val="15"/>
                <w:szCs w:val="15"/>
                <w:color w:val="auto"/>
              </w:rPr>
            </w:pPr>
          </w:p>
        </w:tc>
        <w:tc>
          <w:tcPr>
            <w:tcW w:w="57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w:t>
            </w:r>
          </w:p>
        </w:tc>
        <w:tc>
          <w:tcPr>
            <w:tcW w:w="26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w w:val="71"/>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381,671</w:t>
            </w:r>
          </w:p>
        </w:tc>
        <w:tc>
          <w:tcPr>
            <w:tcW w:w="20" w:type="dxa"/>
            <w:vAlign w:val="bottom"/>
            <w:shd w:val="clear" w:color="auto" w:fill="CCEEFF"/>
          </w:tcPr>
          <w:p>
            <w:pPr>
              <w:spacing w:after="0"/>
              <w:rPr>
                <w:sz w:val="15"/>
                <w:szCs w:val="15"/>
                <w:color w:val="auto"/>
              </w:rPr>
            </w:pPr>
          </w:p>
        </w:tc>
        <w:tc>
          <w:tcPr>
            <w:tcW w:w="34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354,762</w:t>
            </w:r>
          </w:p>
        </w:tc>
        <w:tc>
          <w:tcPr>
            <w:tcW w:w="20" w:type="dxa"/>
            <w:vAlign w:val="bottom"/>
            <w:shd w:val="clear" w:color="auto" w:fill="CCEEFF"/>
          </w:tcPr>
          <w:p>
            <w:pPr>
              <w:spacing w:after="0"/>
              <w:rPr>
                <w:sz w:val="15"/>
                <w:szCs w:val="15"/>
                <w:color w:val="auto"/>
              </w:rPr>
            </w:pPr>
          </w:p>
        </w:tc>
        <w:tc>
          <w:tcPr>
            <w:tcW w:w="32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348,120</w:t>
            </w:r>
          </w:p>
        </w:tc>
        <w:tc>
          <w:tcPr>
            <w:tcW w:w="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91" w:name="page92"/>
    <w:bookmarkEnd w:id="9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NOTES TO CONSOLIDATED FINANCIAL STATEMENTS</w:t>
      </w:r>
    </w:p>
    <w:p>
      <w:pPr>
        <w:spacing w:after="0" w:line="200" w:lineRule="exact"/>
        <w:rPr>
          <w:sz w:val="20"/>
          <w:szCs w:val="20"/>
          <w:color w:val="auto"/>
        </w:rPr>
      </w:pPr>
    </w:p>
    <w:p>
      <w:pPr>
        <w:spacing w:after="0" w:line="206" w:lineRule="exact"/>
        <w:rPr>
          <w:sz w:val="20"/>
          <w:szCs w:val="20"/>
          <w:color w:val="auto"/>
        </w:rPr>
      </w:pPr>
    </w:p>
    <w:tbl>
      <w:tblPr>
        <w:tblLayout w:type="fixed"/>
        <w:tblInd w:w="40" w:type="dxa"/>
        <w:tblCellMar>
          <w:top w:w="0" w:type="dxa"/>
          <w:left w:w="0" w:type="dxa"/>
          <w:bottom w:w="0" w:type="dxa"/>
          <w:right w:w="0" w:type="dxa"/>
        </w:tblCellMar>
      </w:tblPr>
      <w:tr>
        <w:trPr>
          <w:trHeight w:val="151"/>
        </w:trPr>
        <w:tc>
          <w:tcPr>
            <w:tcW w:w="5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1"/>
                <w:szCs w:val="11"/>
                <w:b w:val="1"/>
                <w:bCs w:val="1"/>
                <w:color w:val="auto"/>
                <w:w w:val="90"/>
              </w:rPr>
              <w:t>December 26, 2021</w:t>
            </w:r>
          </w:p>
        </w:tc>
        <w:tc>
          <w:tcPr>
            <w:tcW w:w="3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ind w:right="377"/>
              <w:spacing w:after="0"/>
              <w:rPr>
                <w:sz w:val="20"/>
                <w:szCs w:val="20"/>
                <w:color w:val="auto"/>
              </w:rPr>
            </w:pPr>
            <w:r>
              <w:rPr>
                <w:rFonts w:ascii="Arial" w:cs="Arial" w:eastAsia="Arial" w:hAnsi="Arial"/>
                <w:sz w:val="11"/>
                <w:szCs w:val="11"/>
                <w:b w:val="1"/>
                <w:bCs w:val="1"/>
                <w:color w:val="auto"/>
                <w:w w:val="98"/>
              </w:rPr>
              <w:t>December 27, 2020</w:t>
            </w:r>
          </w:p>
        </w:tc>
      </w:tr>
      <w:tr>
        <w:trPr>
          <w:trHeight w:val="127"/>
        </w:trPr>
        <w:tc>
          <w:tcPr>
            <w:tcW w:w="5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940" w:type="dxa"/>
            <w:vAlign w:val="bottom"/>
            <w:gridSpan w:val="3"/>
          </w:tcPr>
          <w:p>
            <w:pPr>
              <w:jc w:val="right"/>
              <w:ind w:right="32"/>
              <w:spacing w:after="0"/>
              <w:rPr>
                <w:sz w:val="20"/>
                <w:szCs w:val="20"/>
                <w:color w:val="auto"/>
              </w:rPr>
            </w:pPr>
            <w:r>
              <w:rPr>
                <w:rFonts w:ascii="Arial" w:cs="Arial" w:eastAsia="Arial" w:hAnsi="Arial"/>
                <w:sz w:val="10"/>
                <w:szCs w:val="10"/>
                <w:b w:val="1"/>
                <w:bCs w:val="1"/>
                <w:color w:val="auto"/>
              </w:rPr>
              <w:t>(In thousands)</w:t>
            </w:r>
          </w:p>
        </w:tc>
        <w:tc>
          <w:tcPr>
            <w:tcW w:w="1440" w:type="dxa"/>
            <w:vAlign w:val="bottom"/>
          </w:tcPr>
          <w:p>
            <w:pPr>
              <w:spacing w:after="0"/>
              <w:rPr>
                <w:sz w:val="11"/>
                <w:szCs w:val="11"/>
                <w:color w:val="auto"/>
              </w:rPr>
            </w:pPr>
          </w:p>
        </w:tc>
      </w:tr>
      <w:tr>
        <w:trPr>
          <w:trHeight w:val="176"/>
        </w:trPr>
        <w:tc>
          <w:tcPr>
            <w:tcW w:w="57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Total assets:</w:t>
            </w:r>
          </w:p>
        </w:tc>
        <w:tc>
          <w:tcPr>
            <w:tcW w:w="24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r>
      <w:tr>
        <w:trPr>
          <w:trHeight w:val="168"/>
        </w:trPr>
        <w:tc>
          <w:tcPr>
            <w:tcW w:w="5740" w:type="dxa"/>
            <w:vAlign w:val="bottom"/>
          </w:tcPr>
          <w:p>
            <w:pPr>
              <w:ind w:left="120"/>
              <w:spacing w:after="0"/>
              <w:rPr>
                <w:sz w:val="20"/>
                <w:szCs w:val="20"/>
                <w:color w:val="auto"/>
              </w:rPr>
            </w:pPr>
            <w:r>
              <w:rPr>
                <w:rFonts w:ascii="Arial" w:cs="Arial" w:eastAsia="Arial" w:hAnsi="Arial"/>
                <w:sz w:val="13"/>
                <w:szCs w:val="13"/>
                <w:color w:val="auto"/>
              </w:rPr>
              <w:t>U.S.</w:t>
            </w:r>
          </w:p>
        </w:tc>
        <w:tc>
          <w:tcPr>
            <w:tcW w:w="2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jc w:val="right"/>
              <w:ind w:right="132"/>
              <w:spacing w:after="0"/>
              <w:rPr>
                <w:sz w:val="20"/>
                <w:szCs w:val="20"/>
                <w:color w:val="auto"/>
              </w:rPr>
            </w:pPr>
            <w:r>
              <w:rPr>
                <w:rFonts w:ascii="Arial" w:cs="Arial" w:eastAsia="Arial" w:hAnsi="Arial"/>
                <w:sz w:val="10"/>
                <w:szCs w:val="10"/>
                <w:color w:val="auto"/>
                <w:w w:val="71"/>
              </w:rPr>
              <w:t>$</w:t>
            </w:r>
          </w:p>
        </w:tc>
        <w:tc>
          <w:tcPr>
            <w:tcW w:w="1520" w:type="dxa"/>
            <w:vAlign w:val="bottom"/>
          </w:tcPr>
          <w:p>
            <w:pPr>
              <w:jc w:val="right"/>
              <w:spacing w:after="0"/>
              <w:rPr>
                <w:sz w:val="20"/>
                <w:szCs w:val="20"/>
                <w:color w:val="auto"/>
              </w:rPr>
            </w:pPr>
            <w:r>
              <w:rPr>
                <w:rFonts w:ascii="Arial" w:cs="Arial" w:eastAsia="Arial" w:hAnsi="Arial"/>
                <w:sz w:val="13"/>
                <w:szCs w:val="13"/>
                <w:color w:val="auto"/>
              </w:rPr>
              <w:t>6,390,845</w:t>
            </w:r>
          </w:p>
        </w:tc>
        <w:tc>
          <w:tcPr>
            <w:tcW w:w="100" w:type="dxa"/>
            <w:vAlign w:val="bottom"/>
          </w:tcPr>
          <w:p>
            <w:pPr>
              <w:spacing w:after="0"/>
              <w:rPr>
                <w:sz w:val="14"/>
                <w:szCs w:val="14"/>
                <w:color w:val="auto"/>
              </w:rPr>
            </w:pPr>
          </w:p>
        </w:tc>
        <w:tc>
          <w:tcPr>
            <w:tcW w:w="320" w:type="dxa"/>
            <w:vAlign w:val="bottom"/>
          </w:tcPr>
          <w:p>
            <w:pPr>
              <w:jc w:val="right"/>
              <w:ind w:right="212"/>
              <w:spacing w:after="0"/>
              <w:rPr>
                <w:sz w:val="20"/>
                <w:szCs w:val="20"/>
                <w:color w:val="auto"/>
              </w:rPr>
            </w:pPr>
            <w:r>
              <w:rPr>
                <w:rFonts w:ascii="Arial" w:cs="Arial" w:eastAsia="Arial" w:hAnsi="Arial"/>
                <w:sz w:val="10"/>
                <w:szCs w:val="10"/>
                <w:color w:val="auto"/>
                <w:w w:val="71"/>
              </w:rPr>
              <w:t>$</w:t>
            </w:r>
          </w:p>
        </w:tc>
        <w:tc>
          <w:tcPr>
            <w:tcW w:w="1440" w:type="dxa"/>
            <w:vAlign w:val="bottom"/>
          </w:tcPr>
          <w:p>
            <w:pPr>
              <w:jc w:val="right"/>
              <w:spacing w:after="0"/>
              <w:rPr>
                <w:sz w:val="20"/>
                <w:szCs w:val="20"/>
                <w:color w:val="auto"/>
              </w:rPr>
            </w:pPr>
            <w:r>
              <w:rPr>
                <w:rFonts w:ascii="Arial" w:cs="Arial" w:eastAsia="Arial" w:hAnsi="Arial"/>
                <w:sz w:val="13"/>
                <w:szCs w:val="13"/>
                <w:color w:val="auto"/>
              </w:rPr>
              <w:t>5,189,021</w:t>
            </w:r>
          </w:p>
        </w:tc>
      </w:tr>
      <w:tr>
        <w:trPr>
          <w:trHeight w:val="172"/>
        </w:trPr>
        <w:tc>
          <w:tcPr>
            <w:tcW w:w="57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U.K. and Europe</w:t>
            </w:r>
          </w:p>
        </w:tc>
        <w:tc>
          <w:tcPr>
            <w:tcW w:w="24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4,292,558</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3,034,219</w:t>
            </w:r>
          </w:p>
        </w:tc>
      </w:tr>
      <w:tr>
        <w:trPr>
          <w:trHeight w:val="168"/>
        </w:trPr>
        <w:tc>
          <w:tcPr>
            <w:tcW w:w="5740" w:type="dxa"/>
            <w:vAlign w:val="bottom"/>
          </w:tcPr>
          <w:p>
            <w:pPr>
              <w:ind w:left="120"/>
              <w:spacing w:after="0"/>
              <w:rPr>
                <w:sz w:val="20"/>
                <w:szCs w:val="20"/>
                <w:color w:val="auto"/>
              </w:rPr>
            </w:pPr>
            <w:r>
              <w:rPr>
                <w:rFonts w:ascii="Arial" w:cs="Arial" w:eastAsia="Arial" w:hAnsi="Arial"/>
                <w:sz w:val="13"/>
                <w:szCs w:val="13"/>
                <w:color w:val="auto"/>
              </w:rPr>
              <w:t>Mexico</w:t>
            </w:r>
          </w:p>
        </w:tc>
        <w:tc>
          <w:tcPr>
            <w:tcW w:w="2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1,146,204</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1,212,428</w:t>
            </w:r>
          </w:p>
        </w:tc>
      </w:tr>
      <w:tr>
        <w:trPr>
          <w:trHeight w:val="170"/>
        </w:trPr>
        <w:tc>
          <w:tcPr>
            <w:tcW w:w="57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Eliminations</w:t>
            </w:r>
          </w:p>
        </w:tc>
        <w:tc>
          <w:tcPr>
            <w:tcW w:w="24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(2,916,402)</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(1,961,171)</w:t>
            </w:r>
          </w:p>
        </w:tc>
      </w:tr>
      <w:tr>
        <w:trPr>
          <w:trHeight w:val="163"/>
        </w:trPr>
        <w:tc>
          <w:tcPr>
            <w:tcW w:w="5740" w:type="dxa"/>
            <w:vAlign w:val="bottom"/>
          </w:tcPr>
          <w:p>
            <w:pPr>
              <w:ind w:left="280"/>
              <w:spacing w:after="0"/>
              <w:rPr>
                <w:sz w:val="20"/>
                <w:szCs w:val="20"/>
                <w:color w:val="auto"/>
              </w:rPr>
            </w:pPr>
            <w:r>
              <w:rPr>
                <w:rFonts w:ascii="Arial" w:cs="Arial" w:eastAsia="Arial" w:hAnsi="Arial"/>
                <w:sz w:val="13"/>
                <w:szCs w:val="13"/>
                <w:color w:val="auto"/>
              </w:rPr>
              <w:t>Total</w:t>
            </w:r>
          </w:p>
        </w:tc>
        <w:tc>
          <w:tcPr>
            <w:tcW w:w="2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color w:val="auto"/>
                <w:w w:val="71"/>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8,913,205</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212"/>
              <w:spacing w:after="0"/>
              <w:rPr>
                <w:sz w:val="20"/>
                <w:szCs w:val="20"/>
                <w:color w:val="auto"/>
              </w:rPr>
            </w:pPr>
            <w:r>
              <w:rPr>
                <w:rFonts w:ascii="Arial" w:cs="Arial" w:eastAsia="Arial" w:hAnsi="Arial"/>
                <w:sz w:val="10"/>
                <w:szCs w:val="10"/>
                <w:color w:val="auto"/>
                <w:w w:val="71"/>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7,474,497</w:t>
            </w:r>
          </w:p>
        </w:tc>
      </w:tr>
      <w:tr>
        <w:trPr>
          <w:trHeight w:val="20"/>
        </w:trPr>
        <w:tc>
          <w:tcPr>
            <w:tcW w:w="5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54"/>
        </w:trPr>
        <w:tc>
          <w:tcPr>
            <w:tcW w:w="57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1"/>
                <w:szCs w:val="11"/>
                <w:b w:val="1"/>
                <w:bCs w:val="1"/>
                <w:color w:val="auto"/>
                <w:w w:val="95"/>
              </w:rPr>
              <w:t>Year Ended</w:t>
            </w:r>
          </w:p>
        </w:tc>
        <w:tc>
          <w:tcPr>
            <w:tcW w:w="32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spacing w:after="0"/>
              <w:rPr>
                <w:sz w:val="22"/>
                <w:szCs w:val="22"/>
                <w:color w:val="auto"/>
              </w:rPr>
            </w:pPr>
          </w:p>
        </w:tc>
      </w:tr>
      <w:tr>
        <w:trPr>
          <w:trHeight w:val="142"/>
        </w:trPr>
        <w:tc>
          <w:tcPr>
            <w:tcW w:w="57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gridSpan w:val="2"/>
          </w:tcPr>
          <w:p>
            <w:pPr>
              <w:ind w:left="180"/>
              <w:spacing w:after="0"/>
              <w:rPr>
                <w:sz w:val="20"/>
                <w:szCs w:val="20"/>
                <w:color w:val="auto"/>
              </w:rPr>
            </w:pPr>
            <w:r>
              <w:rPr>
                <w:rFonts w:ascii="Arial" w:cs="Arial" w:eastAsia="Arial" w:hAnsi="Arial"/>
                <w:sz w:val="11"/>
                <w:szCs w:val="11"/>
                <w:b w:val="1"/>
                <w:bCs w:val="1"/>
                <w:color w:val="auto"/>
              </w:rPr>
              <w:t>December 26, 2021</w:t>
            </w:r>
          </w:p>
        </w:tc>
        <w:tc>
          <w:tcPr>
            <w:tcW w:w="24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1"/>
                <w:szCs w:val="11"/>
                <w:b w:val="1"/>
                <w:bCs w:val="1"/>
                <w:color w:val="auto"/>
                <w:w w:val="90"/>
              </w:rPr>
              <w:t>December 27, 2020</w:t>
            </w:r>
          </w:p>
        </w:tc>
        <w:tc>
          <w:tcPr>
            <w:tcW w:w="32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jc w:val="right"/>
              <w:ind w:right="377"/>
              <w:spacing w:after="0"/>
              <w:rPr>
                <w:sz w:val="20"/>
                <w:szCs w:val="20"/>
                <w:color w:val="auto"/>
              </w:rPr>
            </w:pPr>
            <w:r>
              <w:rPr>
                <w:rFonts w:ascii="Arial" w:cs="Arial" w:eastAsia="Arial" w:hAnsi="Arial"/>
                <w:sz w:val="11"/>
                <w:szCs w:val="11"/>
                <w:b w:val="1"/>
                <w:bCs w:val="1"/>
                <w:color w:val="auto"/>
                <w:w w:val="98"/>
              </w:rPr>
              <w:t>December 29, 2019</w:t>
            </w:r>
          </w:p>
        </w:tc>
      </w:tr>
      <w:tr>
        <w:trPr>
          <w:trHeight w:val="124"/>
        </w:trPr>
        <w:tc>
          <w:tcPr>
            <w:tcW w:w="57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20" w:type="dxa"/>
            <w:vAlign w:val="bottom"/>
            <w:gridSpan w:val="2"/>
          </w:tcPr>
          <w:p>
            <w:pPr>
              <w:jc w:val="center"/>
              <w:ind w:right="360"/>
              <w:spacing w:after="0"/>
              <w:rPr>
                <w:sz w:val="20"/>
                <w:szCs w:val="20"/>
                <w:color w:val="auto"/>
              </w:rPr>
            </w:pPr>
            <w:r>
              <w:rPr>
                <w:rFonts w:ascii="Arial" w:cs="Arial" w:eastAsia="Arial" w:hAnsi="Arial"/>
                <w:sz w:val="10"/>
                <w:szCs w:val="10"/>
                <w:b w:val="1"/>
                <w:bCs w:val="1"/>
                <w:color w:val="auto"/>
                <w:w w:val="89"/>
              </w:rPr>
              <w:t>(In thousands)</w:t>
            </w:r>
          </w:p>
        </w:tc>
        <w:tc>
          <w:tcPr>
            <w:tcW w:w="320" w:type="dxa"/>
            <w:vAlign w:val="bottom"/>
          </w:tcPr>
          <w:p>
            <w:pPr>
              <w:spacing w:after="0"/>
              <w:rPr>
                <w:sz w:val="10"/>
                <w:szCs w:val="10"/>
                <w:color w:val="auto"/>
              </w:rPr>
            </w:pPr>
          </w:p>
        </w:tc>
        <w:tc>
          <w:tcPr>
            <w:tcW w:w="1440" w:type="dxa"/>
            <w:vAlign w:val="bottom"/>
          </w:tcPr>
          <w:p>
            <w:pPr>
              <w:spacing w:after="0"/>
              <w:rPr>
                <w:sz w:val="10"/>
                <w:szCs w:val="10"/>
                <w:color w:val="auto"/>
              </w:rPr>
            </w:pPr>
          </w:p>
        </w:tc>
      </w:tr>
      <w:tr>
        <w:trPr>
          <w:trHeight w:val="176"/>
        </w:trPr>
        <w:tc>
          <w:tcPr>
            <w:tcW w:w="57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Net sales to customers by customer location:</w:t>
            </w:r>
          </w:p>
        </w:tc>
        <w:tc>
          <w:tcPr>
            <w:tcW w:w="24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r>
      <w:tr>
        <w:trPr>
          <w:trHeight w:val="168"/>
        </w:trPr>
        <w:tc>
          <w:tcPr>
            <w:tcW w:w="5740" w:type="dxa"/>
            <w:vAlign w:val="bottom"/>
          </w:tcPr>
          <w:p>
            <w:pPr>
              <w:ind w:left="120"/>
              <w:spacing w:after="0"/>
              <w:rPr>
                <w:sz w:val="20"/>
                <w:szCs w:val="20"/>
                <w:color w:val="auto"/>
              </w:rPr>
            </w:pPr>
            <w:r>
              <w:rPr>
                <w:rFonts w:ascii="Arial" w:cs="Arial" w:eastAsia="Arial" w:hAnsi="Arial"/>
                <w:sz w:val="13"/>
                <w:szCs w:val="13"/>
                <w:color w:val="auto"/>
              </w:rPr>
              <w:t>U.S.</w:t>
            </w:r>
          </w:p>
        </w:tc>
        <w:tc>
          <w:tcPr>
            <w:tcW w:w="240" w:type="dxa"/>
            <w:vAlign w:val="bottom"/>
          </w:tcPr>
          <w:p>
            <w:pPr>
              <w:jc w:val="right"/>
              <w:ind w:right="132"/>
              <w:spacing w:after="0"/>
              <w:rPr>
                <w:sz w:val="20"/>
                <w:szCs w:val="20"/>
                <w:color w:val="auto"/>
              </w:rPr>
            </w:pPr>
            <w:r>
              <w:rPr>
                <w:rFonts w:ascii="Arial" w:cs="Arial" w:eastAsia="Arial" w:hAnsi="Arial"/>
                <w:sz w:val="10"/>
                <w:szCs w:val="10"/>
                <w:color w:val="auto"/>
                <w:w w:val="71"/>
              </w:rPr>
              <w:t>$</w:t>
            </w:r>
          </w:p>
        </w:tc>
        <w:tc>
          <w:tcPr>
            <w:tcW w:w="1520" w:type="dxa"/>
            <w:vAlign w:val="bottom"/>
          </w:tcPr>
          <w:p>
            <w:pPr>
              <w:jc w:val="right"/>
              <w:spacing w:after="0"/>
              <w:rPr>
                <w:sz w:val="20"/>
                <w:szCs w:val="20"/>
                <w:color w:val="auto"/>
              </w:rPr>
            </w:pPr>
            <w:r>
              <w:rPr>
                <w:rFonts w:ascii="Arial" w:cs="Arial" w:eastAsia="Arial" w:hAnsi="Arial"/>
                <w:sz w:val="13"/>
                <w:szCs w:val="13"/>
                <w:color w:val="auto"/>
              </w:rPr>
              <w:t>8,657,648</w:t>
            </w:r>
          </w:p>
        </w:tc>
        <w:tc>
          <w:tcPr>
            <w:tcW w:w="100" w:type="dxa"/>
            <w:vAlign w:val="bottom"/>
          </w:tcPr>
          <w:p>
            <w:pPr>
              <w:spacing w:after="0"/>
              <w:rPr>
                <w:sz w:val="14"/>
                <w:szCs w:val="14"/>
                <w:color w:val="auto"/>
              </w:rPr>
            </w:pPr>
          </w:p>
        </w:tc>
        <w:tc>
          <w:tcPr>
            <w:tcW w:w="240" w:type="dxa"/>
            <w:vAlign w:val="bottom"/>
          </w:tcPr>
          <w:p>
            <w:pPr>
              <w:jc w:val="right"/>
              <w:ind w:right="132"/>
              <w:spacing w:after="0"/>
              <w:rPr>
                <w:sz w:val="20"/>
                <w:szCs w:val="20"/>
                <w:color w:val="auto"/>
              </w:rPr>
            </w:pPr>
            <w:r>
              <w:rPr>
                <w:rFonts w:ascii="Arial" w:cs="Arial" w:eastAsia="Arial" w:hAnsi="Arial"/>
                <w:sz w:val="10"/>
                <w:szCs w:val="10"/>
                <w:color w:val="auto"/>
                <w:w w:val="71"/>
              </w:rPr>
              <w:t>$</w:t>
            </w:r>
          </w:p>
        </w:tc>
        <w:tc>
          <w:tcPr>
            <w:tcW w:w="1520" w:type="dxa"/>
            <w:vAlign w:val="bottom"/>
          </w:tcPr>
          <w:p>
            <w:pPr>
              <w:jc w:val="right"/>
              <w:spacing w:after="0"/>
              <w:rPr>
                <w:sz w:val="20"/>
                <w:szCs w:val="20"/>
                <w:color w:val="auto"/>
              </w:rPr>
            </w:pPr>
            <w:r>
              <w:rPr>
                <w:rFonts w:ascii="Arial" w:cs="Arial" w:eastAsia="Arial" w:hAnsi="Arial"/>
                <w:sz w:val="13"/>
                <w:szCs w:val="13"/>
                <w:color w:val="auto"/>
              </w:rPr>
              <w:t>7,190,808</w:t>
            </w:r>
          </w:p>
        </w:tc>
        <w:tc>
          <w:tcPr>
            <w:tcW w:w="100" w:type="dxa"/>
            <w:vAlign w:val="bottom"/>
          </w:tcPr>
          <w:p>
            <w:pPr>
              <w:spacing w:after="0"/>
              <w:rPr>
                <w:sz w:val="14"/>
                <w:szCs w:val="14"/>
                <w:color w:val="auto"/>
              </w:rPr>
            </w:pPr>
          </w:p>
        </w:tc>
        <w:tc>
          <w:tcPr>
            <w:tcW w:w="320" w:type="dxa"/>
            <w:vAlign w:val="bottom"/>
          </w:tcPr>
          <w:p>
            <w:pPr>
              <w:jc w:val="right"/>
              <w:ind w:right="212"/>
              <w:spacing w:after="0"/>
              <w:rPr>
                <w:sz w:val="20"/>
                <w:szCs w:val="20"/>
                <w:color w:val="auto"/>
              </w:rPr>
            </w:pPr>
            <w:r>
              <w:rPr>
                <w:rFonts w:ascii="Arial" w:cs="Arial" w:eastAsia="Arial" w:hAnsi="Arial"/>
                <w:sz w:val="10"/>
                <w:szCs w:val="10"/>
                <w:color w:val="auto"/>
                <w:w w:val="71"/>
              </w:rPr>
              <w:t>$</w:t>
            </w:r>
          </w:p>
        </w:tc>
        <w:tc>
          <w:tcPr>
            <w:tcW w:w="1440" w:type="dxa"/>
            <w:vAlign w:val="bottom"/>
          </w:tcPr>
          <w:p>
            <w:pPr>
              <w:jc w:val="right"/>
              <w:spacing w:after="0"/>
              <w:rPr>
                <w:sz w:val="20"/>
                <w:szCs w:val="20"/>
                <w:color w:val="auto"/>
              </w:rPr>
            </w:pPr>
            <w:r>
              <w:rPr>
                <w:rFonts w:ascii="Arial" w:cs="Arial" w:eastAsia="Arial" w:hAnsi="Arial"/>
                <w:sz w:val="13"/>
                <w:szCs w:val="13"/>
                <w:color w:val="auto"/>
              </w:rPr>
              <w:t>7,355,631</w:t>
            </w:r>
          </w:p>
        </w:tc>
      </w:tr>
      <w:tr>
        <w:trPr>
          <w:trHeight w:val="172"/>
        </w:trPr>
        <w:tc>
          <w:tcPr>
            <w:tcW w:w="57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Europe</w:t>
            </w:r>
          </w:p>
        </w:tc>
        <w:tc>
          <w:tcPr>
            <w:tcW w:w="24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3,878,475</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3,225,717</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2,363,017</w:t>
            </w:r>
          </w:p>
        </w:tc>
      </w:tr>
      <w:tr>
        <w:trPr>
          <w:trHeight w:val="168"/>
        </w:trPr>
        <w:tc>
          <w:tcPr>
            <w:tcW w:w="5740" w:type="dxa"/>
            <w:vAlign w:val="bottom"/>
          </w:tcPr>
          <w:p>
            <w:pPr>
              <w:ind w:left="120"/>
              <w:spacing w:after="0"/>
              <w:rPr>
                <w:sz w:val="20"/>
                <w:szCs w:val="20"/>
                <w:color w:val="auto"/>
              </w:rPr>
            </w:pPr>
            <w:r>
              <w:rPr>
                <w:rFonts w:ascii="Arial" w:cs="Arial" w:eastAsia="Arial" w:hAnsi="Arial"/>
                <w:sz w:val="13"/>
                <w:szCs w:val="13"/>
                <w:color w:val="auto"/>
              </w:rPr>
              <w:t>Mexico</w:t>
            </w:r>
          </w:p>
        </w:tc>
        <w:tc>
          <w:tcPr>
            <w:tcW w:w="24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1,778,355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1,350,588</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1,437,081</w:t>
            </w:r>
          </w:p>
        </w:tc>
      </w:tr>
      <w:tr>
        <w:trPr>
          <w:trHeight w:val="172"/>
        </w:trPr>
        <w:tc>
          <w:tcPr>
            <w:tcW w:w="57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Asia-Pacific</w:t>
            </w:r>
          </w:p>
        </w:tc>
        <w:tc>
          <w:tcPr>
            <w:tcW w:w="24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317,685</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252,574</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175,898</w:t>
            </w:r>
          </w:p>
        </w:tc>
      </w:tr>
      <w:tr>
        <w:trPr>
          <w:trHeight w:val="168"/>
        </w:trPr>
        <w:tc>
          <w:tcPr>
            <w:tcW w:w="5740" w:type="dxa"/>
            <w:vAlign w:val="bottom"/>
          </w:tcPr>
          <w:p>
            <w:pPr>
              <w:ind w:left="120"/>
              <w:spacing w:after="0"/>
              <w:rPr>
                <w:sz w:val="20"/>
                <w:szCs w:val="20"/>
                <w:color w:val="auto"/>
              </w:rPr>
            </w:pPr>
            <w:r>
              <w:rPr>
                <w:rFonts w:ascii="Arial" w:cs="Arial" w:eastAsia="Arial" w:hAnsi="Arial"/>
                <w:sz w:val="13"/>
                <w:szCs w:val="13"/>
                <w:color w:val="auto"/>
              </w:rPr>
              <w:t>Canada, Caribbean and Central America</w:t>
            </w:r>
          </w:p>
        </w:tc>
        <w:tc>
          <w:tcPr>
            <w:tcW w:w="24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81,549</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30,792</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31,808</w:t>
            </w:r>
          </w:p>
        </w:tc>
      </w:tr>
      <w:tr>
        <w:trPr>
          <w:trHeight w:val="172"/>
        </w:trPr>
        <w:tc>
          <w:tcPr>
            <w:tcW w:w="57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Africa</w:t>
            </w:r>
          </w:p>
        </w:tc>
        <w:tc>
          <w:tcPr>
            <w:tcW w:w="24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47,948</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25,321</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28,400</w:t>
            </w:r>
          </w:p>
        </w:tc>
      </w:tr>
      <w:tr>
        <w:trPr>
          <w:trHeight w:val="168"/>
        </w:trPr>
        <w:tc>
          <w:tcPr>
            <w:tcW w:w="574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South America</w:t>
            </w:r>
          </w:p>
        </w:tc>
        <w:tc>
          <w:tcPr>
            <w:tcW w:w="2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15,798</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16,101</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17,384</w:t>
            </w:r>
          </w:p>
        </w:tc>
      </w:tr>
      <w:tr>
        <w:trPr>
          <w:trHeight w:val="188"/>
        </w:trPr>
        <w:tc>
          <w:tcPr>
            <w:tcW w:w="5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Total</w:t>
            </w:r>
          </w:p>
        </w:tc>
        <w:tc>
          <w:tcPr>
            <w:tcW w:w="2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14,777,458</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12,091,901</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0"/>
                <w:szCs w:val="10"/>
                <w:color w:val="auto"/>
                <w:w w:val="71"/>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11,409,219</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r>
        <w:trPr>
          <w:trHeight w:val="202"/>
        </w:trPr>
        <w:tc>
          <w:tcPr>
            <w:tcW w:w="5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1"/>
                <w:szCs w:val="11"/>
                <w:b w:val="1"/>
                <w:bCs w:val="1"/>
                <w:color w:val="auto"/>
                <w:w w:val="90"/>
              </w:rPr>
              <w:t>December 26, 2021</w:t>
            </w:r>
          </w:p>
        </w:tc>
        <w:tc>
          <w:tcPr>
            <w:tcW w:w="3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377"/>
              <w:spacing w:after="0"/>
              <w:rPr>
                <w:sz w:val="20"/>
                <w:szCs w:val="20"/>
                <w:color w:val="auto"/>
              </w:rPr>
            </w:pPr>
            <w:r>
              <w:rPr>
                <w:rFonts w:ascii="Arial" w:cs="Arial" w:eastAsia="Arial" w:hAnsi="Arial"/>
                <w:sz w:val="11"/>
                <w:szCs w:val="11"/>
                <w:b w:val="1"/>
                <w:bCs w:val="1"/>
                <w:color w:val="auto"/>
                <w:w w:val="98"/>
              </w:rPr>
              <w:t>December 29, 2019</w:t>
            </w:r>
          </w:p>
        </w:tc>
      </w:tr>
      <w:tr>
        <w:trPr>
          <w:trHeight w:val="127"/>
        </w:trPr>
        <w:tc>
          <w:tcPr>
            <w:tcW w:w="5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940" w:type="dxa"/>
            <w:vAlign w:val="bottom"/>
            <w:gridSpan w:val="3"/>
          </w:tcPr>
          <w:p>
            <w:pPr>
              <w:jc w:val="right"/>
              <w:ind w:right="32"/>
              <w:spacing w:after="0"/>
              <w:rPr>
                <w:sz w:val="20"/>
                <w:szCs w:val="20"/>
                <w:color w:val="auto"/>
              </w:rPr>
            </w:pPr>
            <w:r>
              <w:rPr>
                <w:rFonts w:ascii="Arial" w:cs="Arial" w:eastAsia="Arial" w:hAnsi="Arial"/>
                <w:sz w:val="10"/>
                <w:szCs w:val="10"/>
                <w:b w:val="1"/>
                <w:bCs w:val="1"/>
                <w:color w:val="auto"/>
              </w:rPr>
              <w:t>(In thousands)</w:t>
            </w:r>
          </w:p>
        </w:tc>
        <w:tc>
          <w:tcPr>
            <w:tcW w:w="1440" w:type="dxa"/>
            <w:vAlign w:val="bottom"/>
          </w:tcPr>
          <w:p>
            <w:pPr>
              <w:spacing w:after="0"/>
              <w:rPr>
                <w:sz w:val="11"/>
                <w:szCs w:val="11"/>
                <w:color w:val="auto"/>
              </w:rPr>
            </w:pPr>
          </w:p>
        </w:tc>
      </w:tr>
      <w:tr>
        <w:trPr>
          <w:trHeight w:val="176"/>
        </w:trPr>
        <w:tc>
          <w:tcPr>
            <w:tcW w:w="5740" w:type="dxa"/>
            <w:vAlign w:val="bottom"/>
            <w:shd w:val="clear" w:color="auto" w:fill="CCEEFF"/>
          </w:tcPr>
          <w:p>
            <w:pPr>
              <w:ind w:left="20"/>
              <w:spacing w:after="0" w:line="176" w:lineRule="exact"/>
              <w:rPr>
                <w:sz w:val="20"/>
                <w:szCs w:val="20"/>
                <w:color w:val="auto"/>
              </w:rPr>
            </w:pPr>
            <w:r>
              <w:rPr>
                <w:rFonts w:ascii="Arial" w:cs="Arial" w:eastAsia="Arial" w:hAnsi="Arial"/>
                <w:sz w:val="13"/>
                <w:szCs w:val="13"/>
                <w:b w:val="1"/>
                <w:bCs w:val="1"/>
                <w:color w:val="auto"/>
              </w:rPr>
              <w:t>Long-lived assets</w:t>
            </w:r>
            <w:r>
              <w:rPr>
                <w:rFonts w:ascii="Arial" w:cs="Arial" w:eastAsia="Arial" w:hAnsi="Arial"/>
                <w:sz w:val="16"/>
                <w:szCs w:val="16"/>
                <w:b w:val="1"/>
                <w:bCs w:val="1"/>
                <w:color w:val="auto"/>
                <w:vertAlign w:val="superscript"/>
              </w:rPr>
              <w:t>(a)</w:t>
            </w:r>
            <w:r>
              <w:rPr>
                <w:rFonts w:ascii="Arial" w:cs="Arial" w:eastAsia="Arial" w:hAnsi="Arial"/>
                <w:sz w:val="13"/>
                <w:szCs w:val="13"/>
                <w:b w:val="1"/>
                <w:bCs w:val="1"/>
                <w:color w:val="auto"/>
              </w:rPr>
              <w:t>:</w:t>
            </w:r>
          </w:p>
        </w:tc>
        <w:tc>
          <w:tcPr>
            <w:tcW w:w="24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r>
      <w:tr>
        <w:trPr>
          <w:trHeight w:val="168"/>
        </w:trPr>
        <w:tc>
          <w:tcPr>
            <w:tcW w:w="5740" w:type="dxa"/>
            <w:vAlign w:val="bottom"/>
          </w:tcPr>
          <w:p>
            <w:pPr>
              <w:ind w:left="120"/>
              <w:spacing w:after="0"/>
              <w:rPr>
                <w:sz w:val="20"/>
                <w:szCs w:val="20"/>
                <w:color w:val="auto"/>
              </w:rPr>
            </w:pPr>
            <w:r>
              <w:rPr>
                <w:rFonts w:ascii="Arial" w:cs="Arial" w:eastAsia="Arial" w:hAnsi="Arial"/>
                <w:sz w:val="13"/>
                <w:szCs w:val="13"/>
                <w:color w:val="auto"/>
              </w:rPr>
              <w:t>U.S.</w:t>
            </w:r>
          </w:p>
        </w:tc>
        <w:tc>
          <w:tcPr>
            <w:tcW w:w="2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jc w:val="right"/>
              <w:ind w:right="132"/>
              <w:spacing w:after="0"/>
              <w:rPr>
                <w:sz w:val="20"/>
                <w:szCs w:val="20"/>
                <w:color w:val="auto"/>
              </w:rPr>
            </w:pPr>
            <w:r>
              <w:rPr>
                <w:rFonts w:ascii="Arial" w:cs="Arial" w:eastAsia="Arial" w:hAnsi="Arial"/>
                <w:sz w:val="10"/>
                <w:szCs w:val="10"/>
                <w:color w:val="auto"/>
                <w:w w:val="71"/>
              </w:rPr>
              <w:t>$</w:t>
            </w:r>
          </w:p>
        </w:tc>
        <w:tc>
          <w:tcPr>
            <w:tcW w:w="1520" w:type="dxa"/>
            <w:vAlign w:val="bottom"/>
          </w:tcPr>
          <w:p>
            <w:pPr>
              <w:jc w:val="right"/>
              <w:spacing w:after="0"/>
              <w:rPr>
                <w:sz w:val="20"/>
                <w:szCs w:val="20"/>
                <w:color w:val="auto"/>
              </w:rPr>
            </w:pPr>
            <w:r>
              <w:rPr>
                <w:rFonts w:ascii="Arial" w:cs="Arial" w:eastAsia="Arial" w:hAnsi="Arial"/>
                <w:sz w:val="13"/>
                <w:szCs w:val="13"/>
                <w:color w:val="auto"/>
              </w:rPr>
              <w:t>1,862,584</w:t>
            </w:r>
          </w:p>
        </w:tc>
        <w:tc>
          <w:tcPr>
            <w:tcW w:w="100" w:type="dxa"/>
            <w:vAlign w:val="bottom"/>
          </w:tcPr>
          <w:p>
            <w:pPr>
              <w:spacing w:after="0"/>
              <w:rPr>
                <w:sz w:val="14"/>
                <w:szCs w:val="14"/>
                <w:color w:val="auto"/>
              </w:rPr>
            </w:pPr>
          </w:p>
        </w:tc>
        <w:tc>
          <w:tcPr>
            <w:tcW w:w="320" w:type="dxa"/>
            <w:vAlign w:val="bottom"/>
          </w:tcPr>
          <w:p>
            <w:pPr>
              <w:jc w:val="right"/>
              <w:ind w:right="212"/>
              <w:spacing w:after="0"/>
              <w:rPr>
                <w:sz w:val="20"/>
                <w:szCs w:val="20"/>
                <w:color w:val="auto"/>
              </w:rPr>
            </w:pPr>
            <w:r>
              <w:rPr>
                <w:rFonts w:ascii="Arial" w:cs="Arial" w:eastAsia="Arial" w:hAnsi="Arial"/>
                <w:sz w:val="10"/>
                <w:szCs w:val="10"/>
                <w:color w:val="auto"/>
                <w:w w:val="71"/>
              </w:rPr>
              <w:t>$</w:t>
            </w:r>
          </w:p>
        </w:tc>
        <w:tc>
          <w:tcPr>
            <w:tcW w:w="1440" w:type="dxa"/>
            <w:vAlign w:val="bottom"/>
          </w:tcPr>
          <w:p>
            <w:pPr>
              <w:jc w:val="right"/>
              <w:spacing w:after="0"/>
              <w:rPr>
                <w:sz w:val="20"/>
                <w:szCs w:val="20"/>
                <w:color w:val="auto"/>
              </w:rPr>
            </w:pPr>
            <w:r>
              <w:rPr>
                <w:rFonts w:ascii="Arial" w:cs="Arial" w:eastAsia="Arial" w:hAnsi="Arial"/>
                <w:sz w:val="13"/>
                <w:szCs w:val="13"/>
                <w:color w:val="auto"/>
              </w:rPr>
              <w:t>1,815,460</w:t>
            </w:r>
          </w:p>
        </w:tc>
      </w:tr>
      <w:tr>
        <w:trPr>
          <w:trHeight w:val="172"/>
        </w:trPr>
        <w:tc>
          <w:tcPr>
            <w:tcW w:w="57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U.K. and Europe</w:t>
            </w:r>
          </w:p>
        </w:tc>
        <w:tc>
          <w:tcPr>
            <w:tcW w:w="24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1,125,197</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842,049</w:t>
            </w:r>
          </w:p>
        </w:tc>
      </w:tr>
      <w:tr>
        <w:trPr>
          <w:trHeight w:val="168"/>
        </w:trPr>
        <w:tc>
          <w:tcPr>
            <w:tcW w:w="5740" w:type="dxa"/>
            <w:vAlign w:val="bottom"/>
          </w:tcPr>
          <w:p>
            <w:pPr>
              <w:ind w:left="120"/>
              <w:spacing w:after="0"/>
              <w:rPr>
                <w:sz w:val="20"/>
                <w:szCs w:val="20"/>
                <w:color w:val="auto"/>
              </w:rPr>
            </w:pPr>
            <w:r>
              <w:rPr>
                <w:rFonts w:ascii="Arial" w:cs="Arial" w:eastAsia="Arial" w:hAnsi="Arial"/>
                <w:sz w:val="13"/>
                <w:szCs w:val="13"/>
                <w:color w:val="auto"/>
              </w:rPr>
              <w:t>Mexico</w:t>
            </w:r>
          </w:p>
        </w:tc>
        <w:tc>
          <w:tcPr>
            <w:tcW w:w="2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284,980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292,651</w:t>
            </w:r>
          </w:p>
        </w:tc>
      </w:tr>
      <w:tr>
        <w:trPr>
          <w:trHeight w:val="170"/>
        </w:trPr>
        <w:tc>
          <w:tcPr>
            <w:tcW w:w="57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Eliminations</w:t>
            </w:r>
          </w:p>
        </w:tc>
        <w:tc>
          <w:tcPr>
            <w:tcW w:w="24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(3,729)</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(3,783)</w:t>
            </w:r>
          </w:p>
        </w:tc>
      </w:tr>
      <w:tr>
        <w:trPr>
          <w:trHeight w:val="163"/>
        </w:trPr>
        <w:tc>
          <w:tcPr>
            <w:tcW w:w="5740" w:type="dxa"/>
            <w:vAlign w:val="bottom"/>
          </w:tcPr>
          <w:p>
            <w:pPr>
              <w:ind w:left="280"/>
              <w:spacing w:after="0"/>
              <w:rPr>
                <w:sz w:val="20"/>
                <w:szCs w:val="20"/>
                <w:color w:val="auto"/>
              </w:rPr>
            </w:pPr>
            <w:r>
              <w:rPr>
                <w:rFonts w:ascii="Arial" w:cs="Arial" w:eastAsia="Arial" w:hAnsi="Arial"/>
                <w:sz w:val="13"/>
                <w:szCs w:val="13"/>
                <w:color w:val="auto"/>
              </w:rPr>
              <w:t>Total</w:t>
            </w:r>
          </w:p>
        </w:tc>
        <w:tc>
          <w:tcPr>
            <w:tcW w:w="2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color w:val="auto"/>
                <w:w w:val="71"/>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3,269,032</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212"/>
              <w:spacing w:after="0"/>
              <w:rPr>
                <w:sz w:val="20"/>
                <w:szCs w:val="20"/>
                <w:color w:val="auto"/>
              </w:rPr>
            </w:pPr>
            <w:r>
              <w:rPr>
                <w:rFonts w:ascii="Arial" w:cs="Arial" w:eastAsia="Arial" w:hAnsi="Arial"/>
                <w:sz w:val="10"/>
                <w:szCs w:val="10"/>
                <w:color w:val="auto"/>
                <w:w w:val="71"/>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2,946,377</w:t>
            </w:r>
          </w:p>
        </w:tc>
      </w:tr>
      <w:tr>
        <w:trPr>
          <w:trHeight w:val="20"/>
        </w:trPr>
        <w:tc>
          <w:tcPr>
            <w:tcW w:w="5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ind w:left="520" w:hanging="515"/>
        <w:spacing w:after="0" w:line="267" w:lineRule="auto"/>
        <w:tabs>
          <w:tab w:leader="none" w:pos="518" w:val="left"/>
        </w:tabs>
        <w:numPr>
          <w:ilvl w:val="0"/>
          <w:numId w:val="40"/>
        </w:numPr>
        <w:rPr>
          <w:rFonts w:ascii="Arial" w:cs="Arial" w:eastAsia="Arial" w:hAnsi="Arial"/>
          <w:sz w:val="11"/>
          <w:szCs w:val="11"/>
          <w:color w:val="auto"/>
        </w:rPr>
      </w:pPr>
      <w:r>
        <w:rPr>
          <w:rFonts w:ascii="Arial" w:cs="Arial" w:eastAsia="Arial" w:hAnsi="Arial"/>
          <w:sz w:val="11"/>
          <w:szCs w:val="11"/>
          <w:color w:val="auto"/>
        </w:rPr>
        <w:t xml:space="preserve">For this disclosure, we exclude financial instruments, deferred tax assets and intangible assets in accordance with ASC 280-10-50-41, </w:t>
      </w:r>
      <w:r>
        <w:rPr>
          <w:rFonts w:ascii="Arial" w:cs="Arial" w:eastAsia="Arial" w:hAnsi="Arial"/>
          <w:sz w:val="11"/>
          <w:szCs w:val="11"/>
          <w:i w:val="1"/>
          <w:iCs w:val="1"/>
          <w:color w:val="auto"/>
        </w:rPr>
        <w:t>Segment Reporting</w:t>
      </w:r>
      <w:r>
        <w:rPr>
          <w:rFonts w:ascii="Arial" w:cs="Arial" w:eastAsia="Arial" w:hAnsi="Arial"/>
          <w:sz w:val="11"/>
          <w:szCs w:val="11"/>
          <w:color w:val="auto"/>
        </w:rPr>
        <w:t>. Long-lived assets, as used in ASC 280-10-50-41, implies hard assets that cannot be readily removed.</w:t>
      </w:r>
    </w:p>
    <w:p>
      <w:pPr>
        <w:spacing w:after="0" w:line="100" w:lineRule="exact"/>
        <w:rPr>
          <w:sz w:val="20"/>
          <w:szCs w:val="20"/>
          <w:color w:val="auto"/>
        </w:rPr>
      </w:pPr>
    </w:p>
    <w:p>
      <w:pPr>
        <w:ind w:firstLine="509"/>
        <w:spacing w:after="0" w:line="281" w:lineRule="auto"/>
        <w:rPr>
          <w:sz w:val="20"/>
          <w:szCs w:val="20"/>
          <w:color w:val="auto"/>
        </w:rPr>
      </w:pPr>
      <w:r>
        <w:rPr>
          <w:rFonts w:ascii="Arial" w:cs="Arial" w:eastAsia="Arial" w:hAnsi="Arial"/>
          <w:sz w:val="14"/>
          <w:szCs w:val="14"/>
          <w:color w:val="auto"/>
        </w:rPr>
        <w:t>The following table sets forth net sales attributable to each of our primary product lines and markets served with those products. We based the table on our internal sales reports and their classification of products.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92" w:name="page93"/>
    <w:bookmarkEnd w:id="9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NOTES TO CONSOLIDATED FINANCIAL STATEMENTS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57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1"/>
                <w:szCs w:val="11"/>
                <w:b w:val="1"/>
                <w:bCs w:val="1"/>
                <w:color w:val="auto"/>
                <w:w w:val="92"/>
              </w:rPr>
              <w:t>Year Ended</w:t>
            </w:r>
          </w:p>
        </w:tc>
        <w:tc>
          <w:tcPr>
            <w:tcW w:w="2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spacing w:after="0"/>
              <w:rPr>
                <w:sz w:val="13"/>
                <w:szCs w:val="13"/>
                <w:color w:val="auto"/>
              </w:rPr>
            </w:pPr>
          </w:p>
        </w:tc>
      </w:tr>
      <w:tr>
        <w:trPr>
          <w:trHeight w:val="142"/>
        </w:trPr>
        <w:tc>
          <w:tcPr>
            <w:tcW w:w="57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gridSpan w:val="2"/>
          </w:tcPr>
          <w:p>
            <w:pPr>
              <w:ind w:left="180"/>
              <w:spacing w:after="0"/>
              <w:rPr>
                <w:sz w:val="20"/>
                <w:szCs w:val="20"/>
                <w:color w:val="auto"/>
              </w:rPr>
            </w:pPr>
            <w:r>
              <w:rPr>
                <w:rFonts w:ascii="Arial" w:cs="Arial" w:eastAsia="Arial" w:hAnsi="Arial"/>
                <w:sz w:val="11"/>
                <w:szCs w:val="11"/>
                <w:b w:val="1"/>
                <w:bCs w:val="1"/>
                <w:color w:val="auto"/>
              </w:rPr>
              <w:t>December 26, 2021</w:t>
            </w:r>
          </w:p>
        </w:tc>
        <w:tc>
          <w:tcPr>
            <w:tcW w:w="26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1"/>
                <w:szCs w:val="11"/>
                <w:b w:val="1"/>
                <w:bCs w:val="1"/>
                <w:color w:val="auto"/>
                <w:w w:val="92"/>
              </w:rPr>
              <w:t>December 27, 2020</w:t>
            </w:r>
          </w:p>
        </w:tc>
        <w:tc>
          <w:tcPr>
            <w:tcW w:w="26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right"/>
              <w:ind w:right="357"/>
              <w:spacing w:after="0"/>
              <w:rPr>
                <w:sz w:val="20"/>
                <w:szCs w:val="20"/>
                <w:color w:val="auto"/>
              </w:rPr>
            </w:pPr>
            <w:r>
              <w:rPr>
                <w:rFonts w:ascii="Arial" w:cs="Arial" w:eastAsia="Arial" w:hAnsi="Arial"/>
                <w:sz w:val="11"/>
                <w:szCs w:val="11"/>
                <w:b w:val="1"/>
                <w:bCs w:val="1"/>
                <w:color w:val="auto"/>
              </w:rPr>
              <w:t>December 29, 2019</w:t>
            </w:r>
          </w:p>
        </w:tc>
      </w:tr>
      <w:tr>
        <w:trPr>
          <w:trHeight w:val="124"/>
        </w:trPr>
        <w:tc>
          <w:tcPr>
            <w:tcW w:w="57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0" w:type="dxa"/>
            <w:vAlign w:val="bottom"/>
            <w:gridSpan w:val="2"/>
          </w:tcPr>
          <w:p>
            <w:pPr>
              <w:jc w:val="center"/>
              <w:ind w:right="340"/>
              <w:spacing w:after="0"/>
              <w:rPr>
                <w:sz w:val="20"/>
                <w:szCs w:val="20"/>
                <w:color w:val="auto"/>
              </w:rPr>
            </w:pPr>
            <w:r>
              <w:rPr>
                <w:rFonts w:ascii="Arial" w:cs="Arial" w:eastAsia="Arial" w:hAnsi="Arial"/>
                <w:sz w:val="10"/>
                <w:szCs w:val="10"/>
                <w:b w:val="1"/>
                <w:bCs w:val="1"/>
                <w:color w:val="auto"/>
                <w:w w:val="89"/>
              </w:rPr>
              <w:t>(In thousands)</w:t>
            </w:r>
          </w:p>
        </w:tc>
        <w:tc>
          <w:tcPr>
            <w:tcW w:w="260" w:type="dxa"/>
            <w:vAlign w:val="bottom"/>
          </w:tcPr>
          <w:p>
            <w:pPr>
              <w:spacing w:after="0"/>
              <w:rPr>
                <w:sz w:val="10"/>
                <w:szCs w:val="10"/>
                <w:color w:val="auto"/>
              </w:rPr>
            </w:pPr>
          </w:p>
        </w:tc>
        <w:tc>
          <w:tcPr>
            <w:tcW w:w="1500" w:type="dxa"/>
            <w:vAlign w:val="bottom"/>
          </w:tcPr>
          <w:p>
            <w:pPr>
              <w:spacing w:after="0"/>
              <w:rPr>
                <w:sz w:val="10"/>
                <w:szCs w:val="10"/>
                <w:color w:val="auto"/>
              </w:rPr>
            </w:pPr>
          </w:p>
        </w:tc>
      </w:tr>
      <w:tr>
        <w:trPr>
          <w:trHeight w:val="176"/>
        </w:trPr>
        <w:tc>
          <w:tcPr>
            <w:tcW w:w="5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U.S. reportable segment:</w:t>
            </w:r>
          </w:p>
        </w:tc>
        <w:tc>
          <w:tcPr>
            <w:tcW w:w="26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r>
      <w:tr>
        <w:trPr>
          <w:trHeight w:val="168"/>
        </w:trPr>
        <w:tc>
          <w:tcPr>
            <w:tcW w:w="5780" w:type="dxa"/>
            <w:vAlign w:val="bottom"/>
          </w:tcPr>
          <w:p>
            <w:pPr>
              <w:ind w:left="120"/>
              <w:spacing w:after="0"/>
              <w:rPr>
                <w:sz w:val="20"/>
                <w:szCs w:val="20"/>
                <w:color w:val="auto"/>
              </w:rPr>
            </w:pPr>
            <w:r>
              <w:rPr>
                <w:rFonts w:ascii="Arial" w:cs="Arial" w:eastAsia="Arial" w:hAnsi="Arial"/>
                <w:sz w:val="13"/>
                <w:szCs w:val="13"/>
                <w:color w:val="auto"/>
              </w:rPr>
              <w:t>Fresh products</w:t>
            </w:r>
          </w:p>
        </w:tc>
        <w:tc>
          <w:tcPr>
            <w:tcW w:w="260" w:type="dxa"/>
            <w:vAlign w:val="bottom"/>
          </w:tcPr>
          <w:p>
            <w:pPr>
              <w:jc w:val="right"/>
              <w:ind w:right="116"/>
              <w:spacing w:after="0"/>
              <w:rPr>
                <w:sz w:val="20"/>
                <w:szCs w:val="20"/>
                <w:color w:val="auto"/>
              </w:rPr>
            </w:pPr>
            <w:r>
              <w:rPr>
                <w:rFonts w:ascii="Arial" w:cs="Arial" w:eastAsia="Arial" w:hAnsi="Arial"/>
                <w:sz w:val="13"/>
                <w:szCs w:val="13"/>
                <w:color w:val="auto"/>
                <w:w w:val="82"/>
              </w:rPr>
              <w:t>$</w:t>
            </w:r>
          </w:p>
        </w:tc>
        <w:tc>
          <w:tcPr>
            <w:tcW w:w="1500" w:type="dxa"/>
            <w:vAlign w:val="bottom"/>
          </w:tcPr>
          <w:p>
            <w:pPr>
              <w:jc w:val="right"/>
              <w:spacing w:after="0"/>
              <w:rPr>
                <w:sz w:val="20"/>
                <w:szCs w:val="20"/>
                <w:color w:val="auto"/>
              </w:rPr>
            </w:pPr>
            <w:r>
              <w:rPr>
                <w:rFonts w:ascii="Arial" w:cs="Arial" w:eastAsia="Arial" w:hAnsi="Arial"/>
                <w:sz w:val="13"/>
                <w:szCs w:val="13"/>
                <w:color w:val="auto"/>
              </w:rPr>
              <w:t>7,264,448</w:t>
            </w:r>
          </w:p>
        </w:tc>
        <w:tc>
          <w:tcPr>
            <w:tcW w:w="100" w:type="dxa"/>
            <w:vAlign w:val="bottom"/>
          </w:tcPr>
          <w:p>
            <w:pPr>
              <w:spacing w:after="0"/>
              <w:rPr>
                <w:sz w:val="14"/>
                <w:szCs w:val="14"/>
                <w:color w:val="auto"/>
              </w:rPr>
            </w:pPr>
          </w:p>
        </w:tc>
        <w:tc>
          <w:tcPr>
            <w:tcW w:w="260" w:type="dxa"/>
            <w:vAlign w:val="bottom"/>
          </w:tcPr>
          <w:p>
            <w:pPr>
              <w:jc w:val="right"/>
              <w:ind w:right="116"/>
              <w:spacing w:after="0"/>
              <w:rPr>
                <w:sz w:val="20"/>
                <w:szCs w:val="20"/>
                <w:color w:val="auto"/>
              </w:rPr>
            </w:pPr>
            <w:r>
              <w:rPr>
                <w:rFonts w:ascii="Arial" w:cs="Arial" w:eastAsia="Arial" w:hAnsi="Arial"/>
                <w:sz w:val="13"/>
                <w:szCs w:val="13"/>
                <w:color w:val="auto"/>
                <w:w w:val="82"/>
              </w:rPr>
              <w:t>$</w:t>
            </w:r>
          </w:p>
        </w:tc>
        <w:tc>
          <w:tcPr>
            <w:tcW w:w="1500" w:type="dxa"/>
            <w:vAlign w:val="bottom"/>
          </w:tcPr>
          <w:p>
            <w:pPr>
              <w:jc w:val="right"/>
              <w:spacing w:after="0"/>
              <w:rPr>
                <w:sz w:val="20"/>
                <w:szCs w:val="20"/>
                <w:color w:val="auto"/>
              </w:rPr>
            </w:pPr>
            <w:r>
              <w:rPr>
                <w:rFonts w:ascii="Arial" w:cs="Arial" w:eastAsia="Arial" w:hAnsi="Arial"/>
                <w:sz w:val="13"/>
                <w:szCs w:val="13"/>
                <w:color w:val="auto"/>
              </w:rPr>
              <w:t>6,137,265</w:t>
            </w:r>
          </w:p>
        </w:tc>
        <w:tc>
          <w:tcPr>
            <w:tcW w:w="100" w:type="dxa"/>
            <w:vAlign w:val="bottom"/>
          </w:tcPr>
          <w:p>
            <w:pPr>
              <w:spacing w:after="0"/>
              <w:rPr>
                <w:sz w:val="14"/>
                <w:szCs w:val="14"/>
                <w:color w:val="auto"/>
              </w:rPr>
            </w:pPr>
          </w:p>
        </w:tc>
        <w:tc>
          <w:tcPr>
            <w:tcW w:w="260" w:type="dxa"/>
            <w:vAlign w:val="bottom"/>
          </w:tcPr>
          <w:p>
            <w:pPr>
              <w:jc w:val="right"/>
              <w:ind w:right="116"/>
              <w:spacing w:after="0"/>
              <w:rPr>
                <w:sz w:val="20"/>
                <w:szCs w:val="20"/>
                <w:color w:val="auto"/>
              </w:rPr>
            </w:pPr>
            <w:r>
              <w:rPr>
                <w:rFonts w:ascii="Arial" w:cs="Arial" w:eastAsia="Arial" w:hAnsi="Arial"/>
                <w:sz w:val="13"/>
                <w:szCs w:val="13"/>
                <w:color w:val="auto"/>
                <w:w w:val="82"/>
              </w:rPr>
              <w:t>$</w:t>
            </w:r>
          </w:p>
        </w:tc>
        <w:tc>
          <w:tcPr>
            <w:tcW w:w="1500" w:type="dxa"/>
            <w:vAlign w:val="bottom"/>
          </w:tcPr>
          <w:p>
            <w:pPr>
              <w:jc w:val="right"/>
              <w:spacing w:after="0"/>
              <w:rPr>
                <w:sz w:val="20"/>
                <w:szCs w:val="20"/>
                <w:color w:val="auto"/>
              </w:rPr>
            </w:pPr>
            <w:r>
              <w:rPr>
                <w:rFonts w:ascii="Arial" w:cs="Arial" w:eastAsia="Arial" w:hAnsi="Arial"/>
                <w:sz w:val="13"/>
                <w:szCs w:val="13"/>
                <w:color w:val="auto"/>
              </w:rPr>
              <w:t>6,214,954</w:t>
            </w:r>
          </w:p>
        </w:tc>
      </w:tr>
      <w:tr>
        <w:trPr>
          <w:trHeight w:val="172"/>
        </w:trPr>
        <w:tc>
          <w:tcPr>
            <w:tcW w:w="57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Prepared foods</w:t>
            </w:r>
          </w:p>
        </w:tc>
        <w:tc>
          <w:tcPr>
            <w:tcW w:w="2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898,614</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714,563</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842,365</w:t>
            </w:r>
          </w:p>
        </w:tc>
      </w:tr>
      <w:tr>
        <w:trPr>
          <w:trHeight w:val="168"/>
        </w:trPr>
        <w:tc>
          <w:tcPr>
            <w:tcW w:w="5780" w:type="dxa"/>
            <w:vAlign w:val="bottom"/>
          </w:tcPr>
          <w:p>
            <w:pPr>
              <w:ind w:left="120"/>
              <w:spacing w:after="0"/>
              <w:rPr>
                <w:sz w:val="20"/>
                <w:szCs w:val="20"/>
                <w:color w:val="auto"/>
              </w:rPr>
            </w:pPr>
            <w:r>
              <w:rPr>
                <w:rFonts w:ascii="Arial" w:cs="Arial" w:eastAsia="Arial" w:hAnsi="Arial"/>
                <w:sz w:val="13"/>
                <w:szCs w:val="13"/>
                <w:color w:val="auto"/>
              </w:rPr>
              <w:t>Exports</w:t>
            </w:r>
          </w:p>
        </w:tc>
        <w:tc>
          <w:tcPr>
            <w:tcW w:w="2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459,371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306,478</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282,791</w:t>
            </w:r>
          </w:p>
        </w:tc>
      </w:tr>
      <w:tr>
        <w:trPr>
          <w:trHeight w:val="172"/>
        </w:trPr>
        <w:tc>
          <w:tcPr>
            <w:tcW w:w="57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Other Products</w:t>
            </w:r>
          </w:p>
        </w:tc>
        <w:tc>
          <w:tcPr>
            <w:tcW w:w="26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491,446</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337,711</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296,606</w:t>
            </w:r>
          </w:p>
        </w:tc>
      </w:tr>
      <w:tr>
        <w:trPr>
          <w:trHeight w:val="158"/>
        </w:trPr>
        <w:tc>
          <w:tcPr>
            <w:tcW w:w="5780" w:type="dxa"/>
            <w:vAlign w:val="bottom"/>
          </w:tcPr>
          <w:p>
            <w:pPr>
              <w:ind w:left="180"/>
              <w:spacing w:after="0"/>
              <w:rPr>
                <w:sz w:val="20"/>
                <w:szCs w:val="20"/>
                <w:color w:val="auto"/>
              </w:rPr>
            </w:pPr>
            <w:r>
              <w:rPr>
                <w:rFonts w:ascii="Arial" w:cs="Arial" w:eastAsia="Arial" w:hAnsi="Arial"/>
                <w:sz w:val="13"/>
                <w:szCs w:val="13"/>
                <w:color w:val="auto"/>
              </w:rPr>
              <w:t>Total U.S. reportable segment</w:t>
            </w:r>
          </w:p>
        </w:tc>
        <w:tc>
          <w:tcPr>
            <w:tcW w:w="26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9,113,879</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7,496,017</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7,636,716</w:t>
            </w:r>
          </w:p>
        </w:tc>
      </w:tr>
      <w:tr>
        <w:trPr>
          <w:trHeight w:val="172"/>
        </w:trPr>
        <w:tc>
          <w:tcPr>
            <w:tcW w:w="5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U.K. and Europe reportable segment:</w:t>
            </w:r>
          </w:p>
        </w:tc>
        <w:tc>
          <w:tcPr>
            <w:tcW w:w="26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r>
      <w:tr>
        <w:trPr>
          <w:trHeight w:val="168"/>
        </w:trPr>
        <w:tc>
          <w:tcPr>
            <w:tcW w:w="5780" w:type="dxa"/>
            <w:vAlign w:val="bottom"/>
          </w:tcPr>
          <w:p>
            <w:pPr>
              <w:ind w:left="120"/>
              <w:spacing w:after="0"/>
              <w:rPr>
                <w:sz w:val="20"/>
                <w:szCs w:val="20"/>
                <w:color w:val="auto"/>
              </w:rPr>
            </w:pPr>
            <w:r>
              <w:rPr>
                <w:rFonts w:ascii="Arial" w:cs="Arial" w:eastAsia="Arial" w:hAnsi="Arial"/>
                <w:sz w:val="13"/>
                <w:szCs w:val="13"/>
                <w:color w:val="auto"/>
              </w:rPr>
              <w:t>Fresh products</w:t>
            </w:r>
          </w:p>
        </w:tc>
        <w:tc>
          <w:tcPr>
            <w:tcW w:w="2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1,151,330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1,594,373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1,054,837</w:t>
            </w:r>
          </w:p>
        </w:tc>
      </w:tr>
      <w:tr>
        <w:trPr>
          <w:trHeight w:val="172"/>
        </w:trPr>
        <w:tc>
          <w:tcPr>
            <w:tcW w:w="57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Prepared foods</w:t>
            </w:r>
          </w:p>
        </w:tc>
        <w:tc>
          <w:tcPr>
            <w:tcW w:w="2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2,214,180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1,237,486</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951,718</w:t>
            </w:r>
          </w:p>
        </w:tc>
      </w:tr>
      <w:tr>
        <w:trPr>
          <w:trHeight w:val="168"/>
        </w:trPr>
        <w:tc>
          <w:tcPr>
            <w:tcW w:w="5780" w:type="dxa"/>
            <w:vAlign w:val="bottom"/>
          </w:tcPr>
          <w:p>
            <w:pPr>
              <w:ind w:left="120"/>
              <w:spacing w:after="0"/>
              <w:rPr>
                <w:sz w:val="20"/>
                <w:szCs w:val="20"/>
                <w:color w:val="auto"/>
              </w:rPr>
            </w:pPr>
            <w:r>
              <w:rPr>
                <w:rFonts w:ascii="Arial" w:cs="Arial" w:eastAsia="Arial" w:hAnsi="Arial"/>
                <w:sz w:val="13"/>
                <w:szCs w:val="13"/>
                <w:color w:val="auto"/>
              </w:rPr>
              <w:t>Exports</w:t>
            </w:r>
          </w:p>
        </w:tc>
        <w:tc>
          <w:tcPr>
            <w:tcW w:w="2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458,588</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297,414</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278,215</w:t>
            </w:r>
          </w:p>
        </w:tc>
      </w:tr>
      <w:tr>
        <w:trPr>
          <w:trHeight w:val="172"/>
        </w:trPr>
        <w:tc>
          <w:tcPr>
            <w:tcW w:w="57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Other Products</w:t>
            </w:r>
          </w:p>
        </w:tc>
        <w:tc>
          <w:tcPr>
            <w:tcW w:w="26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109,964</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145,019</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99,023</w:t>
            </w:r>
          </w:p>
        </w:tc>
      </w:tr>
      <w:tr>
        <w:trPr>
          <w:trHeight w:val="158"/>
        </w:trPr>
        <w:tc>
          <w:tcPr>
            <w:tcW w:w="5780" w:type="dxa"/>
            <w:vAlign w:val="bottom"/>
          </w:tcPr>
          <w:p>
            <w:pPr>
              <w:ind w:left="180"/>
              <w:spacing w:after="0"/>
              <w:rPr>
                <w:sz w:val="20"/>
                <w:szCs w:val="20"/>
                <w:color w:val="auto"/>
              </w:rPr>
            </w:pPr>
            <w:r>
              <w:rPr>
                <w:rFonts w:ascii="Arial" w:cs="Arial" w:eastAsia="Arial" w:hAnsi="Arial"/>
                <w:sz w:val="13"/>
                <w:szCs w:val="13"/>
                <w:color w:val="auto"/>
              </w:rPr>
              <w:t>Total U.K. and Europe reportable segment</w:t>
            </w:r>
          </w:p>
        </w:tc>
        <w:tc>
          <w:tcPr>
            <w:tcW w:w="26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3,934,062</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3,274,292</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2,383,793</w:t>
            </w:r>
          </w:p>
        </w:tc>
      </w:tr>
      <w:tr>
        <w:trPr>
          <w:trHeight w:val="172"/>
        </w:trPr>
        <w:tc>
          <w:tcPr>
            <w:tcW w:w="5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Mexico reportable segment:</w:t>
            </w:r>
          </w:p>
        </w:tc>
        <w:tc>
          <w:tcPr>
            <w:tcW w:w="26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r>
      <w:tr>
        <w:trPr>
          <w:trHeight w:val="168"/>
        </w:trPr>
        <w:tc>
          <w:tcPr>
            <w:tcW w:w="5780" w:type="dxa"/>
            <w:vAlign w:val="bottom"/>
          </w:tcPr>
          <w:p>
            <w:pPr>
              <w:ind w:left="120"/>
              <w:spacing w:after="0"/>
              <w:rPr>
                <w:sz w:val="20"/>
                <w:szCs w:val="20"/>
                <w:color w:val="auto"/>
              </w:rPr>
            </w:pPr>
            <w:r>
              <w:rPr>
                <w:rFonts w:ascii="Arial" w:cs="Arial" w:eastAsia="Arial" w:hAnsi="Arial"/>
                <w:sz w:val="13"/>
                <w:szCs w:val="13"/>
                <w:color w:val="auto"/>
              </w:rPr>
              <w:t>Fresh products</w:t>
            </w:r>
          </w:p>
        </w:tc>
        <w:tc>
          <w:tcPr>
            <w:tcW w:w="2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1,515,453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1,210,952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1,245,976</w:t>
            </w:r>
          </w:p>
        </w:tc>
      </w:tr>
      <w:tr>
        <w:trPr>
          <w:trHeight w:val="172"/>
        </w:trPr>
        <w:tc>
          <w:tcPr>
            <w:tcW w:w="57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Prepared foods</w:t>
            </w:r>
          </w:p>
        </w:tc>
        <w:tc>
          <w:tcPr>
            <w:tcW w:w="2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128,208</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66,572</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95,733</w:t>
            </w:r>
          </w:p>
        </w:tc>
      </w:tr>
      <w:tr>
        <w:trPr>
          <w:trHeight w:val="168"/>
        </w:trPr>
        <w:tc>
          <w:tcPr>
            <w:tcW w:w="578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Other products</w:t>
            </w:r>
          </w:p>
        </w:tc>
        <w:tc>
          <w:tcPr>
            <w:tcW w:w="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85,856</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44,068</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47,001</w:t>
            </w:r>
          </w:p>
        </w:tc>
      </w:tr>
      <w:tr>
        <w:trPr>
          <w:trHeight w:val="160"/>
        </w:trPr>
        <w:tc>
          <w:tcPr>
            <w:tcW w:w="57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Total Mexico reportable segment</w:t>
            </w:r>
          </w:p>
        </w:tc>
        <w:tc>
          <w:tcPr>
            <w:tcW w:w="260" w:type="dxa"/>
            <w:vAlign w:val="bottom"/>
            <w:tcBorders>
              <w:bottom w:val="single" w:sz="8" w:color="auto"/>
            </w:tcBorders>
            <w:shd w:val="clear" w:color="auto" w:fill="CCEEFF"/>
          </w:tcPr>
          <w:p>
            <w:pPr>
              <w:spacing w:after="0"/>
              <w:rPr>
                <w:sz w:val="13"/>
                <w:szCs w:val="13"/>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1,729,517</w:t>
            </w:r>
          </w:p>
        </w:tc>
        <w:tc>
          <w:tcPr>
            <w:tcW w:w="10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1,321,592</w:t>
            </w:r>
          </w:p>
        </w:tc>
        <w:tc>
          <w:tcPr>
            <w:tcW w:w="10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1,388,710</w:t>
            </w:r>
          </w:p>
        </w:tc>
      </w:tr>
      <w:tr>
        <w:trPr>
          <w:trHeight w:val="163"/>
        </w:trPr>
        <w:tc>
          <w:tcPr>
            <w:tcW w:w="5780" w:type="dxa"/>
            <w:vAlign w:val="bottom"/>
          </w:tcPr>
          <w:p>
            <w:pPr>
              <w:ind w:left="440"/>
              <w:spacing w:after="0"/>
              <w:rPr>
                <w:sz w:val="20"/>
                <w:szCs w:val="20"/>
                <w:color w:val="auto"/>
              </w:rPr>
            </w:pPr>
            <w:r>
              <w:rPr>
                <w:rFonts w:ascii="Arial" w:cs="Arial" w:eastAsia="Arial" w:hAnsi="Arial"/>
                <w:sz w:val="13"/>
                <w:szCs w:val="13"/>
                <w:color w:val="auto"/>
              </w:rPr>
              <w:t>Total net sales</w:t>
            </w:r>
          </w:p>
        </w:tc>
        <w:tc>
          <w:tcPr>
            <w:tcW w:w="26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w w:val="82"/>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14,777,458</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w w:val="82"/>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12,091,901</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w w:val="82"/>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11,409,219</w:t>
            </w:r>
          </w:p>
        </w:tc>
      </w:tr>
      <w:tr>
        <w:trPr>
          <w:trHeight w:val="20"/>
        </w:trPr>
        <w:tc>
          <w:tcPr>
            <w:tcW w:w="5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13" w:lineRule="exact"/>
        <w:rPr>
          <w:sz w:val="20"/>
          <w:szCs w:val="20"/>
          <w:color w:val="auto"/>
        </w:rPr>
      </w:pPr>
    </w:p>
    <w:p>
      <w:pPr>
        <w:ind w:right="8240" w:firstLine="5"/>
        <w:spacing w:after="0" w:line="445" w:lineRule="auto"/>
        <w:tabs>
          <w:tab w:leader="none" w:pos="318" w:val="left"/>
        </w:tabs>
        <w:numPr>
          <w:ilvl w:val="0"/>
          <w:numId w:val="41"/>
        </w:numPr>
        <w:rPr>
          <w:rFonts w:ascii="Arial" w:cs="Arial" w:eastAsia="Arial" w:hAnsi="Arial"/>
          <w:sz w:val="14"/>
          <w:szCs w:val="14"/>
          <w:b w:val="1"/>
          <w:bCs w:val="1"/>
          <w:color w:val="auto"/>
        </w:rPr>
      </w:pPr>
      <w:r>
        <w:rPr>
          <w:rFonts w:ascii="Arial" w:cs="Arial" w:eastAsia="Arial" w:hAnsi="Arial"/>
          <w:sz w:val="14"/>
          <w:szCs w:val="14"/>
          <w:b w:val="1"/>
          <w:bCs w:val="1"/>
          <w:color w:val="auto"/>
        </w:rPr>
        <w:t>COMMITMENTS AND CONTINGENCIES General</w:t>
      </w:r>
    </w:p>
    <w:p>
      <w:pPr>
        <w:spacing w:after="0" w:line="1"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4"/>
          <w:szCs w:val="14"/>
          <w:color w:val="auto"/>
        </w:rPr>
        <w:t>The Company is a party to many routine contracts in which it provides general indemnities in the normal course of business to third parties for various risks. Among other considerations, the Company has not recorded a liability for any of these indemnities because, based upon the likelihood of payment, the fair value of such indemnities would not have a material impact on its financial condition, results of operations and cash flows.</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Purchase Obligations</w:t>
      </w:r>
    </w:p>
    <w:p>
      <w:pPr>
        <w:spacing w:after="0" w:line="140"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4"/>
          <w:szCs w:val="14"/>
          <w:color w:val="auto"/>
        </w:rPr>
        <w:t>The Company will sometimes enter into noncancelable contracts to purchase capital equipment and certain commodities such as corn, soybean meal, wheat and energy. As of December 26, 2021, the Company was party to outstanding purchase contracts totaling $540.0 million payable in 2022, $2.8 million payable in 2023, $2.2 million in 2024, $2.1 million payable in 2025 and $16.4 million payable thereafter.</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Operating Leases</w:t>
      </w:r>
    </w:p>
    <w:p>
      <w:pPr>
        <w:spacing w:after="0" w:line="14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Additional information regarding operating leases is included in “Note 4. Leases.”</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Financial Instruments</w:t>
      </w:r>
    </w:p>
    <w:p>
      <w:pPr>
        <w:spacing w:after="0" w:line="140"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4"/>
          <w:szCs w:val="14"/>
          <w:color w:val="auto"/>
        </w:rPr>
        <w:t>The Company’s loan agreements generally obligate the Company to reimburse the applicable lender for incremental increased costs due to a change in law that imposes (1) any reserve or special deposit requirement against assets of, deposits with or credit extended by such lender related to the loan, (2) any tax, duty or other charge with respect to the loan (except standard income tax) or (3) capital adequacy requirements. In addition, some of the Company’s loan agreements contain a withholding tax provision that requires the Company to pay additional amounts to the applicable lender or other financing party, generally if withholding taxes are imposed on such lender or other financing party as a result of a change in the applicable tax law. These increased cost and withholding tax provisions continue for the entire term of the applicable transaction, and there is no limitation on the maximum additional amounts the Company could be obligated to pay under such provisions. Any failure to pay amounts due under such provisions generally would trigger an event of default and, in a secured financing transaction, would entitle the lender to foreclose upon the collateral to realize the amount due.</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Litigation</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93" w:name="page94"/>
    <w:bookmarkEnd w:id="9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NOTES TO CONSOLIDATED FINANCIAL STATEMENTS</w:t>
      </w:r>
    </w:p>
    <w:p>
      <w:pPr>
        <w:spacing w:after="0" w:line="391"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4"/>
          <w:szCs w:val="14"/>
          <w:color w:val="auto"/>
        </w:rPr>
        <w:t>The Company is subject to various legal proceedings and claims which arise in the ordinary course of business. In the Company’s opinion, it has made appropriate and adequate accruals for claims where necessary; however, the ultimate liability for these matters is uncertain, and if significantly different than the amounts accrued, the ultimate outcome could have a material effect on the financial condition or results of operations of the Company.</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Tax Claims and Proceedings</w:t>
      </w:r>
    </w:p>
    <w:p>
      <w:pPr>
        <w:spacing w:after="0" w:line="136" w:lineRule="exact"/>
        <w:rPr>
          <w:sz w:val="20"/>
          <w:szCs w:val="20"/>
          <w:color w:val="auto"/>
        </w:rPr>
      </w:pPr>
    </w:p>
    <w:p>
      <w:pPr>
        <w:jc w:val="both"/>
        <w:ind w:firstLine="509"/>
        <w:spacing w:after="0" w:line="258" w:lineRule="auto"/>
        <w:rPr>
          <w:sz w:val="20"/>
          <w:szCs w:val="20"/>
          <w:color w:val="auto"/>
        </w:rPr>
      </w:pPr>
      <w:r>
        <w:rPr>
          <w:rFonts w:ascii="Arial" w:cs="Arial" w:eastAsia="Arial" w:hAnsi="Arial"/>
          <w:sz w:val="14"/>
          <w:szCs w:val="14"/>
          <w:color w:val="auto"/>
        </w:rPr>
        <w:t>During 2014 and 2015, the Mexican tax authorities opened a review of Avícola Pilgrim’s Pride de Mexico, S.A. de C.V. (“PPC Mexico”) in regards to tax years 2009 and 2010, respectively. In both instances, the Mexican tax authorities claim that controlled company status did not exist for certain subsidiaries because PPC Mexico did not own 50% of the shares in voting rights of Incubadora Hidalgo, S. de R.L de C.V. and Comercializadora de Carnes de México S. de R.L. de C.V. (both in 2009) and Pilgrim’s Pride, S. de R.L. de C.V. (in 2010). As a result, according to the tax authorities, PPC Mexico should have considered dividends paid out of these subsidiaries partially taxable since a portion of the dividend amount was not paid from the net tax profit account (</w:t>
      </w:r>
      <w:r>
        <w:rPr>
          <w:rFonts w:ascii="Arial" w:cs="Arial" w:eastAsia="Arial" w:hAnsi="Arial"/>
          <w:sz w:val="14"/>
          <w:szCs w:val="14"/>
          <w:i w:val="1"/>
          <w:iCs w:val="1"/>
          <w:color w:val="auto"/>
        </w:rPr>
        <w:t>CUFIN</w:t>
      </w:r>
      <w:r>
        <w:rPr>
          <w:rFonts w:ascii="Arial" w:cs="Arial" w:eastAsia="Arial" w:hAnsi="Arial"/>
          <w:sz w:val="14"/>
          <w:szCs w:val="14"/>
          <w:color w:val="auto"/>
        </w:rPr>
        <w:t>). PPC Mexico is currently appealing. Amounts under appeal are $29.6 million and $17.9 million for tax years 2009 and 2010, respectively. No loss has been recorded for these amounts at this time.</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 re Broiler Chicken Antitrust Litigation</w:t>
      </w:r>
    </w:p>
    <w:p>
      <w:pPr>
        <w:spacing w:after="0" w:line="136"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3"/>
          <w:szCs w:val="13"/>
          <w:color w:val="auto"/>
        </w:rPr>
        <w:t xml:space="preserve">Between September 2, 2016 and October 13, 2016, a series of purported federal class action lawsuits styled as </w:t>
      </w:r>
      <w:r>
        <w:rPr>
          <w:rFonts w:ascii="Arial" w:cs="Arial" w:eastAsia="Arial" w:hAnsi="Arial"/>
          <w:sz w:val="13"/>
          <w:szCs w:val="13"/>
          <w:i w:val="1"/>
          <w:iCs w:val="1"/>
          <w:color w:val="auto"/>
        </w:rPr>
        <w:t>In re Broiler Chicken Antitrust Litigation,</w:t>
      </w:r>
      <w:r>
        <w:rPr>
          <w:rFonts w:ascii="Arial" w:cs="Arial" w:eastAsia="Arial" w:hAnsi="Arial"/>
          <w:sz w:val="13"/>
          <w:szCs w:val="13"/>
          <w:color w:val="auto"/>
        </w:rPr>
        <w:t xml:space="preserve"> Case No. 1:16-cv-08637 were filed with the U.S. District Court for the Northern District of Illinois (“Illinois Court”) against PPC and other defendants by and on behalf of direct and indirect purchasers of broiler chickens alleging violations of antitrust and unfair competition laws (the “Broilers Litigation”). The complaints seek, among other relief, treble damages for an alleged conspiracy among defendants to reduce output and increase prices of broiler chickens from the period of January 2008 to the present. The putative class plaintiffs have filed three consolidated amended complaints: one on behalf of direct purchasers (the “DPPs”) and two on behalf of distinct groups of indirect purchasers. Between December 8, 2017 and September 1, 2021, 82 individual direct action complaints were filed with the Illinois Court by individual purchaser entities (“DAPs”) naming PPC as a defendant, the allegations of which largely mirror those in the class action complaints. Subsequent amendments to certain complaints added allegations of price fixing and bid rigging on certain sales. On June 17, 2021, the Illinois Court issued a revised scheduling order through trial, under which merits fact discovery for defendants and most plaintiffs closed on July 31, 2021, with additional discovery of subsequent DAPs proceeding in six month increments following consolidation of each DAP complaint. On February 8, 2022, the Illinois Court issued a revised scheduling order for certain plaintiffs who limited their claims to reduction of output, which sets the first trial date in the Fall 2023. The schedule for the rest of the plaintiffs is still awaiting an order from the Illinois Court.</w:t>
      </w:r>
    </w:p>
    <w:p>
      <w:pPr>
        <w:spacing w:after="0" w:line="131"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4"/>
          <w:szCs w:val="14"/>
          <w:color w:val="auto"/>
        </w:rPr>
        <w:t xml:space="preserve">On January 11, 2021, PPC announced that it had entered into an agreement to settle all claims made by the DPPs. The Illinois Court granted final approval of the settlement on June 29, 2021. As a result of this agreement PPC recorded an expense of $75.0 million in </w:t>
      </w:r>
      <w:r>
        <w:rPr>
          <w:rFonts w:ascii="Arial" w:cs="Arial" w:eastAsia="Arial" w:hAnsi="Arial"/>
          <w:sz w:val="14"/>
          <w:szCs w:val="14"/>
          <w:i w:val="1"/>
          <w:iCs w:val="1"/>
          <w:color w:val="auto"/>
        </w:rPr>
        <w:t>Selling, general and administrative expense</w:t>
      </w:r>
      <w:r>
        <w:rPr>
          <w:rFonts w:ascii="Arial" w:cs="Arial" w:eastAsia="Arial" w:hAnsi="Arial"/>
          <w:sz w:val="14"/>
          <w:szCs w:val="14"/>
          <w:color w:val="auto"/>
        </w:rPr>
        <w:t xml:space="preserve"> in the Consolidated Statement of Income during the year ended December 27, 2020. Pursuant to this agreement, PPC paid the DPPs this amount during the three months ended March 28, 2021.</w:t>
      </w:r>
    </w:p>
    <w:p>
      <w:pPr>
        <w:spacing w:after="0" w:line="99" w:lineRule="exact"/>
        <w:rPr>
          <w:sz w:val="20"/>
          <w:szCs w:val="20"/>
          <w:color w:val="auto"/>
        </w:rPr>
      </w:pPr>
    </w:p>
    <w:p>
      <w:pPr>
        <w:jc w:val="both"/>
        <w:ind w:firstLine="509"/>
        <w:spacing w:after="0" w:line="258" w:lineRule="auto"/>
        <w:rPr>
          <w:sz w:val="20"/>
          <w:szCs w:val="20"/>
          <w:color w:val="auto"/>
        </w:rPr>
      </w:pPr>
      <w:r>
        <w:rPr>
          <w:rFonts w:ascii="Arial" w:cs="Arial" w:eastAsia="Arial" w:hAnsi="Arial"/>
          <w:sz w:val="14"/>
          <w:szCs w:val="14"/>
          <w:color w:val="auto"/>
        </w:rPr>
        <w:t xml:space="preserve">On July 28, 2021, PPC and the putative End-User Consumer Indirect Purchaser Plaintiff Class (“EUCPs”) reached an agreement to settle all claims. The Illinois Court granted final approval of the settlement on December 20, 2021. In addition, on August 3, 2021, PPC and the putative Commercial and Institutional Indirect Purchaser Plaintiff Class (“CIIPPs”) reached an agreement to settle all claims, which is subject to approval by the Illinois Court. The Illinois Court granted preliminary approval of the settlement on January 14, 2022 and a final approval hearing is scheduled for April 18, 2022. Under the terms of these settlements, PPC paid the EUCPs an amount of $75.5 million and has agreed to pay the CIIPPs an amount of $45.0 million to release all outstanding claims brought by such classes. As a result of these agreements, PPC recognized the expense within </w:t>
      </w:r>
      <w:r>
        <w:rPr>
          <w:rFonts w:ascii="Arial" w:cs="Arial" w:eastAsia="Arial" w:hAnsi="Arial"/>
          <w:sz w:val="14"/>
          <w:szCs w:val="14"/>
          <w:i w:val="1"/>
          <w:iCs w:val="1"/>
          <w:color w:val="auto"/>
        </w:rPr>
        <w:t>Selling, general and administrative expense</w:t>
      </w:r>
      <w:r>
        <w:rPr>
          <w:rFonts w:ascii="Arial" w:cs="Arial" w:eastAsia="Arial" w:hAnsi="Arial"/>
          <w:sz w:val="14"/>
          <w:szCs w:val="14"/>
          <w:color w:val="auto"/>
        </w:rPr>
        <w:t xml:space="preserve"> in the Consolidated Statement of Income for the three months ended September 26, 2021.</w:t>
      </w:r>
    </w:p>
    <w:p>
      <w:pPr>
        <w:spacing w:after="0" w:line="107"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color w:val="auto"/>
        </w:rPr>
        <w:t xml:space="preserve">The settlements with the DPPs, EUCPs and CIIPPs do not cover the claims of the DAPs or other parties who have or will opt out of such settlements (collectively, the “Opt Outs”). PPC will therefore continue to litigate against such Opt Outs and will seek reasonable settlements where they are available. PPC has recognized an expense of $489.3 million to cover both negotiated and potential settlements with various Opt Outs. PPC recognized this expense within </w:t>
      </w:r>
      <w:r>
        <w:rPr>
          <w:rFonts w:ascii="Arial" w:cs="Arial" w:eastAsia="Arial" w:hAnsi="Arial"/>
          <w:sz w:val="14"/>
          <w:szCs w:val="14"/>
          <w:i w:val="1"/>
          <w:iCs w:val="1"/>
          <w:color w:val="auto"/>
        </w:rPr>
        <w:t>Selling, general and administrative expense</w:t>
      </w:r>
      <w:r>
        <w:rPr>
          <w:rFonts w:ascii="Arial" w:cs="Arial" w:eastAsia="Arial" w:hAnsi="Arial"/>
          <w:sz w:val="14"/>
          <w:szCs w:val="14"/>
          <w:color w:val="auto"/>
        </w:rPr>
        <w:t xml:space="preserve"> in the Consolidated Statement of Income for the year ended December 26, 2021.</w:t>
      </w:r>
    </w:p>
    <w:p>
      <w:pPr>
        <w:spacing w:after="0" w:line="103"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4"/>
          <w:szCs w:val="14"/>
          <w:color w:val="auto"/>
        </w:rPr>
        <w:t>On February 21, 2017, the Attorney General of Florida (“Florida AG”), issued a civil investigative demand (“CID”) regarding the broiler chicken market. The CID requests, among other things, data and information related to the acquisition and processing of broiler chickens and the sale of chicken products. PPC is cooperating with the Florida AG in producing documents pursuant to the CID.</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94" w:name="page95"/>
    <w:bookmarkEnd w:id="9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NOTES TO CONSOLIDATED FINANCIAL STATEMENTS</w:t>
      </w:r>
    </w:p>
    <w:p>
      <w:pPr>
        <w:spacing w:after="0" w:line="391" w:lineRule="exact"/>
        <w:rPr>
          <w:sz w:val="20"/>
          <w:szCs w:val="20"/>
          <w:color w:val="auto"/>
        </w:rPr>
      </w:pPr>
    </w:p>
    <w:p>
      <w:pPr>
        <w:jc w:val="both"/>
        <w:ind w:firstLine="509"/>
        <w:spacing w:after="0" w:line="297" w:lineRule="auto"/>
        <w:rPr>
          <w:sz w:val="20"/>
          <w:szCs w:val="20"/>
          <w:color w:val="auto"/>
        </w:rPr>
      </w:pPr>
      <w:r>
        <w:rPr>
          <w:rFonts w:ascii="Arial" w:cs="Arial" w:eastAsia="Arial" w:hAnsi="Arial"/>
          <w:sz w:val="13"/>
          <w:szCs w:val="13"/>
          <w:color w:val="auto"/>
        </w:rPr>
        <w:t>On August 6, 2020, the Attorney General of Washington (“Washington AG”), issued a CID regarding similar broiler chicken matters that are the subject of the Florida CID. PPC cooperated with the Washington AG in producing documents pursuant to the CID. On October 28, 2021, the Washington AG filed a complaint in the King County Superior Court for the State of Washington. The complaint alleges the same claims as those made in the Broilers Litigation under Washington state law. PPC filed its answer to the complaint on January 21, 2022.</w:t>
      </w:r>
    </w:p>
    <w:p>
      <w:pPr>
        <w:spacing w:after="0" w:line="82" w:lineRule="exact"/>
        <w:rPr>
          <w:sz w:val="20"/>
          <w:szCs w:val="20"/>
          <w:color w:val="auto"/>
        </w:rPr>
      </w:pPr>
    </w:p>
    <w:p>
      <w:pPr>
        <w:jc w:val="both"/>
        <w:ind w:firstLine="509"/>
        <w:spacing w:after="0" w:line="281" w:lineRule="auto"/>
        <w:rPr>
          <w:sz w:val="20"/>
          <w:szCs w:val="20"/>
          <w:color w:val="auto"/>
        </w:rPr>
      </w:pPr>
      <w:r>
        <w:rPr>
          <w:rFonts w:ascii="Arial" w:cs="Arial" w:eastAsia="Arial" w:hAnsi="Arial"/>
          <w:sz w:val="14"/>
          <w:szCs w:val="14"/>
          <w:color w:val="auto"/>
        </w:rPr>
        <w:t>On September 1, 2020, the Attorney General of New Mexico filed a complaint in the First Judicial District Court in the County of Santa Fe, New Mexico. The complaint alleges the same claims as those made in the Broilers Litigation under New Mexico state law. PPC filed its answer to the complaint on February 1, 2021.</w:t>
      </w:r>
    </w:p>
    <w:p>
      <w:pPr>
        <w:spacing w:after="0" w:line="90" w:lineRule="exact"/>
        <w:rPr>
          <w:sz w:val="20"/>
          <w:szCs w:val="20"/>
          <w:color w:val="auto"/>
        </w:rPr>
      </w:pPr>
    </w:p>
    <w:p>
      <w:pPr>
        <w:jc w:val="both"/>
        <w:ind w:firstLine="509"/>
        <w:spacing w:after="0" w:line="281" w:lineRule="auto"/>
        <w:rPr>
          <w:sz w:val="20"/>
          <w:szCs w:val="20"/>
          <w:color w:val="auto"/>
        </w:rPr>
      </w:pPr>
      <w:r>
        <w:rPr>
          <w:rFonts w:ascii="Arial" w:cs="Arial" w:eastAsia="Arial" w:hAnsi="Arial"/>
          <w:sz w:val="14"/>
          <w:szCs w:val="14"/>
          <w:color w:val="auto"/>
        </w:rPr>
        <w:t>On February 22, 2021, the Attorney General of Alaska filed a complaint in Superior Court in the Third Judicial District in Anchorage, Alaska. The complaint alleges the same claims as those made in the Broilers Litigation under Alaska state law. PPC filed its answer to the complaint on June 14, 2021.</w:t>
      </w:r>
    </w:p>
    <w:p>
      <w:pPr>
        <w:spacing w:after="0" w:line="90" w:lineRule="exact"/>
        <w:rPr>
          <w:sz w:val="20"/>
          <w:szCs w:val="20"/>
          <w:color w:val="auto"/>
        </w:rPr>
      </w:pPr>
    </w:p>
    <w:p>
      <w:pPr>
        <w:jc w:val="both"/>
        <w:ind w:firstLine="509"/>
        <w:spacing w:after="0" w:line="281" w:lineRule="auto"/>
        <w:rPr>
          <w:sz w:val="20"/>
          <w:szCs w:val="20"/>
          <w:color w:val="auto"/>
        </w:rPr>
      </w:pPr>
      <w:r>
        <w:rPr>
          <w:rFonts w:ascii="Arial" w:cs="Arial" w:eastAsia="Arial" w:hAnsi="Arial"/>
          <w:sz w:val="14"/>
          <w:szCs w:val="14"/>
          <w:color w:val="auto"/>
        </w:rPr>
        <w:t>On each of February 24, 2021 and May 4, 2021, the Attorney General of Louisiana (“Louisiana AG”), issued a CID regarding similar broiler chicken matters that are the subject of the Florida CID. PPC is cooperating with the Louisiana AG in producing documents pursuant to the CIDs.</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Other Claims and Proceedings</w:t>
      </w:r>
    </w:p>
    <w:p>
      <w:pPr>
        <w:spacing w:after="0" w:line="136" w:lineRule="exact"/>
        <w:rPr>
          <w:sz w:val="20"/>
          <w:szCs w:val="20"/>
          <w:color w:val="auto"/>
        </w:rPr>
      </w:pPr>
    </w:p>
    <w:p>
      <w:pPr>
        <w:jc w:val="both"/>
        <w:ind w:firstLine="509"/>
        <w:spacing w:after="0" w:line="276" w:lineRule="auto"/>
        <w:rPr>
          <w:sz w:val="20"/>
          <w:szCs w:val="20"/>
          <w:color w:val="auto"/>
        </w:rPr>
      </w:pPr>
      <w:r>
        <w:rPr>
          <w:rFonts w:ascii="Arial" w:cs="Arial" w:eastAsia="Arial" w:hAnsi="Arial"/>
          <w:sz w:val="13"/>
          <w:szCs w:val="13"/>
          <w:color w:val="auto"/>
        </w:rPr>
        <w:t>On October 20, 2016, Patrick Hogan, acting on behalf of himself and a putative class of persons who purchased shares of PPC’s stock between February 21, 2014 and October 6, 2016, filed a class action complaint in the U.S. District Court for the District of Colorado (“Colorado Court”) against PPC and its named executive officers (the “Hogan Litigation”). The complaint alleges, among other things, that PPC’s SEC filings contained statements that were rendered materially false and misleading by PPC’s failure to disclose that (1) PPC colluded with several of its industry peers to fix prices in the broiler-chicken market as alleged in the Broilers Litigation</w:t>
      </w:r>
      <w:r>
        <w:rPr>
          <w:rFonts w:ascii="Arial" w:cs="Arial" w:eastAsia="Arial" w:hAnsi="Arial"/>
          <w:sz w:val="13"/>
          <w:szCs w:val="13"/>
          <w:i w:val="1"/>
          <w:iCs w:val="1"/>
          <w:color w:val="auto"/>
        </w:rPr>
        <w:t>,</w:t>
      </w:r>
      <w:r>
        <w:rPr>
          <w:rFonts w:ascii="Arial" w:cs="Arial" w:eastAsia="Arial" w:hAnsi="Arial"/>
          <w:sz w:val="13"/>
          <w:szCs w:val="13"/>
          <w:color w:val="auto"/>
        </w:rPr>
        <w:t xml:space="preserve"> (2) its conduct constituted a violation of federal antitrust laws and (3) PPC’s revenues during the class period were the result of illegal conduct. The complaint seeks compensatory damages as well as attorneys’ fees and costs. On April 4, 2017, the Colorado Court appointed another stockholder, George James Fuller, as lead plaintiff. On May 11, 2017, the plaintiff filed an amended complaint, which extended the end date of the putative class period to November 17, 2016. PPC and the other defendants moved to dismiss the amended complaint on June 12, 2017, and on March 14, 2018, the Colorado Court dismissed the plaintiff’s complaint without prejudice and issued final judgment in favor of PPC and the other defendants. On April 11, 2018, the plaintiff moved for reconsideration of the Colorado Court’s decision and for permission to file a second amended complaint. On November 19, 2018, the Colorado Court denied the plaintiff’s motion for reconsideration, but granted the plaintiff leave to file a second amended complaint. On June 8, 2020, the plaintiff filed a second amended complaint against the same defendants, based in part on the Indictment (defined below). On July 31, 2020, defendants filed a motion to dismiss the second amended complaint. The Colorado Court granted the motion to dismiss on April 19, 2021, and issued judgment in favor of the defendants. On May 17, 2021, the plaintiff filed a motion for amended judgment, which the Colorado Court denied on November 29, 2021. The plaintiff then filed a notice of appeal on December 28, 2021, and the appeal has been opened in the Tenth Circuit, which PPC will oppose in due course. The appeal is expected to be fully briefed by April 15, 2022.</w:t>
      </w:r>
    </w:p>
    <w:p>
      <w:pPr>
        <w:spacing w:after="0" w:line="99"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3"/>
          <w:szCs w:val="13"/>
          <w:color w:val="auto"/>
        </w:rPr>
        <w:t xml:space="preserve">On January 27, 2017, a purported class action on behalf of broiler chicken farmers was brought against PPC and four other producers in the U.S. District Court for the Eastern District of Oklahoma (the “Oklahoma Court”) alleging, among other things, a conspiracy to reduce competition for grower services and depress the price paid to growers. Plaintiffs allege violations of the Sherman Antitrust Act and the Packers and Stockyards Act and seek, among other relief, treble damages. The complaint was consolidated with a subsequently filed class action complaint and was styled as </w:t>
      </w:r>
      <w:r>
        <w:rPr>
          <w:rFonts w:ascii="Arial" w:cs="Arial" w:eastAsia="Arial" w:hAnsi="Arial"/>
          <w:sz w:val="13"/>
          <w:szCs w:val="13"/>
          <w:i w:val="1"/>
          <w:iCs w:val="1"/>
          <w:color w:val="auto"/>
        </w:rPr>
        <w:t>In re Broiler Chicken Grower Litigation,</w:t>
      </w:r>
      <w:r>
        <w:rPr>
          <w:rFonts w:ascii="Arial" w:cs="Arial" w:eastAsia="Arial" w:hAnsi="Arial"/>
          <w:sz w:val="13"/>
          <w:szCs w:val="13"/>
          <w:color w:val="auto"/>
        </w:rPr>
        <w:t xml:space="preserve"> Case No. CIV-17-033-RJS. The defendants (including PPC) jointly moved to dismiss the consolidated amended complaint on September 9, 2017. The Oklahoma Court granted only certain other defendants’ motions challenging jurisdiction. On January 6, 2020, the Oklahoma Court denied the motion to dismiss, and lifted the stay on discovery. On October 6, 2020, the plaintiffs filed a motion with the U.S. Judicial Panel on Multidistrict Litigation (“JPML”) seeking consolidation of a series of copycat complaints filed in September and October 2020 in the U.S. District Courts for the District of Colorado, the District of Kansas, and the Northern District of California. On December 15, 2020, the JPML ordered the transfer of all cases to the Oklahoma Court for consolidated or coordinated pretrial proceedings. On November 8, 2021, the Oklahoma Court entered a revised case management order in the multi-district litigation setting a deadline of August 1, 2022 for the close of fact discovery. That order also set a deadline of March 17, 2023 for the filing of class certification motions, with deadlines of April 28, 2023 for opposition briefing and June 9, 2023 for reply briefing. Under the order, motions for summary judgment are to be filed on July 31, 2023, with oppositions and replies due September 22, 2023, and October 13, 2023, respectively. PPC has recognized an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95" w:name="page96"/>
    <w:bookmarkEnd w:id="9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NOTES TO CONSOLIDATED FINANCIAL STATEMENTS</w:t>
      </w:r>
    </w:p>
    <w:p>
      <w:pPr>
        <w:spacing w:after="0" w:line="391"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 xml:space="preserve">estimate of probable loss as expense that is subject to change. PPC recognized this expense within </w:t>
      </w:r>
      <w:r>
        <w:rPr>
          <w:rFonts w:ascii="Arial" w:cs="Arial" w:eastAsia="Arial" w:hAnsi="Arial"/>
          <w:sz w:val="14"/>
          <w:szCs w:val="14"/>
          <w:i w:val="1"/>
          <w:iCs w:val="1"/>
          <w:color w:val="auto"/>
        </w:rPr>
        <w:t>Selling, general and administrative expense</w:t>
      </w:r>
      <w:r>
        <w:rPr>
          <w:rFonts w:ascii="Arial" w:cs="Arial" w:eastAsia="Arial" w:hAnsi="Arial"/>
          <w:sz w:val="14"/>
          <w:szCs w:val="14"/>
          <w:color w:val="auto"/>
        </w:rPr>
        <w:t xml:space="preserve"> in the Consolidated Statement of Income for the year ended December 26, 2021.</w:t>
      </w:r>
    </w:p>
    <w:p>
      <w:pPr>
        <w:spacing w:after="0" w:line="90" w:lineRule="exact"/>
        <w:rPr>
          <w:sz w:val="20"/>
          <w:szCs w:val="20"/>
          <w:color w:val="auto"/>
        </w:rPr>
      </w:pPr>
    </w:p>
    <w:p>
      <w:pPr>
        <w:jc w:val="both"/>
        <w:ind w:firstLine="509"/>
        <w:spacing w:after="0" w:line="276" w:lineRule="auto"/>
        <w:rPr>
          <w:sz w:val="20"/>
          <w:szCs w:val="20"/>
          <w:color w:val="auto"/>
        </w:rPr>
      </w:pPr>
      <w:r>
        <w:rPr>
          <w:rFonts w:ascii="Arial" w:cs="Arial" w:eastAsia="Arial" w:hAnsi="Arial"/>
          <w:sz w:val="13"/>
          <w:szCs w:val="13"/>
          <w:color w:val="auto"/>
        </w:rPr>
        <w:t xml:space="preserve">On March 9, 2017, a stockholder derivative action, </w:t>
      </w:r>
      <w:r>
        <w:rPr>
          <w:rFonts w:ascii="Arial" w:cs="Arial" w:eastAsia="Arial" w:hAnsi="Arial"/>
          <w:sz w:val="13"/>
          <w:szCs w:val="13"/>
          <w:i w:val="1"/>
          <w:iCs w:val="1"/>
          <w:color w:val="auto"/>
        </w:rPr>
        <w:t>DiSalvio v. Lovette, et al.,</w:t>
      </w:r>
      <w:r>
        <w:rPr>
          <w:rFonts w:ascii="Arial" w:cs="Arial" w:eastAsia="Arial" w:hAnsi="Arial"/>
          <w:sz w:val="13"/>
          <w:szCs w:val="13"/>
          <w:color w:val="auto"/>
        </w:rPr>
        <w:t xml:space="preserve"> No. 2017 cv. 30207, was brought against all of PPC’s directors and its then-Chief Executive Officer, William Lovette, and its then-Chief Financial Officer, Fabio Sandri, in the Nineteenth Judicial District Court for the County of Weld in Colorado (the “Weld County Court”). The complaint alleges, among other things, that the named defendants breached their fiduciary duties by failing to prevent PPC and its officers from engaging in an antitrust conspiracy as alleged in the Broilers Litigation</w:t>
      </w:r>
      <w:r>
        <w:rPr>
          <w:rFonts w:ascii="Arial" w:cs="Arial" w:eastAsia="Arial" w:hAnsi="Arial"/>
          <w:sz w:val="13"/>
          <w:szCs w:val="13"/>
          <w:i w:val="1"/>
          <w:iCs w:val="1"/>
          <w:color w:val="auto"/>
        </w:rPr>
        <w:t>,</w:t>
      </w:r>
      <w:r>
        <w:rPr>
          <w:rFonts w:ascii="Arial" w:cs="Arial" w:eastAsia="Arial" w:hAnsi="Arial"/>
          <w:sz w:val="13"/>
          <w:szCs w:val="13"/>
          <w:color w:val="auto"/>
        </w:rPr>
        <w:t xml:space="preserve"> and issuing false and misleading statements as alleged in the Hogan Litigation. On April 17, 2017, a related stockholder derivative action, </w:t>
      </w:r>
      <w:r>
        <w:rPr>
          <w:rFonts w:ascii="Arial" w:cs="Arial" w:eastAsia="Arial" w:hAnsi="Arial"/>
          <w:sz w:val="13"/>
          <w:szCs w:val="13"/>
          <w:i w:val="1"/>
          <w:iCs w:val="1"/>
          <w:color w:val="auto"/>
        </w:rPr>
        <w:t>Brima v. Lovette, et al.,</w:t>
      </w:r>
      <w:r>
        <w:rPr>
          <w:rFonts w:ascii="Arial" w:cs="Arial" w:eastAsia="Arial" w:hAnsi="Arial"/>
          <w:sz w:val="13"/>
          <w:szCs w:val="13"/>
          <w:color w:val="auto"/>
        </w:rPr>
        <w:t xml:space="preserve"> No. 2017 cv. 30308, was brought against all of PPC’s directors and Messrs. Lovette and Sandri in the Weld County Court. The Brima complaint contains largely the same allegations as the DiSalvio complaint. The DiSalvio and Brima litigations (collectively, the “Derivative Litigation”) were consolidated on May 4, 2017. On October 14, 2020, an amended shareholder derivative complaint was filed that added former PPC executives Jayson Penn, Roger Austin and Jimmie Little as named defendants and alleges, among other things, that the named defendants breached their fiduciary duties by (1) failing to prevent PPC from engaging in an antitrust conspiracy as alleged in the Broilers Litigation, the Indictment (as defined below), and other related proceedings; and (2) failing to prevent the issuance of false and misleading statements as alleged in the Hogan Litigation and the UFCW Litigation (as defined below). The Derivative Litigation was stayed, pending the resolution of the motion to dismiss in the Hogan Litigation described above. Following the Colorado Court granting defendants’ motion to dismiss in the Hogan Litigation, the stay was lifted. The parties then filed a joint motion to continue the stay pending the Colorado Court’s decision on the motion for amended judgment, which the Weld County Court granted on June 22, 2021. Upon the Colorado Court’s denial of plaintiff’s motion for amended judgment in the Hogan Litigation, the stay was again lifted. On February 4, 2022, the Weld County Court ordered another stay until the earlier of (1) resolution of the appeal in the Hogan Litigation or (2) an order ruling on the motion to dismiss in the UFCW Litigation.</w:t>
      </w:r>
    </w:p>
    <w:p>
      <w:pPr>
        <w:spacing w:after="0" w:line="99" w:lineRule="exact"/>
        <w:rPr>
          <w:sz w:val="20"/>
          <w:szCs w:val="20"/>
          <w:color w:val="auto"/>
        </w:rPr>
      </w:pPr>
    </w:p>
    <w:p>
      <w:pPr>
        <w:jc w:val="both"/>
        <w:ind w:firstLine="509"/>
        <w:spacing w:after="0" w:line="276" w:lineRule="auto"/>
        <w:rPr>
          <w:sz w:val="20"/>
          <w:szCs w:val="20"/>
          <w:color w:val="auto"/>
        </w:rPr>
      </w:pPr>
      <w:r>
        <w:rPr>
          <w:rFonts w:ascii="Arial" w:cs="Arial" w:eastAsia="Arial" w:hAnsi="Arial"/>
          <w:sz w:val="13"/>
          <w:szCs w:val="13"/>
          <w:color w:val="auto"/>
        </w:rPr>
        <w:t xml:space="preserve">Between August 30, 2019 and October 16, 2019, four purported class action lawsuits were filed in the U.S. District Court for the District of Maryland (“Maryland Court”) against PPC and a number of other chicken producers, as well as Webber, Meng, Sahl &amp; Company and Agri Stats. The plaintiffs seek to represent a nationwide class of processing plant production and maintenance workers (“Plant Workers”). They allege that the defendants conspired to fix and depress the compensation paid to Plant Workers in violation of the Sherman Act and seek damages from January 1, 2009 to the present. On November 12, 2019, the Maryland Court ordered the consolidation of the four cases for pretrial purposes. The defendants (including PPC) jointly moved to dismiss the consolidated complaint on November 22, 2019. Shortly thereafter, the plaintiffs amended their complaint on December 20, 2019. The consolidated amended complaint asserts largely similar allegations to the pleadings in the consolidated complaint, but was extended to include more class members and turkey processors as well as chicken processors. The defendants filed motions to dismiss the consolidated amended complaint on March 2, 2020. The Maryland Court dismissed PPC and a number of other defendants on September 16, 2020 without prejudice. The plaintiffs subsequently filed amended complaints on November 2, 2020 re-naming PPC and the other dismissed defendants. Defendants moved to dismiss on December 18, 2020, which the Maryland Court denied on March 10, 2021. On June 14, 2021, PPC entered into a binding Settlement Agreement to settle all claims with the putative class of Plant Workers for $29.0 million and paid the plaintiffs this amount during the third quarter of 2021. PPC recognized this expense in </w:t>
      </w:r>
      <w:r>
        <w:rPr>
          <w:rFonts w:ascii="Arial" w:cs="Arial" w:eastAsia="Arial" w:hAnsi="Arial"/>
          <w:sz w:val="13"/>
          <w:szCs w:val="13"/>
          <w:i w:val="1"/>
          <w:iCs w:val="1"/>
          <w:color w:val="auto"/>
        </w:rPr>
        <w:t>Selling, general and administrative expense</w:t>
      </w:r>
      <w:r>
        <w:rPr>
          <w:rFonts w:ascii="Arial" w:cs="Arial" w:eastAsia="Arial" w:hAnsi="Arial"/>
          <w:sz w:val="13"/>
          <w:szCs w:val="13"/>
          <w:color w:val="auto"/>
        </w:rPr>
        <w:t xml:space="preserve"> in the Consolidated Statement of Income for the year ended December 26, 2021. On December 17, 2021, the plaintiffs filed a motion for leave to amend their complaint. The motion will not be fully briefed until March 4, 2022 at the earliest, and the Maryland Court will have to rule on the motion. The PPC Settlement Agreement is still subject to final approval by the Maryland Court.</w:t>
      </w:r>
    </w:p>
    <w:p>
      <w:pPr>
        <w:spacing w:after="0" w:line="101"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4"/>
          <w:szCs w:val="14"/>
          <w:color w:val="auto"/>
        </w:rPr>
        <w:t>On July 6, 2020, United Food and Commercial Workers International Union Local 464A (“UFCW”), acting on behalf of itself and a putative class of persons who purchased shares of PPC stock between February 9, 2017 and June 3, 2020, filed a class action complaint in the Colorado Court against PPC, and Messrs. Lovette, Penn, and Sandri (the “UFCW Litigation”). The complaint alleges, among other things, that PPC’s public statements regarding its business and the drivers behind its financial results were false and misleading due to the defendants’ purported failure to disclose its participation in an antitrust conspiracy as alleged in the Broilers Litigation and the Indictment (defined below). On September 4, 2020, UFCW and the New Mexico State Investment Council (“NMSIC”) filed competing motions to be appointed lead plaintiff under the Private Litigation Securities Reform Act, and on March 17, 2021, the court appointed NMSIC as lead plaintiff. On May 26, 2021, NMSIC filed an amended complaint, and PPC and the other defendants moved to dismiss the amended complaint on July 19, 2021, which is now fully briefed. The Colorado Court’s decision on the motion to dismiss is currently pending.</w:t>
      </w:r>
    </w:p>
    <w:p>
      <w:pPr>
        <w:spacing w:after="0" w:line="109"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4"/>
          <w:szCs w:val="14"/>
          <w:color w:val="auto"/>
        </w:rPr>
        <w:t>PPC cannot predict the outcome of these pending litigations nor when they will be resolved. The consequences of the pending litigation matters are inherently uncertain, and adverse actions, judgments or settlements in some or all of these matters may result in materially adverse monetary damages, fines, penalties or injunctive relief against PPC. Any claims or litigation, even if fully indemnified or insured, could damage PPC’s reputation and make it more difficult to compete effectively or to obtain adequate insurance in the future.</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96" w:name="page97"/>
    <w:bookmarkEnd w:id="9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NOTES TO CONSOLIDATED FINANCIAL STATEMENTS</w:t>
      </w:r>
    </w:p>
    <w:p>
      <w:pPr>
        <w:spacing w:after="0" w:line="39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DOJ Antitrust Matter</w:t>
      </w:r>
    </w:p>
    <w:p>
      <w:pPr>
        <w:spacing w:after="0" w:line="136" w:lineRule="exact"/>
        <w:rPr>
          <w:sz w:val="20"/>
          <w:szCs w:val="20"/>
          <w:color w:val="auto"/>
        </w:rPr>
      </w:pPr>
    </w:p>
    <w:p>
      <w:pPr>
        <w:ind w:left="520"/>
        <w:spacing w:after="0"/>
        <w:rPr>
          <w:sz w:val="20"/>
          <w:szCs w:val="20"/>
          <w:color w:val="auto"/>
        </w:rPr>
      </w:pPr>
      <w:r>
        <w:rPr>
          <w:rFonts w:ascii="Arial" w:cs="Arial" w:eastAsia="Arial" w:hAnsi="Arial"/>
          <w:sz w:val="13"/>
          <w:szCs w:val="13"/>
          <w:color w:val="auto"/>
        </w:rPr>
        <w:t>On July 1, 2019, the DOJ issued a subpoena to PPC in connection with its investigation arising from the Broilers Litigation. The Company has been cooperating with the DOJ investigation.</w:t>
      </w:r>
    </w:p>
    <w:p>
      <w:pPr>
        <w:spacing w:after="0" w:line="148" w:lineRule="exact"/>
        <w:rPr>
          <w:sz w:val="20"/>
          <w:szCs w:val="20"/>
          <w:color w:val="auto"/>
        </w:rPr>
      </w:pPr>
    </w:p>
    <w:p>
      <w:pPr>
        <w:jc w:val="both"/>
        <w:ind w:firstLine="509"/>
        <w:spacing w:after="0" w:line="280" w:lineRule="auto"/>
        <w:rPr>
          <w:sz w:val="20"/>
          <w:szCs w:val="20"/>
          <w:color w:val="auto"/>
        </w:rPr>
      </w:pPr>
      <w:r>
        <w:rPr>
          <w:rFonts w:ascii="Arial" w:cs="Arial" w:eastAsia="Arial" w:hAnsi="Arial"/>
          <w:sz w:val="13"/>
          <w:szCs w:val="13"/>
          <w:color w:val="auto"/>
        </w:rPr>
        <w:t>On June 3, 2020, PPC learned of an indictment by a Grand Jury in the Colorado Court against Jayson Penn, the chief executive officer and president of PPC at that time, in addition to two former employees of PPC and a former employee of a different company (the “Indictment”). The Indictment alleges that the defendants entered into and engaged in a conspiracy to suppress and eliminate competition by rigging bids and fixing prices and other price-related terms for broiler chicken products sold in the U.S., in violation of Section 1 of the Sherman Antitrust Act. On June 4, 2020, PPC learned that Mr. Penn pleaded not guilty to the charges. Effective June 15, 2020, Mr. Penn began a paid leave of absence from PPC. In connection with Mr. Penn’s leave of absence, PPC’s Board of Directors appointed the Chief Financial Officer of PPC, Mr. Sandri, to serve in the additional role of PPC’s interim President and Chief Executive Officer. On September 22, 2020, PPC disclosed that Mr. Penn was no longer with the Company. On the same day, PPC’s Board of Directors appointed Mr. Sandri as PPC’s President and Chief Executive Officer in addition to his role as Chief Financial Officer. On February 10, 2021, PPC appointed Matthew Galvanoni to succeed Mr. Sandri in his role as Chief Financial Officer, effective March 15, 2021.</w:t>
      </w:r>
    </w:p>
    <w:p>
      <w:pPr>
        <w:spacing w:after="0" w:line="95"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4"/>
          <w:szCs w:val="14"/>
          <w:color w:val="auto"/>
        </w:rPr>
        <w:t>On October 6, 2020, PPC learned of a superseding indictment by a Grand Jury in the Colorado Court against former Chief Executive Officer of PPC, William Lovette, one additional former employee of PPC, and four employees of different companies (the “Superseding Indictment” and together with the Indictment, the “First Indictment”). The Superseding Indictment alleges similar claims to the Indictment.</w:t>
      </w:r>
    </w:p>
    <w:p>
      <w:pPr>
        <w:spacing w:after="0" w:line="99" w:lineRule="exact"/>
        <w:rPr>
          <w:sz w:val="20"/>
          <w:szCs w:val="20"/>
          <w:color w:val="auto"/>
        </w:rPr>
      </w:pPr>
    </w:p>
    <w:p>
      <w:pPr>
        <w:jc w:val="both"/>
        <w:ind w:firstLine="509"/>
        <w:spacing w:after="0" w:line="282" w:lineRule="auto"/>
        <w:rPr>
          <w:sz w:val="20"/>
          <w:szCs w:val="20"/>
          <w:color w:val="auto"/>
        </w:rPr>
      </w:pPr>
      <w:r>
        <w:rPr>
          <w:rFonts w:ascii="Arial" w:cs="Arial" w:eastAsia="Arial" w:hAnsi="Arial"/>
          <w:sz w:val="13"/>
          <w:szCs w:val="13"/>
          <w:color w:val="auto"/>
        </w:rPr>
        <w:t xml:space="preserve">On October 13, 2020, the Company announced that it had entered into a plea agreement (the “Plea Agreement”) with the DOJ pursuant to which the Company agreed to (1) plead guilty to one count of conspiracy in restraint of competition involving sales of broiler chicken products in the U.S. in violation of Section 1 of the Sherman Antitrust Act, and (2) pay a fine of $110.5 million. The Company recognized the fine as expense which is included in </w:t>
      </w:r>
      <w:r>
        <w:rPr>
          <w:rFonts w:ascii="Arial" w:cs="Arial" w:eastAsia="Arial" w:hAnsi="Arial"/>
          <w:sz w:val="13"/>
          <w:szCs w:val="13"/>
          <w:i w:val="1"/>
          <w:iCs w:val="1"/>
          <w:color w:val="auto"/>
        </w:rPr>
        <w:t>Selling, general and administrative expense</w:t>
      </w:r>
      <w:r>
        <w:rPr>
          <w:rFonts w:ascii="Arial" w:cs="Arial" w:eastAsia="Arial" w:hAnsi="Arial"/>
          <w:sz w:val="13"/>
          <w:szCs w:val="13"/>
          <w:color w:val="auto"/>
        </w:rPr>
        <w:t xml:space="preserve"> in the Consolidated Statement of Income for the year ended December 27, 2020. Under the Plea Agreement, the DOJ agreed not to bring further charges against the Company for any antitrust violation involving the sale of broiler chicken products in the U.S. occurring prior to the date of the Plea Agreement. On February 23, 2021, the Colorado Court approved the Plea Agreement and assessed as an amended fine of $107.9 million. The Company continues to cooperate with the DOJ in connection with the ongoing federal antitrust investigation into alleged price fixing and other anticompetitive conduct in the broiler chicken industry.</w:t>
      </w:r>
    </w:p>
    <w:p>
      <w:pPr>
        <w:spacing w:after="0" w:line="92" w:lineRule="exact"/>
        <w:rPr>
          <w:sz w:val="20"/>
          <w:szCs w:val="20"/>
          <w:color w:val="auto"/>
        </w:rPr>
      </w:pPr>
    </w:p>
    <w:p>
      <w:pPr>
        <w:jc w:val="both"/>
        <w:ind w:firstLine="509"/>
        <w:spacing w:after="0" w:line="281" w:lineRule="auto"/>
        <w:rPr>
          <w:sz w:val="20"/>
          <w:szCs w:val="20"/>
          <w:color w:val="auto"/>
        </w:rPr>
      </w:pPr>
      <w:r>
        <w:rPr>
          <w:rFonts w:ascii="Arial" w:cs="Arial" w:eastAsia="Arial" w:hAnsi="Arial"/>
          <w:sz w:val="14"/>
          <w:szCs w:val="14"/>
          <w:color w:val="auto"/>
        </w:rPr>
        <w:t>On July 29, 2021, PPC learned of an additional indictment by a Grand Jury in the Colorado Court against four former employees of PPC (the “Second Indictment”), which alleged similar claims to the First Indictment.</w:t>
      </w:r>
    </w:p>
    <w:p>
      <w:pPr>
        <w:spacing w:after="0" w:line="90" w:lineRule="exact"/>
        <w:rPr>
          <w:sz w:val="20"/>
          <w:szCs w:val="20"/>
          <w:color w:val="auto"/>
        </w:rPr>
      </w:pPr>
    </w:p>
    <w:p>
      <w:pPr>
        <w:jc w:val="both"/>
        <w:ind w:firstLine="509"/>
        <w:spacing w:after="0" w:line="281" w:lineRule="auto"/>
        <w:rPr>
          <w:sz w:val="20"/>
          <w:szCs w:val="20"/>
          <w:color w:val="auto"/>
        </w:rPr>
      </w:pPr>
      <w:r>
        <w:rPr>
          <w:rFonts w:ascii="Arial" w:cs="Arial" w:eastAsia="Arial" w:hAnsi="Arial"/>
          <w:sz w:val="14"/>
          <w:szCs w:val="14"/>
          <w:color w:val="auto"/>
        </w:rPr>
        <w:t>A trial pursuant to the First Indictment commenced on October 25, 2021 and ended on December 16, 2021. The jury did not return a verdict and the Court declared a mistrial. The DOJ is expected to retry the case beginning on February 22, 2022. A trial pursuant to the Second Indictment is currently scheduled to begin on July 18, 2022.</w:t>
      </w:r>
    </w:p>
    <w:p>
      <w:pPr>
        <w:spacing w:after="0" w:line="90" w:lineRule="exact"/>
        <w:rPr>
          <w:sz w:val="20"/>
          <w:szCs w:val="20"/>
          <w:color w:val="auto"/>
        </w:rPr>
      </w:pPr>
    </w:p>
    <w:p>
      <w:pPr>
        <w:ind w:left="520"/>
        <w:spacing w:after="0"/>
        <w:rPr>
          <w:sz w:val="20"/>
          <w:szCs w:val="20"/>
          <w:color w:val="auto"/>
        </w:rPr>
      </w:pPr>
      <w:r>
        <w:rPr>
          <w:rFonts w:ascii="Arial" w:cs="Arial" w:eastAsia="Arial" w:hAnsi="Arial"/>
          <w:sz w:val="13"/>
          <w:szCs w:val="13"/>
          <w:color w:val="auto"/>
        </w:rPr>
        <w:t>On February 9, 2022, the Company learned that the DOJ has opened a civil investigation into human resources antitrust matters. The Company plans to cooperate when a CID is served.</w:t>
      </w:r>
    </w:p>
    <w:p>
      <w:pPr>
        <w:spacing w:after="0" w:line="148"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U.S. government’s recent focus and attention on market dynamics in the meat processing industry could expose PPC to additional costs and risks.</w:t>
      </w:r>
    </w:p>
    <w:p>
      <w:pPr>
        <w:spacing w:after="0" w:line="132"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b w:val="1"/>
          <w:bCs w:val="1"/>
          <w:color w:val="auto"/>
        </w:rPr>
        <w:t>21.</w:t>
        <w:tab/>
        <w:t>MARKET RISKS AND CONCENTRATIONS</w:t>
      </w:r>
    </w:p>
    <w:p>
      <w:pPr>
        <w:spacing w:after="0" w:line="140" w:lineRule="exact"/>
        <w:rPr>
          <w:sz w:val="20"/>
          <w:szCs w:val="20"/>
          <w:color w:val="auto"/>
        </w:rPr>
      </w:pPr>
    </w:p>
    <w:p>
      <w:pPr>
        <w:jc w:val="both"/>
        <w:ind w:firstLine="509"/>
        <w:spacing w:after="0" w:line="284" w:lineRule="auto"/>
        <w:rPr>
          <w:sz w:val="20"/>
          <w:szCs w:val="20"/>
          <w:color w:val="auto"/>
        </w:rPr>
      </w:pPr>
      <w:r>
        <w:rPr>
          <w:rFonts w:ascii="Arial" w:cs="Arial" w:eastAsia="Arial" w:hAnsi="Arial"/>
          <w:sz w:val="13"/>
          <w:szCs w:val="13"/>
          <w:color w:val="auto"/>
        </w:rPr>
        <w:t>The Company’s financial instruments that are exposed to concentrations of credit risk consist primarily of cash equivalents, investment securities and trade accounts receivable. The Company’s cash equivalents and investment securities are high-quality debt and equity securities placed with major banks and financial institutions. The Company’s trade accounts receivable are generally unsecured. Credit evaluations are performed on all significant customers and updated as circumstances dictate. Concentrations of credit risk with respect to trade accounts receivable are limited due to the large number of customers and their dispersion across geographic areas. The Company does not have a single customer that exceeds the 10% of net sales. For the year ended December 26, 2021, our largest single customer was 7.1% of net sales. The Company does not believe it has significant concentrations of credit risk in its trade accounts receivable.</w:t>
      </w:r>
    </w:p>
    <w:p>
      <w:pPr>
        <w:spacing w:after="0" w:line="92"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4"/>
          <w:szCs w:val="14"/>
          <w:color w:val="auto"/>
        </w:rPr>
        <w:t>As of December 26, 2021, we employed almost 59,400 persons. Approximately 45.4% of the Company’s employees were covered under collective bargaining agreements. Substantially all employees covered under collective bargaining agreements are covered under agreements that expire in 2021 or later. We have not experienced any labor-related work stoppage at any location in over ten years. We believe our relationship with our employees and union leadership is satisfactory.</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97" w:name="page98"/>
    <w:bookmarkEnd w:id="9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NOTES TO CONSOLIDATED FINANCIAL STATEMENTS</w:t>
      </w:r>
    </w:p>
    <w:p>
      <w:pPr>
        <w:spacing w:after="0" w:line="391"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At any given time, we will likely be in some stage of contract negotiations with various collective bargaining units. In the absence of an agreement, we may become subject to labor disruption at one or more of these locations, which could have an adverse effect on our financial results.</w:t>
      </w:r>
    </w:p>
    <w:p>
      <w:pPr>
        <w:spacing w:after="0" w:line="90" w:lineRule="exact"/>
        <w:rPr>
          <w:sz w:val="20"/>
          <w:szCs w:val="20"/>
          <w:color w:val="auto"/>
        </w:rPr>
      </w:pPr>
    </w:p>
    <w:p>
      <w:pPr>
        <w:ind w:firstLine="509"/>
        <w:spacing w:after="0" w:line="321" w:lineRule="auto"/>
        <w:rPr>
          <w:sz w:val="20"/>
          <w:szCs w:val="20"/>
          <w:color w:val="auto"/>
        </w:rPr>
      </w:pPr>
      <w:r>
        <w:rPr>
          <w:rFonts w:ascii="Arial" w:cs="Arial" w:eastAsia="Arial" w:hAnsi="Arial"/>
          <w:sz w:val="13"/>
          <w:szCs w:val="13"/>
          <w:color w:val="auto"/>
        </w:rPr>
        <w:t>As of December 26, 2021, the aggregate carrying amount of net assets belonging to our Mexico and U.K. and Europe reportable segments was $1.1 billion and $3.2 billion, respectively. As of December 27, 2020, the aggregate carrying amount of net assets belonging to our Mexico and U.K. and Europe reportable segments was $922.5 million and $2.3 billion, respectively.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SCHEDULE II</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PILGRIM’S PRIDE CORPORATION</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VALUATION AND QUALIFYING ACCOUNTS</w:t>
      </w:r>
    </w:p>
    <w:p>
      <w:pPr>
        <w:spacing w:after="0" w:line="155" w:lineRule="exact"/>
        <w:rPr>
          <w:sz w:val="20"/>
          <w:szCs w:val="20"/>
          <w:color w:val="auto"/>
        </w:rPr>
      </w:pPr>
    </w:p>
    <w:tbl>
      <w:tblPr>
        <w:tblLayout w:type="fixed"/>
        <w:tblInd w:w="180" w:type="dxa"/>
        <w:tblCellMar>
          <w:top w:w="0" w:type="dxa"/>
          <w:left w:w="0" w:type="dxa"/>
          <w:bottom w:w="0" w:type="dxa"/>
          <w:right w:w="0" w:type="dxa"/>
        </w:tblCellMar>
      </w:tblPr>
      <w:tr>
        <w:trPr>
          <w:trHeight w:val="151"/>
        </w:trPr>
        <w:tc>
          <w:tcPr>
            <w:tcW w:w="4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rPr>
              <w:t>Additions</w:t>
            </w:r>
          </w:p>
        </w:tc>
        <w:tc>
          <w:tcPr>
            <w:tcW w:w="86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1"/>
        </w:trPr>
        <w:tc>
          <w:tcPr>
            <w:tcW w:w="4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vMerge w:val="restart"/>
          </w:tcPr>
          <w:p>
            <w:pPr>
              <w:jc w:val="right"/>
              <w:ind w:right="338"/>
              <w:spacing w:after="0"/>
              <w:rPr>
                <w:sz w:val="20"/>
                <w:szCs w:val="20"/>
                <w:color w:val="auto"/>
              </w:rPr>
            </w:pPr>
            <w:r>
              <w:rPr>
                <w:rFonts w:ascii="Arial" w:cs="Arial" w:eastAsia="Arial" w:hAnsi="Arial"/>
                <w:sz w:val="11"/>
                <w:szCs w:val="11"/>
                <w:b w:val="1"/>
                <w:bCs w:val="1"/>
                <w:color w:val="auto"/>
              </w:rPr>
              <w:t>Beginning</w:t>
            </w:r>
          </w:p>
        </w:tc>
        <w:tc>
          <w:tcPr>
            <w:tcW w:w="100" w:type="dxa"/>
            <w:vAlign w:val="bottom"/>
          </w:tcPr>
          <w:p>
            <w:pPr>
              <w:spacing w:after="0"/>
              <w:rPr>
                <w:sz w:val="8"/>
                <w:szCs w:val="8"/>
                <w:color w:val="auto"/>
              </w:rPr>
            </w:pPr>
          </w:p>
        </w:tc>
        <w:tc>
          <w:tcPr>
            <w:tcW w:w="1040" w:type="dxa"/>
            <w:vAlign w:val="bottom"/>
            <w:vMerge w:val="restart"/>
          </w:tcPr>
          <w:p>
            <w:pPr>
              <w:jc w:val="right"/>
              <w:ind w:right="278"/>
              <w:spacing w:after="0"/>
              <w:rPr>
                <w:sz w:val="20"/>
                <w:szCs w:val="20"/>
                <w:color w:val="auto"/>
              </w:rPr>
            </w:pPr>
            <w:r>
              <w:rPr>
                <w:rFonts w:ascii="Arial" w:cs="Arial" w:eastAsia="Arial" w:hAnsi="Arial"/>
                <w:sz w:val="11"/>
                <w:szCs w:val="11"/>
                <w:b w:val="1"/>
                <w:bCs w:val="1"/>
                <w:color w:val="auto"/>
              </w:rPr>
              <w:t>Charged to</w:t>
            </w:r>
          </w:p>
        </w:tc>
        <w:tc>
          <w:tcPr>
            <w:tcW w:w="300" w:type="dxa"/>
            <w:vAlign w:val="bottom"/>
          </w:tcPr>
          <w:p>
            <w:pPr>
              <w:spacing w:after="0"/>
              <w:rPr>
                <w:sz w:val="8"/>
                <w:szCs w:val="8"/>
                <w:color w:val="auto"/>
              </w:rPr>
            </w:pPr>
          </w:p>
        </w:tc>
        <w:tc>
          <w:tcPr>
            <w:tcW w:w="860" w:type="dxa"/>
            <w:vAlign w:val="bottom"/>
          </w:tcPr>
          <w:p>
            <w:pPr>
              <w:jc w:val="center"/>
              <w:ind w:right="179"/>
              <w:spacing w:after="0" w:line="101" w:lineRule="exact"/>
              <w:rPr>
                <w:sz w:val="20"/>
                <w:szCs w:val="20"/>
                <w:color w:val="auto"/>
              </w:rPr>
            </w:pPr>
            <w:r>
              <w:rPr>
                <w:rFonts w:ascii="Arial" w:cs="Arial" w:eastAsia="Arial" w:hAnsi="Arial"/>
                <w:sz w:val="11"/>
                <w:szCs w:val="11"/>
                <w:b w:val="1"/>
                <w:bCs w:val="1"/>
                <w:color w:val="auto"/>
                <w:w w:val="92"/>
              </w:rPr>
              <w:t>Charged to</w:t>
            </w:r>
          </w:p>
        </w:tc>
        <w:tc>
          <w:tcPr>
            <w:tcW w:w="2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900" w:type="dxa"/>
            <w:vAlign w:val="bottom"/>
            <w:vMerge w:val="restart"/>
          </w:tcPr>
          <w:p>
            <w:pPr>
              <w:jc w:val="right"/>
              <w:ind w:right="318"/>
              <w:spacing w:after="0"/>
              <w:rPr>
                <w:sz w:val="20"/>
                <w:szCs w:val="20"/>
                <w:color w:val="auto"/>
              </w:rPr>
            </w:pPr>
            <w:r>
              <w:rPr>
                <w:rFonts w:ascii="Arial" w:cs="Arial" w:eastAsia="Arial" w:hAnsi="Arial"/>
                <w:sz w:val="11"/>
                <w:szCs w:val="11"/>
                <w:b w:val="1"/>
                <w:bCs w:val="1"/>
                <w:color w:val="auto"/>
              </w:rPr>
              <w:t>Ending</w:t>
            </w:r>
          </w:p>
        </w:tc>
        <w:tc>
          <w:tcPr>
            <w:tcW w:w="0" w:type="dxa"/>
            <w:vAlign w:val="bottom"/>
          </w:tcPr>
          <w:p>
            <w:pPr>
              <w:spacing w:after="0"/>
              <w:rPr>
                <w:sz w:val="1"/>
                <w:szCs w:val="1"/>
                <w:color w:val="auto"/>
              </w:rPr>
            </w:pPr>
          </w:p>
        </w:tc>
      </w:tr>
      <w:tr>
        <w:trPr>
          <w:trHeight w:val="106"/>
        </w:trPr>
        <w:tc>
          <w:tcPr>
            <w:tcW w:w="4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860" w:type="dxa"/>
            <w:vAlign w:val="bottom"/>
          </w:tcPr>
          <w:p>
            <w:pPr>
              <w:jc w:val="center"/>
              <w:ind w:right="199"/>
              <w:spacing w:after="0" w:line="106" w:lineRule="exact"/>
              <w:rPr>
                <w:sz w:val="20"/>
                <w:szCs w:val="20"/>
                <w:color w:val="auto"/>
              </w:rPr>
            </w:pPr>
            <w:r>
              <w:rPr>
                <w:rFonts w:ascii="Arial" w:cs="Arial" w:eastAsia="Arial" w:hAnsi="Arial"/>
                <w:sz w:val="11"/>
                <w:szCs w:val="11"/>
                <w:b w:val="1"/>
                <w:bCs w:val="1"/>
                <w:color w:val="auto"/>
                <w:w w:val="95"/>
              </w:rPr>
              <w:t>Other</w:t>
            </w:r>
          </w:p>
        </w:tc>
        <w:tc>
          <w:tcPr>
            <w:tcW w:w="280" w:type="dxa"/>
            <w:vAlign w:val="bottom"/>
          </w:tcPr>
          <w:p>
            <w:pPr>
              <w:spacing w:after="0"/>
              <w:rPr>
                <w:sz w:val="9"/>
                <w:szCs w:val="9"/>
                <w:color w:val="auto"/>
              </w:rPr>
            </w:pPr>
          </w:p>
        </w:tc>
        <w:tc>
          <w:tcPr>
            <w:tcW w:w="900" w:type="dxa"/>
            <w:vAlign w:val="bottom"/>
            <w:vMerge w:val="restart"/>
          </w:tcPr>
          <w:p>
            <w:pPr>
              <w:jc w:val="right"/>
              <w:ind w:right="202"/>
              <w:spacing w:after="0"/>
              <w:rPr>
                <w:sz w:val="20"/>
                <w:szCs w:val="20"/>
                <w:color w:val="auto"/>
              </w:rPr>
            </w:pPr>
            <w:r>
              <w:rPr>
                <w:rFonts w:ascii="Arial" w:cs="Arial" w:eastAsia="Arial" w:hAnsi="Arial"/>
                <w:sz w:val="11"/>
                <w:szCs w:val="11"/>
                <w:b w:val="1"/>
                <w:bCs w:val="1"/>
                <w:color w:val="auto"/>
              </w:rPr>
              <w:t>Deductions</w:t>
            </w: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7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398"/>
              <w:spacing w:after="0"/>
              <w:rPr>
                <w:sz w:val="20"/>
                <w:szCs w:val="20"/>
                <w:color w:val="auto"/>
              </w:rPr>
            </w:pPr>
            <w:r>
              <w:rPr>
                <w:rFonts w:ascii="Arial" w:cs="Arial" w:eastAsia="Arial" w:hAnsi="Arial"/>
                <w:sz w:val="11"/>
                <w:szCs w:val="11"/>
                <w:b w:val="1"/>
                <w:bCs w:val="1"/>
                <w:color w:val="auto"/>
              </w:rPr>
              <w:t>Balance</w:t>
            </w:r>
          </w:p>
        </w:tc>
        <w:tc>
          <w:tcPr>
            <w:tcW w:w="1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98"/>
              <w:spacing w:after="0"/>
              <w:rPr>
                <w:sz w:val="20"/>
                <w:szCs w:val="20"/>
                <w:color w:val="auto"/>
              </w:rPr>
            </w:pPr>
            <w:r>
              <w:rPr>
                <w:rFonts w:ascii="Arial" w:cs="Arial" w:eastAsia="Arial" w:hAnsi="Arial"/>
                <w:sz w:val="11"/>
                <w:szCs w:val="11"/>
                <w:b w:val="1"/>
                <w:bCs w:val="1"/>
                <w:color w:val="auto"/>
                <w:w w:val="90"/>
              </w:rPr>
              <w:t>Operating Results</w:t>
            </w:r>
          </w:p>
        </w:tc>
        <w:tc>
          <w:tcPr>
            <w:tcW w:w="3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center"/>
              <w:ind w:right="179"/>
              <w:spacing w:after="0"/>
              <w:rPr>
                <w:sz w:val="20"/>
                <w:szCs w:val="20"/>
                <w:color w:val="auto"/>
              </w:rPr>
            </w:pPr>
            <w:r>
              <w:rPr>
                <w:rFonts w:ascii="Arial" w:cs="Arial" w:eastAsia="Arial" w:hAnsi="Arial"/>
                <w:sz w:val="11"/>
                <w:szCs w:val="11"/>
                <w:b w:val="1"/>
                <w:bCs w:val="1"/>
                <w:color w:val="auto"/>
                <w:w w:val="91"/>
              </w:rPr>
              <w:t>Accounts</w:t>
            </w:r>
          </w:p>
        </w:tc>
        <w:tc>
          <w:tcPr>
            <w:tcW w:w="2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vMerge w:val="continue"/>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98"/>
              <w:spacing w:after="0"/>
              <w:rPr>
                <w:sz w:val="20"/>
                <w:szCs w:val="20"/>
                <w:color w:val="auto"/>
              </w:rPr>
            </w:pPr>
            <w:r>
              <w:rPr>
                <w:rFonts w:ascii="Arial" w:cs="Arial" w:eastAsia="Arial" w:hAnsi="Arial"/>
                <w:sz w:val="11"/>
                <w:szCs w:val="11"/>
                <w:b w:val="1"/>
                <w:bCs w:val="1"/>
                <w:color w:val="auto"/>
              </w:rPr>
              <w:t>Balance</w:t>
            </w:r>
          </w:p>
        </w:tc>
        <w:tc>
          <w:tcPr>
            <w:tcW w:w="0" w:type="dxa"/>
            <w:vAlign w:val="bottom"/>
          </w:tcPr>
          <w:p>
            <w:pPr>
              <w:spacing w:after="0"/>
              <w:rPr>
                <w:sz w:val="1"/>
                <w:szCs w:val="1"/>
                <w:color w:val="auto"/>
              </w:rPr>
            </w:pPr>
          </w:p>
        </w:tc>
      </w:tr>
      <w:tr>
        <w:trPr>
          <w:trHeight w:val="124"/>
        </w:trPr>
        <w:tc>
          <w:tcPr>
            <w:tcW w:w="4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60" w:type="dxa"/>
            <w:vAlign w:val="bottom"/>
          </w:tcPr>
          <w:p>
            <w:pPr>
              <w:jc w:val="right"/>
              <w:ind w:right="59"/>
              <w:spacing w:after="0"/>
              <w:rPr>
                <w:sz w:val="20"/>
                <w:szCs w:val="20"/>
                <w:color w:val="auto"/>
              </w:rPr>
            </w:pPr>
            <w:r>
              <w:rPr>
                <w:rFonts w:ascii="Arial" w:cs="Arial" w:eastAsia="Arial" w:hAnsi="Arial"/>
                <w:sz w:val="10"/>
                <w:szCs w:val="10"/>
                <w:b w:val="1"/>
                <w:bCs w:val="1"/>
                <w:color w:val="auto"/>
              </w:rPr>
              <w:t>(In thousands)</w:t>
            </w:r>
          </w:p>
        </w:tc>
        <w:tc>
          <w:tcPr>
            <w:tcW w:w="2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47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Trade Accounts and Other Receivables—</w:t>
            </w: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4780" w:type="dxa"/>
            <w:vAlign w:val="bottom"/>
          </w:tcPr>
          <w:p>
            <w:pPr>
              <w:spacing w:after="0"/>
              <w:rPr>
                <w:sz w:val="20"/>
                <w:szCs w:val="20"/>
                <w:color w:val="auto"/>
              </w:rPr>
            </w:pPr>
            <w:r>
              <w:rPr>
                <w:rFonts w:ascii="Arial" w:cs="Arial" w:eastAsia="Arial" w:hAnsi="Arial"/>
                <w:sz w:val="13"/>
                <w:szCs w:val="13"/>
                <w:b w:val="1"/>
                <w:bCs w:val="1"/>
                <w:color w:val="auto"/>
              </w:rPr>
              <w:t>Allowance for Credit Losses:</w:t>
            </w: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780" w:type="dxa"/>
            <w:vAlign w:val="bottom"/>
            <w:shd w:val="clear" w:color="auto" w:fill="CCEEFF"/>
          </w:tcPr>
          <w:p>
            <w:pPr>
              <w:jc w:val="right"/>
              <w:ind w:right="4356"/>
              <w:spacing w:after="0"/>
              <w:rPr>
                <w:sz w:val="20"/>
                <w:szCs w:val="20"/>
                <w:color w:val="auto"/>
              </w:rPr>
            </w:pPr>
            <w:r>
              <w:rPr>
                <w:rFonts w:ascii="Arial" w:cs="Arial" w:eastAsia="Arial" w:hAnsi="Arial"/>
                <w:sz w:val="13"/>
                <w:szCs w:val="13"/>
                <w:color w:val="auto"/>
              </w:rPr>
              <w:t>2021</w:t>
            </w: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7,173</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2,243</w:t>
            </w:r>
          </w:p>
        </w:tc>
        <w:tc>
          <w:tcPr>
            <w:tcW w:w="30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w:t>
            </w:r>
          </w:p>
        </w:tc>
        <w:tc>
          <w:tcPr>
            <w:tcW w:w="2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1160" w:type="dxa"/>
            <w:vAlign w:val="bottom"/>
            <w:gridSpan w:val="2"/>
            <w:shd w:val="clear" w:color="auto" w:fill="CCEEFF"/>
          </w:tcPr>
          <w:p>
            <w:pPr>
              <w:jc w:val="right"/>
              <w:ind w:right="99"/>
              <w:spacing w:after="0" w:line="172" w:lineRule="exact"/>
              <w:rPr>
                <w:sz w:val="20"/>
                <w:szCs w:val="20"/>
                <w:color w:val="auto"/>
              </w:rPr>
            </w:pPr>
            <w:r>
              <w:rPr>
                <w:rFonts w:ascii="Arial" w:cs="Arial" w:eastAsia="Arial" w:hAnsi="Arial"/>
                <w:sz w:val="13"/>
                <w:szCs w:val="13"/>
                <w:color w:val="auto"/>
              </w:rPr>
              <w:t xml:space="preserve">(206) </w:t>
            </w:r>
            <w:r>
              <w:rPr>
                <w:rFonts w:ascii="Arial" w:cs="Arial" w:eastAsia="Arial" w:hAnsi="Arial"/>
                <w:sz w:val="16"/>
                <w:szCs w:val="16"/>
                <w:color w:val="auto"/>
                <w:vertAlign w:val="superscript"/>
              </w:rPr>
              <w:t>(a)</w:t>
            </w:r>
          </w:p>
        </w:tc>
        <w:tc>
          <w:tcPr>
            <w:tcW w:w="3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9,673</w:t>
            </w:r>
          </w:p>
        </w:tc>
        <w:tc>
          <w:tcPr>
            <w:tcW w:w="0" w:type="dxa"/>
            <w:vAlign w:val="bottom"/>
          </w:tcPr>
          <w:p>
            <w:pPr>
              <w:spacing w:after="0"/>
              <w:rPr>
                <w:sz w:val="1"/>
                <w:szCs w:val="1"/>
                <w:color w:val="auto"/>
              </w:rPr>
            </w:pPr>
          </w:p>
        </w:tc>
      </w:tr>
      <w:tr>
        <w:trPr>
          <w:trHeight w:val="168"/>
        </w:trPr>
        <w:tc>
          <w:tcPr>
            <w:tcW w:w="4780" w:type="dxa"/>
            <w:vAlign w:val="bottom"/>
          </w:tcPr>
          <w:p>
            <w:pPr>
              <w:jc w:val="right"/>
              <w:ind w:right="4356"/>
              <w:spacing w:after="0"/>
              <w:rPr>
                <w:sz w:val="20"/>
                <w:szCs w:val="20"/>
                <w:color w:val="auto"/>
              </w:rPr>
            </w:pPr>
            <w:r>
              <w:rPr>
                <w:rFonts w:ascii="Arial" w:cs="Arial" w:eastAsia="Arial" w:hAnsi="Arial"/>
                <w:sz w:val="13"/>
                <w:szCs w:val="13"/>
                <w:color w:val="auto"/>
              </w:rPr>
              <w:t>2020</w:t>
            </w:r>
          </w:p>
        </w:tc>
        <w:tc>
          <w:tcPr>
            <w:tcW w:w="200" w:type="dxa"/>
            <w:vAlign w:val="bottom"/>
          </w:tcPr>
          <w:p>
            <w:pPr>
              <w:spacing w:after="0"/>
              <w:rPr>
                <w:sz w:val="14"/>
                <w:szCs w:val="14"/>
                <w:color w:val="auto"/>
              </w:rPr>
            </w:pPr>
          </w:p>
        </w:tc>
        <w:tc>
          <w:tcPr>
            <w:tcW w:w="1000" w:type="dxa"/>
            <w:vAlign w:val="bottom"/>
          </w:tcPr>
          <w:p>
            <w:pPr>
              <w:jc w:val="right"/>
              <w:ind w:right="78"/>
              <w:spacing w:after="0"/>
              <w:rPr>
                <w:sz w:val="20"/>
                <w:szCs w:val="20"/>
                <w:color w:val="auto"/>
              </w:rPr>
            </w:pPr>
            <w:r>
              <w:rPr>
                <w:rFonts w:ascii="Arial" w:cs="Arial" w:eastAsia="Arial" w:hAnsi="Arial"/>
                <w:sz w:val="13"/>
                <w:szCs w:val="13"/>
                <w:color w:val="auto"/>
              </w:rPr>
              <w:t>7,467</w:t>
            </w:r>
          </w:p>
        </w:tc>
        <w:tc>
          <w:tcPr>
            <w:tcW w:w="100" w:type="dxa"/>
            <w:vAlign w:val="bottom"/>
          </w:tcPr>
          <w:p>
            <w:pPr>
              <w:spacing w:after="0"/>
              <w:rPr>
                <w:sz w:val="14"/>
                <w:szCs w:val="14"/>
                <w:color w:val="auto"/>
              </w:rPr>
            </w:pPr>
          </w:p>
        </w:tc>
        <w:tc>
          <w:tcPr>
            <w:tcW w:w="1040" w:type="dxa"/>
            <w:vAlign w:val="bottom"/>
          </w:tcPr>
          <w:p>
            <w:pPr>
              <w:jc w:val="right"/>
              <w:ind w:right="38"/>
              <w:spacing w:after="0"/>
              <w:rPr>
                <w:sz w:val="20"/>
                <w:szCs w:val="20"/>
                <w:color w:val="auto"/>
              </w:rPr>
            </w:pPr>
            <w:r>
              <w:rPr>
                <w:rFonts w:ascii="Arial" w:cs="Arial" w:eastAsia="Arial" w:hAnsi="Arial"/>
                <w:sz w:val="13"/>
                <w:szCs w:val="13"/>
                <w:color w:val="auto"/>
              </w:rPr>
              <w:t>94</w:t>
            </w: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186</w:t>
            </w:r>
          </w:p>
        </w:tc>
        <w:tc>
          <w:tcPr>
            <w:tcW w:w="2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574</w:t>
            </w:r>
          </w:p>
        </w:tc>
        <w:tc>
          <w:tcPr>
            <w:tcW w:w="260" w:type="dxa"/>
            <w:vAlign w:val="bottom"/>
          </w:tcPr>
          <w:p>
            <w:pPr>
              <w:jc w:val="right"/>
              <w:ind w:right="99"/>
              <w:spacing w:after="0"/>
              <w:rPr>
                <w:sz w:val="20"/>
                <w:szCs w:val="20"/>
                <w:color w:val="auto"/>
              </w:rPr>
            </w:pPr>
            <w:r>
              <w:rPr>
                <w:rFonts w:ascii="Arial" w:cs="Arial" w:eastAsia="Arial" w:hAnsi="Arial"/>
                <w:sz w:val="8"/>
                <w:szCs w:val="8"/>
                <w:color w:val="auto"/>
              </w:rPr>
              <w:t>(a)</w:t>
            </w:r>
          </w:p>
        </w:tc>
        <w:tc>
          <w:tcPr>
            <w:tcW w:w="3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7,173</w:t>
            </w:r>
          </w:p>
        </w:tc>
        <w:tc>
          <w:tcPr>
            <w:tcW w:w="0" w:type="dxa"/>
            <w:vAlign w:val="bottom"/>
          </w:tcPr>
          <w:p>
            <w:pPr>
              <w:spacing w:after="0"/>
              <w:rPr>
                <w:sz w:val="1"/>
                <w:szCs w:val="1"/>
                <w:color w:val="auto"/>
              </w:rPr>
            </w:pPr>
          </w:p>
        </w:tc>
      </w:tr>
      <w:tr>
        <w:trPr>
          <w:trHeight w:val="172"/>
        </w:trPr>
        <w:tc>
          <w:tcPr>
            <w:tcW w:w="4780" w:type="dxa"/>
            <w:vAlign w:val="bottom"/>
            <w:shd w:val="clear" w:color="auto" w:fill="CCEEFF"/>
          </w:tcPr>
          <w:p>
            <w:pPr>
              <w:jc w:val="right"/>
              <w:ind w:right="4356"/>
              <w:spacing w:after="0"/>
              <w:rPr>
                <w:sz w:val="20"/>
                <w:szCs w:val="20"/>
                <w:color w:val="auto"/>
              </w:rPr>
            </w:pPr>
            <w:r>
              <w:rPr>
                <w:rFonts w:ascii="Arial" w:cs="Arial" w:eastAsia="Arial" w:hAnsi="Arial"/>
                <w:sz w:val="13"/>
                <w:szCs w:val="13"/>
                <w:color w:val="auto"/>
              </w:rPr>
              <w:t>2019</w:t>
            </w: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8,057</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1,690</w:t>
            </w:r>
          </w:p>
        </w:tc>
        <w:tc>
          <w:tcPr>
            <w:tcW w:w="3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w:t>
            </w: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2,390</w:t>
            </w:r>
          </w:p>
        </w:tc>
        <w:tc>
          <w:tcPr>
            <w:tcW w:w="260" w:type="dxa"/>
            <w:vAlign w:val="bottom"/>
            <w:shd w:val="clear" w:color="auto" w:fill="CCEEFF"/>
          </w:tcPr>
          <w:p>
            <w:pPr>
              <w:jc w:val="right"/>
              <w:ind w:right="99"/>
              <w:spacing w:after="0"/>
              <w:rPr>
                <w:sz w:val="20"/>
                <w:szCs w:val="20"/>
                <w:color w:val="auto"/>
              </w:rPr>
            </w:pPr>
            <w:r>
              <w:rPr>
                <w:rFonts w:ascii="Arial" w:cs="Arial" w:eastAsia="Arial" w:hAnsi="Arial"/>
                <w:sz w:val="8"/>
                <w:szCs w:val="8"/>
                <w:color w:val="auto"/>
              </w:rPr>
              <w:t>(a)</w:t>
            </w:r>
          </w:p>
        </w:tc>
        <w:tc>
          <w:tcPr>
            <w:tcW w:w="3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7,467</w:t>
            </w:r>
          </w:p>
        </w:tc>
        <w:tc>
          <w:tcPr>
            <w:tcW w:w="0" w:type="dxa"/>
            <w:vAlign w:val="bottom"/>
          </w:tcPr>
          <w:p>
            <w:pPr>
              <w:spacing w:after="0"/>
              <w:rPr>
                <w:sz w:val="1"/>
                <w:szCs w:val="1"/>
                <w:color w:val="auto"/>
              </w:rPr>
            </w:pPr>
          </w:p>
        </w:tc>
      </w:tr>
      <w:tr>
        <w:trPr>
          <w:trHeight w:val="168"/>
        </w:trPr>
        <w:tc>
          <w:tcPr>
            <w:tcW w:w="4780" w:type="dxa"/>
            <w:vAlign w:val="bottom"/>
          </w:tcPr>
          <w:p>
            <w:pPr>
              <w:spacing w:after="0"/>
              <w:rPr>
                <w:sz w:val="20"/>
                <w:szCs w:val="20"/>
                <w:color w:val="auto"/>
              </w:rPr>
            </w:pPr>
            <w:r>
              <w:rPr>
                <w:rFonts w:ascii="Arial" w:cs="Arial" w:eastAsia="Arial" w:hAnsi="Arial"/>
                <w:sz w:val="13"/>
                <w:szCs w:val="13"/>
                <w:b w:val="1"/>
                <w:bCs w:val="1"/>
                <w:color w:val="auto"/>
              </w:rPr>
              <w:t>Trade Accounts and Other Receivables—</w:t>
            </w: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7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Allowance for Sales Adjustments:</w:t>
            </w: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780" w:type="dxa"/>
            <w:vAlign w:val="bottom"/>
          </w:tcPr>
          <w:p>
            <w:pPr>
              <w:jc w:val="right"/>
              <w:ind w:right="4356"/>
              <w:spacing w:after="0"/>
              <w:rPr>
                <w:sz w:val="20"/>
                <w:szCs w:val="20"/>
                <w:color w:val="auto"/>
              </w:rPr>
            </w:pPr>
            <w:r>
              <w:rPr>
                <w:rFonts w:ascii="Arial" w:cs="Arial" w:eastAsia="Arial" w:hAnsi="Arial"/>
                <w:sz w:val="13"/>
                <w:szCs w:val="13"/>
                <w:color w:val="auto"/>
              </w:rPr>
              <w:t>2021</w:t>
            </w: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ind w:right="78"/>
              <w:spacing w:after="0"/>
              <w:rPr>
                <w:sz w:val="20"/>
                <w:szCs w:val="20"/>
                <w:color w:val="auto"/>
              </w:rPr>
            </w:pPr>
            <w:r>
              <w:rPr>
                <w:rFonts w:ascii="Arial" w:cs="Arial" w:eastAsia="Arial" w:hAnsi="Arial"/>
                <w:sz w:val="13"/>
                <w:szCs w:val="13"/>
                <w:color w:val="auto"/>
              </w:rPr>
              <w:t>6,002</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Pr>
          <w:p>
            <w:pPr>
              <w:jc w:val="right"/>
              <w:ind w:right="38"/>
              <w:spacing w:after="0"/>
              <w:rPr>
                <w:sz w:val="20"/>
                <w:szCs w:val="20"/>
                <w:color w:val="auto"/>
              </w:rPr>
            </w:pPr>
            <w:r>
              <w:rPr>
                <w:rFonts w:ascii="Arial" w:cs="Arial" w:eastAsia="Arial" w:hAnsi="Arial"/>
                <w:sz w:val="13"/>
                <w:szCs w:val="13"/>
                <w:color w:val="auto"/>
              </w:rPr>
              <w:t>234,735</w:t>
            </w:r>
          </w:p>
        </w:tc>
        <w:tc>
          <w:tcPr>
            <w:tcW w:w="30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229,265</w:t>
            </w:r>
          </w:p>
        </w:tc>
        <w:tc>
          <w:tcPr>
            <w:tcW w:w="260" w:type="dxa"/>
            <w:vAlign w:val="bottom"/>
          </w:tcPr>
          <w:p>
            <w:pPr>
              <w:jc w:val="right"/>
              <w:ind w:right="79"/>
              <w:spacing w:after="0"/>
              <w:rPr>
                <w:sz w:val="20"/>
                <w:szCs w:val="20"/>
                <w:color w:val="auto"/>
              </w:rPr>
            </w:pPr>
            <w:r>
              <w:rPr>
                <w:rFonts w:ascii="Arial" w:cs="Arial" w:eastAsia="Arial" w:hAnsi="Arial"/>
                <w:sz w:val="8"/>
                <w:szCs w:val="8"/>
                <w:color w:val="auto"/>
              </w:rPr>
              <w:t>(b)</w:t>
            </w:r>
          </w:p>
        </w:tc>
        <w:tc>
          <w:tcPr>
            <w:tcW w:w="32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11,472</w:t>
            </w:r>
          </w:p>
        </w:tc>
        <w:tc>
          <w:tcPr>
            <w:tcW w:w="0" w:type="dxa"/>
            <w:vAlign w:val="bottom"/>
          </w:tcPr>
          <w:p>
            <w:pPr>
              <w:spacing w:after="0"/>
              <w:rPr>
                <w:sz w:val="1"/>
                <w:szCs w:val="1"/>
                <w:color w:val="auto"/>
              </w:rPr>
            </w:pPr>
          </w:p>
        </w:tc>
      </w:tr>
      <w:tr>
        <w:trPr>
          <w:trHeight w:val="172"/>
        </w:trPr>
        <w:tc>
          <w:tcPr>
            <w:tcW w:w="4780" w:type="dxa"/>
            <w:vAlign w:val="bottom"/>
            <w:shd w:val="clear" w:color="auto" w:fill="CCEEFF"/>
          </w:tcPr>
          <w:p>
            <w:pPr>
              <w:jc w:val="right"/>
              <w:ind w:right="4356"/>
              <w:spacing w:after="0"/>
              <w:rPr>
                <w:sz w:val="20"/>
                <w:szCs w:val="20"/>
                <w:color w:val="auto"/>
              </w:rPr>
            </w:pPr>
            <w:r>
              <w:rPr>
                <w:rFonts w:ascii="Arial" w:cs="Arial" w:eastAsia="Arial" w:hAnsi="Arial"/>
                <w:sz w:val="13"/>
                <w:szCs w:val="13"/>
                <w:color w:val="auto"/>
              </w:rPr>
              <w:t>2020</w:t>
            </w: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8,380</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287,193</w:t>
            </w:r>
          </w:p>
        </w:tc>
        <w:tc>
          <w:tcPr>
            <w:tcW w:w="3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289,571</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8"/>
                <w:szCs w:val="8"/>
                <w:color w:val="auto"/>
              </w:rPr>
              <w:t>(b)</w:t>
            </w:r>
          </w:p>
        </w:tc>
        <w:tc>
          <w:tcPr>
            <w:tcW w:w="3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6,002</w:t>
            </w:r>
          </w:p>
        </w:tc>
        <w:tc>
          <w:tcPr>
            <w:tcW w:w="0" w:type="dxa"/>
            <w:vAlign w:val="bottom"/>
          </w:tcPr>
          <w:p>
            <w:pPr>
              <w:spacing w:after="0"/>
              <w:rPr>
                <w:sz w:val="1"/>
                <w:szCs w:val="1"/>
                <w:color w:val="auto"/>
              </w:rPr>
            </w:pPr>
          </w:p>
        </w:tc>
      </w:tr>
      <w:tr>
        <w:trPr>
          <w:trHeight w:val="168"/>
        </w:trPr>
        <w:tc>
          <w:tcPr>
            <w:tcW w:w="4780" w:type="dxa"/>
            <w:vAlign w:val="bottom"/>
          </w:tcPr>
          <w:p>
            <w:pPr>
              <w:jc w:val="right"/>
              <w:ind w:right="4356"/>
              <w:spacing w:after="0"/>
              <w:rPr>
                <w:sz w:val="20"/>
                <w:szCs w:val="20"/>
                <w:color w:val="auto"/>
              </w:rPr>
            </w:pPr>
            <w:r>
              <w:rPr>
                <w:rFonts w:ascii="Arial" w:cs="Arial" w:eastAsia="Arial" w:hAnsi="Arial"/>
                <w:sz w:val="13"/>
                <w:szCs w:val="13"/>
                <w:color w:val="auto"/>
              </w:rPr>
              <w:t>2019</w:t>
            </w:r>
          </w:p>
        </w:tc>
        <w:tc>
          <w:tcPr>
            <w:tcW w:w="200" w:type="dxa"/>
            <w:vAlign w:val="bottom"/>
          </w:tcPr>
          <w:p>
            <w:pPr>
              <w:spacing w:after="0"/>
              <w:rPr>
                <w:sz w:val="14"/>
                <w:szCs w:val="14"/>
                <w:color w:val="auto"/>
              </w:rPr>
            </w:pPr>
          </w:p>
        </w:tc>
        <w:tc>
          <w:tcPr>
            <w:tcW w:w="1000" w:type="dxa"/>
            <w:vAlign w:val="bottom"/>
          </w:tcPr>
          <w:p>
            <w:pPr>
              <w:jc w:val="right"/>
              <w:ind w:right="78"/>
              <w:spacing w:after="0"/>
              <w:rPr>
                <w:sz w:val="20"/>
                <w:szCs w:val="20"/>
                <w:color w:val="auto"/>
              </w:rPr>
            </w:pPr>
            <w:r>
              <w:rPr>
                <w:rFonts w:ascii="Arial" w:cs="Arial" w:eastAsia="Arial" w:hAnsi="Arial"/>
                <w:sz w:val="13"/>
                <w:szCs w:val="13"/>
                <w:color w:val="auto"/>
              </w:rPr>
              <w:t>12,987</w:t>
            </w:r>
          </w:p>
        </w:tc>
        <w:tc>
          <w:tcPr>
            <w:tcW w:w="100" w:type="dxa"/>
            <w:vAlign w:val="bottom"/>
          </w:tcPr>
          <w:p>
            <w:pPr>
              <w:spacing w:after="0"/>
              <w:rPr>
                <w:sz w:val="14"/>
                <w:szCs w:val="14"/>
                <w:color w:val="auto"/>
              </w:rPr>
            </w:pPr>
          </w:p>
        </w:tc>
        <w:tc>
          <w:tcPr>
            <w:tcW w:w="1040" w:type="dxa"/>
            <w:vAlign w:val="bottom"/>
          </w:tcPr>
          <w:p>
            <w:pPr>
              <w:jc w:val="right"/>
              <w:ind w:right="38"/>
              <w:spacing w:after="0"/>
              <w:rPr>
                <w:sz w:val="20"/>
                <w:szCs w:val="20"/>
                <w:color w:val="auto"/>
              </w:rPr>
            </w:pPr>
            <w:r>
              <w:rPr>
                <w:rFonts w:ascii="Arial" w:cs="Arial" w:eastAsia="Arial" w:hAnsi="Arial"/>
                <w:sz w:val="13"/>
                <w:szCs w:val="13"/>
                <w:color w:val="auto"/>
              </w:rPr>
              <w:t>267,165</w:t>
            </w: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271,772</w:t>
            </w:r>
          </w:p>
        </w:tc>
        <w:tc>
          <w:tcPr>
            <w:tcW w:w="260" w:type="dxa"/>
            <w:vAlign w:val="bottom"/>
          </w:tcPr>
          <w:p>
            <w:pPr>
              <w:jc w:val="right"/>
              <w:ind w:right="79"/>
              <w:spacing w:after="0"/>
              <w:rPr>
                <w:sz w:val="20"/>
                <w:szCs w:val="20"/>
                <w:color w:val="auto"/>
              </w:rPr>
            </w:pPr>
            <w:r>
              <w:rPr>
                <w:rFonts w:ascii="Arial" w:cs="Arial" w:eastAsia="Arial" w:hAnsi="Arial"/>
                <w:sz w:val="8"/>
                <w:szCs w:val="8"/>
                <w:color w:val="auto"/>
              </w:rPr>
              <w:t>(b)</w:t>
            </w:r>
          </w:p>
        </w:tc>
        <w:tc>
          <w:tcPr>
            <w:tcW w:w="3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8,380</w:t>
            </w:r>
          </w:p>
        </w:tc>
        <w:tc>
          <w:tcPr>
            <w:tcW w:w="0" w:type="dxa"/>
            <w:vAlign w:val="bottom"/>
          </w:tcPr>
          <w:p>
            <w:pPr>
              <w:spacing w:after="0"/>
              <w:rPr>
                <w:sz w:val="1"/>
                <w:szCs w:val="1"/>
                <w:color w:val="auto"/>
              </w:rPr>
            </w:pPr>
          </w:p>
        </w:tc>
      </w:tr>
      <w:tr>
        <w:trPr>
          <w:trHeight w:val="172"/>
        </w:trPr>
        <w:tc>
          <w:tcPr>
            <w:tcW w:w="47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Deferred Tax Assets—</w:t>
            </w: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780" w:type="dxa"/>
            <w:vAlign w:val="bottom"/>
          </w:tcPr>
          <w:p>
            <w:pPr>
              <w:spacing w:after="0"/>
              <w:rPr>
                <w:sz w:val="20"/>
                <w:szCs w:val="20"/>
                <w:color w:val="auto"/>
              </w:rPr>
            </w:pPr>
            <w:r>
              <w:rPr>
                <w:rFonts w:ascii="Arial" w:cs="Arial" w:eastAsia="Arial" w:hAnsi="Arial"/>
                <w:sz w:val="13"/>
                <w:szCs w:val="13"/>
                <w:b w:val="1"/>
                <w:bCs w:val="1"/>
                <w:color w:val="auto"/>
              </w:rPr>
              <w:t>Valuation Allowance:</w:t>
            </w: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780" w:type="dxa"/>
            <w:vAlign w:val="bottom"/>
            <w:shd w:val="clear" w:color="auto" w:fill="CCEEFF"/>
          </w:tcPr>
          <w:p>
            <w:pPr>
              <w:jc w:val="right"/>
              <w:ind w:right="4356"/>
              <w:spacing w:after="0"/>
              <w:rPr>
                <w:sz w:val="20"/>
                <w:szCs w:val="20"/>
                <w:color w:val="auto"/>
              </w:rPr>
            </w:pPr>
            <w:r>
              <w:rPr>
                <w:rFonts w:ascii="Arial" w:cs="Arial" w:eastAsia="Arial" w:hAnsi="Arial"/>
                <w:sz w:val="13"/>
                <w:szCs w:val="13"/>
                <w:color w:val="auto"/>
              </w:rPr>
              <w:t>2021</w:t>
            </w: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33,678</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(9,417)</w:t>
            </w:r>
          </w:p>
        </w:tc>
        <w:tc>
          <w:tcPr>
            <w:tcW w:w="30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1160" w:type="dxa"/>
            <w:vAlign w:val="bottom"/>
            <w:gridSpan w:val="2"/>
            <w:shd w:val="clear" w:color="auto" w:fill="CCEEFF"/>
          </w:tcPr>
          <w:p>
            <w:pPr>
              <w:jc w:val="right"/>
              <w:ind w:right="99"/>
              <w:spacing w:after="0" w:line="172" w:lineRule="exact"/>
              <w:rPr>
                <w:sz w:val="20"/>
                <w:szCs w:val="20"/>
                <w:color w:val="auto"/>
              </w:rPr>
            </w:pPr>
            <w:r>
              <w:rPr>
                <w:rFonts w:ascii="Arial" w:cs="Arial" w:eastAsia="Arial" w:hAnsi="Arial"/>
                <w:sz w:val="19"/>
                <w:szCs w:val="19"/>
                <w:color w:val="auto"/>
                <w:vertAlign w:val="subscript"/>
              </w:rPr>
              <w:t>—</w:t>
            </w:r>
            <w:r>
              <w:rPr>
                <w:rFonts w:ascii="Arial" w:cs="Arial" w:eastAsia="Arial" w:hAnsi="Arial"/>
                <w:sz w:val="7"/>
                <w:szCs w:val="7"/>
                <w:color w:val="auto"/>
              </w:rPr>
              <w:t xml:space="preserve"> (c)</w:t>
            </w:r>
          </w:p>
        </w:tc>
        <w:tc>
          <w:tcPr>
            <w:tcW w:w="3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24,261</w:t>
            </w:r>
          </w:p>
        </w:tc>
        <w:tc>
          <w:tcPr>
            <w:tcW w:w="0" w:type="dxa"/>
            <w:vAlign w:val="bottom"/>
          </w:tcPr>
          <w:p>
            <w:pPr>
              <w:spacing w:after="0"/>
              <w:rPr>
                <w:sz w:val="1"/>
                <w:szCs w:val="1"/>
                <w:color w:val="auto"/>
              </w:rPr>
            </w:pPr>
          </w:p>
        </w:tc>
      </w:tr>
      <w:tr>
        <w:trPr>
          <w:trHeight w:val="170"/>
        </w:trPr>
        <w:tc>
          <w:tcPr>
            <w:tcW w:w="4780" w:type="dxa"/>
            <w:vAlign w:val="bottom"/>
          </w:tcPr>
          <w:p>
            <w:pPr>
              <w:jc w:val="right"/>
              <w:ind w:right="4356"/>
              <w:spacing w:after="0"/>
              <w:rPr>
                <w:sz w:val="20"/>
                <w:szCs w:val="20"/>
                <w:color w:val="auto"/>
              </w:rPr>
            </w:pPr>
            <w:r>
              <w:rPr>
                <w:rFonts w:ascii="Arial" w:cs="Arial" w:eastAsia="Arial" w:hAnsi="Arial"/>
                <w:sz w:val="13"/>
                <w:szCs w:val="13"/>
                <w:color w:val="auto"/>
              </w:rPr>
              <w:t>2020</w:t>
            </w:r>
          </w:p>
        </w:tc>
        <w:tc>
          <w:tcPr>
            <w:tcW w:w="200" w:type="dxa"/>
            <w:vAlign w:val="bottom"/>
          </w:tcPr>
          <w:p>
            <w:pPr>
              <w:spacing w:after="0"/>
              <w:rPr>
                <w:sz w:val="14"/>
                <w:szCs w:val="14"/>
                <w:color w:val="auto"/>
              </w:rPr>
            </w:pPr>
          </w:p>
        </w:tc>
        <w:tc>
          <w:tcPr>
            <w:tcW w:w="1000" w:type="dxa"/>
            <w:vAlign w:val="bottom"/>
          </w:tcPr>
          <w:p>
            <w:pPr>
              <w:jc w:val="right"/>
              <w:ind w:right="78"/>
              <w:spacing w:after="0"/>
              <w:rPr>
                <w:sz w:val="20"/>
                <w:szCs w:val="20"/>
                <w:color w:val="auto"/>
              </w:rPr>
            </w:pPr>
            <w:r>
              <w:rPr>
                <w:rFonts w:ascii="Arial" w:cs="Arial" w:eastAsia="Arial" w:hAnsi="Arial"/>
                <w:sz w:val="13"/>
                <w:szCs w:val="13"/>
                <w:color w:val="auto"/>
              </w:rPr>
              <w:t>33,522</w:t>
            </w:r>
          </w:p>
        </w:tc>
        <w:tc>
          <w:tcPr>
            <w:tcW w:w="100" w:type="dxa"/>
            <w:vAlign w:val="bottom"/>
          </w:tcPr>
          <w:p>
            <w:pPr>
              <w:spacing w:after="0"/>
              <w:rPr>
                <w:sz w:val="14"/>
                <w:szCs w:val="14"/>
                <w:color w:val="auto"/>
              </w:rPr>
            </w:pPr>
          </w:p>
        </w:tc>
        <w:tc>
          <w:tcPr>
            <w:tcW w:w="1040" w:type="dxa"/>
            <w:vAlign w:val="bottom"/>
          </w:tcPr>
          <w:p>
            <w:pPr>
              <w:jc w:val="right"/>
              <w:ind w:right="38"/>
              <w:spacing w:after="0"/>
              <w:rPr>
                <w:sz w:val="20"/>
                <w:szCs w:val="20"/>
                <w:color w:val="auto"/>
              </w:rPr>
            </w:pPr>
            <w:r>
              <w:rPr>
                <w:rFonts w:ascii="Arial" w:cs="Arial" w:eastAsia="Arial" w:hAnsi="Arial"/>
                <w:sz w:val="13"/>
                <w:szCs w:val="13"/>
                <w:color w:val="auto"/>
              </w:rPr>
              <w:t>156</w:t>
            </w: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1160" w:type="dxa"/>
            <w:vAlign w:val="bottom"/>
            <w:gridSpan w:val="2"/>
          </w:tcPr>
          <w:p>
            <w:pPr>
              <w:jc w:val="right"/>
              <w:ind w:right="99"/>
              <w:spacing w:after="0" w:line="170" w:lineRule="exact"/>
              <w:rPr>
                <w:sz w:val="20"/>
                <w:szCs w:val="20"/>
                <w:color w:val="auto"/>
              </w:rPr>
            </w:pPr>
            <w:r>
              <w:rPr>
                <w:rFonts w:ascii="Arial" w:cs="Arial" w:eastAsia="Arial" w:hAnsi="Arial"/>
                <w:sz w:val="19"/>
                <w:szCs w:val="19"/>
                <w:color w:val="auto"/>
                <w:vertAlign w:val="subscript"/>
              </w:rPr>
              <w:t>—</w:t>
            </w:r>
            <w:r>
              <w:rPr>
                <w:rFonts w:ascii="Arial" w:cs="Arial" w:eastAsia="Arial" w:hAnsi="Arial"/>
                <w:sz w:val="7"/>
                <w:szCs w:val="7"/>
                <w:color w:val="auto"/>
              </w:rPr>
              <w:t xml:space="preserve"> (c)</w:t>
            </w:r>
          </w:p>
        </w:tc>
        <w:tc>
          <w:tcPr>
            <w:tcW w:w="3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33,678</w:t>
            </w:r>
          </w:p>
        </w:tc>
        <w:tc>
          <w:tcPr>
            <w:tcW w:w="0" w:type="dxa"/>
            <w:vAlign w:val="bottom"/>
          </w:tcPr>
          <w:p>
            <w:pPr>
              <w:spacing w:after="0"/>
              <w:rPr>
                <w:sz w:val="1"/>
                <w:szCs w:val="1"/>
                <w:color w:val="auto"/>
              </w:rPr>
            </w:pPr>
          </w:p>
        </w:tc>
      </w:tr>
      <w:tr>
        <w:trPr>
          <w:trHeight w:val="170"/>
        </w:trPr>
        <w:tc>
          <w:tcPr>
            <w:tcW w:w="4780" w:type="dxa"/>
            <w:vAlign w:val="bottom"/>
            <w:shd w:val="clear" w:color="auto" w:fill="CCEEFF"/>
          </w:tcPr>
          <w:p>
            <w:pPr>
              <w:jc w:val="right"/>
              <w:ind w:right="4356"/>
              <w:spacing w:after="0"/>
              <w:rPr>
                <w:sz w:val="20"/>
                <w:szCs w:val="20"/>
                <w:color w:val="auto"/>
              </w:rPr>
            </w:pPr>
            <w:r>
              <w:rPr>
                <w:rFonts w:ascii="Arial" w:cs="Arial" w:eastAsia="Arial" w:hAnsi="Arial"/>
                <w:sz w:val="13"/>
                <w:szCs w:val="13"/>
                <w:color w:val="auto"/>
              </w:rPr>
              <w:t>2019</w:t>
            </w: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26,150</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8,190</w:t>
            </w: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818</w:t>
            </w:r>
          </w:p>
        </w:tc>
        <w:tc>
          <w:tcPr>
            <w:tcW w:w="260" w:type="dxa"/>
            <w:vAlign w:val="bottom"/>
            <w:shd w:val="clear" w:color="auto" w:fill="CCEEFF"/>
          </w:tcPr>
          <w:p>
            <w:pPr>
              <w:jc w:val="right"/>
              <w:ind w:right="99"/>
              <w:spacing w:after="0"/>
              <w:rPr>
                <w:sz w:val="20"/>
                <w:szCs w:val="20"/>
                <w:color w:val="auto"/>
              </w:rPr>
            </w:pPr>
            <w:r>
              <w:rPr>
                <w:rFonts w:ascii="Arial" w:cs="Arial" w:eastAsia="Arial" w:hAnsi="Arial"/>
                <w:sz w:val="8"/>
                <w:szCs w:val="8"/>
                <w:color w:val="auto"/>
              </w:rPr>
              <w:t>(c)</w:t>
            </w:r>
          </w:p>
        </w:tc>
        <w:tc>
          <w:tcPr>
            <w:tcW w:w="3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33,522</w:t>
            </w:r>
          </w:p>
        </w:tc>
        <w:tc>
          <w:tcPr>
            <w:tcW w:w="0" w:type="dxa"/>
            <w:vAlign w:val="bottom"/>
          </w:tcPr>
          <w:p>
            <w:pPr>
              <w:spacing w:after="0"/>
              <w:rPr>
                <w:sz w:val="1"/>
                <w:szCs w:val="1"/>
                <w:color w:val="auto"/>
              </w:rPr>
            </w:pPr>
          </w:p>
        </w:tc>
      </w:tr>
    </w:tbl>
    <w:p>
      <w:pPr>
        <w:spacing w:after="0" w:line="48" w:lineRule="exact"/>
        <w:rPr>
          <w:sz w:val="20"/>
          <w:szCs w:val="20"/>
          <w:color w:val="auto"/>
        </w:rPr>
      </w:pPr>
    </w:p>
    <w:p>
      <w:pPr>
        <w:ind w:left="240" w:hanging="235"/>
        <w:spacing w:after="0"/>
        <w:tabs>
          <w:tab w:leader="none" w:pos="240" w:val="left"/>
        </w:tabs>
        <w:numPr>
          <w:ilvl w:val="0"/>
          <w:numId w:val="42"/>
        </w:numPr>
        <w:rPr>
          <w:rFonts w:ascii="Arial" w:cs="Arial" w:eastAsia="Arial" w:hAnsi="Arial"/>
          <w:sz w:val="11"/>
          <w:szCs w:val="11"/>
          <w:color w:val="auto"/>
        </w:rPr>
      </w:pPr>
      <w:r>
        <w:rPr>
          <w:rFonts w:ascii="Arial" w:cs="Arial" w:eastAsia="Arial" w:hAnsi="Arial"/>
          <w:sz w:val="11"/>
          <w:szCs w:val="11"/>
          <w:color w:val="auto"/>
        </w:rPr>
        <w:t>Uncollectible accounts written off, net of recoveries.</w:t>
      </w:r>
    </w:p>
    <w:p>
      <w:pPr>
        <w:spacing w:after="0" w:line="10" w:lineRule="exact"/>
        <w:rPr>
          <w:rFonts w:ascii="Arial" w:cs="Arial" w:eastAsia="Arial" w:hAnsi="Arial"/>
          <w:sz w:val="11"/>
          <w:szCs w:val="11"/>
          <w:color w:val="auto"/>
        </w:rPr>
      </w:pPr>
    </w:p>
    <w:p>
      <w:pPr>
        <w:ind w:left="240" w:hanging="235"/>
        <w:spacing w:after="0"/>
        <w:tabs>
          <w:tab w:leader="none" w:pos="240" w:val="left"/>
        </w:tabs>
        <w:numPr>
          <w:ilvl w:val="0"/>
          <w:numId w:val="42"/>
        </w:numPr>
        <w:rPr>
          <w:rFonts w:ascii="Arial" w:cs="Arial" w:eastAsia="Arial" w:hAnsi="Arial"/>
          <w:sz w:val="11"/>
          <w:szCs w:val="11"/>
          <w:color w:val="auto"/>
        </w:rPr>
      </w:pPr>
      <w:r>
        <w:rPr>
          <w:rFonts w:ascii="Arial" w:cs="Arial" w:eastAsia="Arial" w:hAnsi="Arial"/>
          <w:sz w:val="11"/>
          <w:szCs w:val="11"/>
          <w:color w:val="auto"/>
        </w:rPr>
        <w:t>Deductions either written off, rebilled or reclassified as liabilities for market development fund rebates.</w:t>
      </w:r>
    </w:p>
    <w:p>
      <w:pPr>
        <w:ind w:left="240" w:hanging="235"/>
        <w:spacing w:after="0"/>
        <w:tabs>
          <w:tab w:leader="none" w:pos="240" w:val="left"/>
        </w:tabs>
        <w:numPr>
          <w:ilvl w:val="0"/>
          <w:numId w:val="42"/>
        </w:numPr>
        <w:rPr>
          <w:rFonts w:ascii="Arial" w:cs="Arial" w:eastAsia="Arial" w:hAnsi="Arial"/>
          <w:sz w:val="11"/>
          <w:szCs w:val="11"/>
          <w:color w:val="auto"/>
        </w:rPr>
      </w:pPr>
      <w:r>
        <w:rPr>
          <w:rFonts w:ascii="Arial" w:cs="Arial" w:eastAsia="Arial" w:hAnsi="Arial"/>
          <w:sz w:val="11"/>
          <w:szCs w:val="11"/>
          <w:color w:val="auto"/>
        </w:rPr>
        <w:t>Reductions in the valuation allowance.</w:t>
      </w:r>
    </w:p>
    <w:p>
      <w:pPr>
        <w:spacing w:after="0" w:line="1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 Changes in and Disagreements with Accountants on Accounting and Financial Disclosure</w:t>
      </w:r>
    </w:p>
    <w:p>
      <w:pPr>
        <w:spacing w:after="0" w:line="14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None.</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9A. Controls and Procedures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Disclosure Controls and Procedures</w:t>
      </w:r>
    </w:p>
    <w:p>
      <w:pPr>
        <w:spacing w:after="0" w:line="140" w:lineRule="exact"/>
        <w:rPr>
          <w:sz w:val="20"/>
          <w:szCs w:val="20"/>
          <w:color w:val="auto"/>
        </w:rPr>
      </w:pPr>
    </w:p>
    <w:p>
      <w:pPr>
        <w:jc w:val="both"/>
        <w:ind w:firstLine="509"/>
        <w:spacing w:after="0" w:line="284" w:lineRule="auto"/>
        <w:rPr>
          <w:sz w:val="20"/>
          <w:szCs w:val="20"/>
          <w:color w:val="auto"/>
        </w:rPr>
      </w:pPr>
      <w:r>
        <w:rPr>
          <w:rFonts w:ascii="Arial" w:cs="Arial" w:eastAsia="Arial" w:hAnsi="Arial"/>
          <w:sz w:val="13"/>
          <w:szCs w:val="13"/>
          <w:color w:val="auto"/>
        </w:rPr>
        <w:t>Under Rules 13a-15(e) and 15d-15(e) of the Securities Exchange Act of 1934 (the “Exchange Act”), “disclosure controls and procedures” means controls and other procedures that are designed to ensure that information required to be disclosed by the Company in the reports that it files or submits under the Exchange Act is recorded, processed, summarized and reported, within the time periods specified in the Securities and Exchange Commission’s (the “SEC”) rules and forms. Disclosure controls and procedures include, without limitation, controls and procedures designed to ensure that information required to be disclosed by our Company in the reports that it files or submits under the Exchange Act is accumulated and communicated to our management, including our Chief Executive Officer and Chief Financial Officer, as appropriate to allow timely decisions regarding required disclosure.</w:t>
      </w:r>
    </w:p>
    <w:p>
      <w:pPr>
        <w:spacing w:after="0" w:line="92" w:lineRule="exact"/>
        <w:rPr>
          <w:sz w:val="20"/>
          <w:szCs w:val="20"/>
          <w:color w:val="auto"/>
        </w:rPr>
      </w:pPr>
    </w:p>
    <w:p>
      <w:pPr>
        <w:jc w:val="both"/>
        <w:ind w:firstLine="509"/>
        <w:spacing w:after="0" w:line="321" w:lineRule="auto"/>
        <w:rPr>
          <w:sz w:val="20"/>
          <w:szCs w:val="20"/>
          <w:color w:val="auto"/>
        </w:rPr>
      </w:pPr>
      <w:r>
        <w:rPr>
          <w:rFonts w:ascii="Arial" w:cs="Arial" w:eastAsia="Arial" w:hAnsi="Arial"/>
          <w:sz w:val="13"/>
          <w:szCs w:val="13"/>
          <w:color w:val="auto"/>
        </w:rPr>
        <w:t>The Company’s management, with the participation of the Company’s Chief Executive Officer and Chief Financial Officer, evaluated the effectiveness of the design and operation of the Company’s disclosure controls and procedures as of December 26, 2021. Consistent with guidance issued by the SEC for a recently acquired business, management excluded the</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98" w:name="page99"/>
    <w:bookmarkEnd w:id="9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7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internal control over financial reporting of Pilgrim’s Food Masters from its evaluation of the effectiveness of the Company’s disclosure controls and procedures total assets and net sales of Pilgrim’s Food Masters, which the Company acquired on September 24, 2021, of $1.3 billion and $293.6 million, respectively as of and for the year ended December 26, 2021. Based on that evaluation and subject to the foregoing, the Company’s Chief Executive Officer and Chief Financial Officer, concluded that, as of December 26, 2021, the Company’s disclosure controls and procedures were effective.</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Changes in Internal Control over Financial Reporting</w:t>
      </w:r>
    </w:p>
    <w:p>
      <w:pPr>
        <w:spacing w:after="0" w:line="140"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color w:val="auto"/>
        </w:rPr>
        <w:t>There was no change in the Company’s internal control over financial reporting that occurred during the Company’s quarter ended December 26, 2021 that has materially affected, or is reasonably likely to materially affect, the Company’s internal control over financial reporting. As mentioned above, the Company acquired Pilgrim’s Food Masters on September 24, 2021. The Company is in the process of reviewing the internal control structure of Pilgrim’s Food Masters and, if necessary, will make appropriate changes as it integrates Pilgrim’s Food Masters into the Company's overall internal control over financial reporting process.</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Management’s Report on Internal Control over Financial Reporting</w:t>
      </w:r>
    </w:p>
    <w:p>
      <w:pPr>
        <w:spacing w:after="0" w:line="140"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4"/>
          <w:szCs w:val="14"/>
          <w:color w:val="auto"/>
        </w:rPr>
        <w:t>Pilgrim’s Pride Corporation’s (“PPC”) management is responsible for establishing and maintaining adequate internal control over financial reporting, as such term is defined in Exchange Act Rule 13a-15(f). PPC’s internal control is designed to provide reasonable assurance regarding the reliability of financial reporting and the preparation of financial statements in accordance with generally accepted accounting principles.</w:t>
      </w:r>
    </w:p>
    <w:p>
      <w:pPr>
        <w:spacing w:after="0" w:line="99"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4"/>
          <w:szCs w:val="14"/>
          <w:color w:val="auto"/>
        </w:rPr>
        <w:t>PPC’s management assessed the effectiveness of the Company’s internal control over financial reporting as of December 26, 2021 based on the Committee of Sponsoring Organizations of the Treadway Commission (COSO) Internal Control Integrated Framework (2013). The Company’s evaluation of internal control over financial reporting did not include the internal control over financial reporting of Pilgrim’s Food Masters, which the Company acquired on September 24, 2021. Total assets and revenue of Pilgrim’s Food Masters included in our Consolidated Financial Statements as of and for year ended December 26, 2021 were $1.3 billion and $293.6 million, respectively. Based on this assessment, management concluded that PPC’s internal control over financial reporting was effective as of December 26, 2021.</w:t>
      </w:r>
    </w:p>
    <w:p>
      <w:pPr>
        <w:spacing w:after="0" w:line="104"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4"/>
          <w:szCs w:val="14"/>
          <w:color w:val="auto"/>
        </w:rPr>
        <w:t>KPMG LLP, an independent registered public accounting firm which audited our Consolidated Financial Statements included in this Form 10-K, has issued an unqualified report on the effectiveness of the Company’s internal control over financial reporting as of December 26, 2021. That report is included in Part I, Item 8. Financial Statements and Supplementary Data, of this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99" w:name="page100"/>
    <w:bookmarkEnd w:id="9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9B. Other Information</w:t>
      </w:r>
    </w:p>
    <w:p>
      <w:pPr>
        <w:spacing w:after="0" w:line="20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None.</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9C. Disclosure Regarding Foreign Jurisdictions that Prevent Inspections</w:t>
      </w:r>
    </w:p>
    <w:p>
      <w:pPr>
        <w:spacing w:after="0" w:line="14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Not applicable.</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PART III</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10. Directors, Executive Officers and Corporate Governance</w:t>
      </w:r>
    </w:p>
    <w:p>
      <w:pPr>
        <w:spacing w:after="0" w:line="14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Certain information regarding our executive officers has been presented under “Information about our Executive Officers” included in “Item 1. Business,” above.</w:t>
      </w:r>
    </w:p>
    <w:p>
      <w:pPr>
        <w:spacing w:after="0" w:line="136" w:lineRule="exact"/>
        <w:rPr>
          <w:sz w:val="20"/>
          <w:szCs w:val="20"/>
          <w:color w:val="auto"/>
        </w:rPr>
      </w:pPr>
    </w:p>
    <w:p>
      <w:pPr>
        <w:jc w:val="both"/>
        <w:ind w:firstLine="509"/>
        <w:spacing w:after="0" w:line="297" w:lineRule="auto"/>
        <w:rPr>
          <w:sz w:val="20"/>
          <w:szCs w:val="20"/>
          <w:color w:val="auto"/>
        </w:rPr>
      </w:pPr>
      <w:r>
        <w:rPr>
          <w:rFonts w:ascii="Arial" w:cs="Arial" w:eastAsia="Arial" w:hAnsi="Arial"/>
          <w:sz w:val="13"/>
          <w:szCs w:val="13"/>
          <w:color w:val="auto"/>
        </w:rPr>
        <w:t>We have adopted a Code of Business Conduct and Ethics, which applies to all employees, including our Chief Executive Officer and our Chief Financial Officer and Principal Accounting Officer. The full text of our Code of Business Conduct and Ethics is published on our website, at www.pilgrims.com, under the “Investors-Corporate Governance” caption. We intend to disclose, if required, future amendments to, or waivers from, certain provisions of this Code on our website within four business days following the date of such amendment or waiver.</w:t>
      </w:r>
    </w:p>
    <w:p>
      <w:pPr>
        <w:spacing w:after="0" w:line="82" w:lineRule="exact"/>
        <w:rPr>
          <w:sz w:val="20"/>
          <w:szCs w:val="20"/>
          <w:color w:val="auto"/>
        </w:rPr>
      </w:pPr>
    </w:p>
    <w:p>
      <w:pPr>
        <w:jc w:val="both"/>
        <w:ind w:firstLine="509"/>
        <w:spacing w:after="0" w:line="281" w:lineRule="auto"/>
        <w:rPr>
          <w:sz w:val="20"/>
          <w:szCs w:val="20"/>
          <w:color w:val="auto"/>
        </w:rPr>
      </w:pPr>
      <w:r>
        <w:rPr>
          <w:rFonts w:ascii="Arial" w:cs="Arial" w:eastAsia="Arial" w:hAnsi="Arial"/>
          <w:sz w:val="14"/>
          <w:szCs w:val="14"/>
          <w:color w:val="auto"/>
        </w:rPr>
        <w:t>The other information required by Item 10 is incorporated by reference herein from the Company’s Definitive Proxy Statement for its 2022 Annual Meeting of Stockholders to be filed no later than 120 days after the close of the fiscal year covered by this report, which sections are incorporated herein by reference.</w:t>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11. Executive Compensation</w:t>
      </w:r>
    </w:p>
    <w:p>
      <w:pPr>
        <w:spacing w:after="0" w:line="140" w:lineRule="exact"/>
        <w:rPr>
          <w:sz w:val="20"/>
          <w:szCs w:val="20"/>
          <w:color w:val="auto"/>
        </w:rPr>
      </w:pPr>
    </w:p>
    <w:p>
      <w:pPr>
        <w:jc w:val="both"/>
        <w:ind w:firstLine="509"/>
        <w:spacing w:after="0" w:line="281" w:lineRule="auto"/>
        <w:rPr>
          <w:sz w:val="20"/>
          <w:szCs w:val="20"/>
          <w:color w:val="auto"/>
        </w:rPr>
      </w:pPr>
      <w:r>
        <w:rPr>
          <w:rFonts w:ascii="Arial" w:cs="Arial" w:eastAsia="Arial" w:hAnsi="Arial"/>
          <w:sz w:val="14"/>
          <w:szCs w:val="14"/>
          <w:color w:val="auto"/>
        </w:rPr>
        <w:t>The information required by Item 11 is incorporated by reference herein from the Company’s Definitive Proxy Statement for its 2022 Annual Meeting of Stockholders to be filed no later than 120 days after the close of the fiscal year covered by this report, which sections are incorporated herein by reference.</w:t>
      </w:r>
    </w:p>
    <w:p>
      <w:pPr>
        <w:spacing w:after="0" w:line="86" w:lineRule="exact"/>
        <w:rPr>
          <w:sz w:val="20"/>
          <w:szCs w:val="20"/>
          <w:color w:val="auto"/>
        </w:rPr>
      </w:pPr>
    </w:p>
    <w:p>
      <w:pPr>
        <w:ind w:right="4620"/>
        <w:spacing w:after="0" w:line="456" w:lineRule="auto"/>
        <w:rPr>
          <w:sz w:val="20"/>
          <w:szCs w:val="20"/>
          <w:color w:val="auto"/>
        </w:rPr>
      </w:pPr>
      <w:r>
        <w:rPr>
          <w:rFonts w:ascii="Arial" w:cs="Arial" w:eastAsia="Arial" w:hAnsi="Arial"/>
          <w:sz w:val="14"/>
          <w:szCs w:val="14"/>
          <w:b w:val="1"/>
          <w:bCs w:val="1"/>
          <w:color w:val="auto"/>
        </w:rPr>
        <w:t xml:space="preserve">Item 12. Security Ownership of Certain Beneficial Owners and Management and Related Stockholder Matters </w:t>
      </w:r>
      <w:r>
        <w:rPr>
          <w:rFonts w:ascii="Arial" w:cs="Arial" w:eastAsia="Arial" w:hAnsi="Arial"/>
          <w:sz w:val="14"/>
          <w:szCs w:val="14"/>
          <w:i w:val="1"/>
          <w:iCs w:val="1"/>
          <w:color w:val="auto"/>
        </w:rPr>
        <w:t>Equity Compensation Plan Information</w:t>
      </w:r>
    </w:p>
    <w:tbl>
      <w:tblPr>
        <w:tblLayout w:type="fixed"/>
        <w:tblInd w:w="0" w:type="dxa"/>
        <w:tblCellMar>
          <w:top w:w="0" w:type="dxa"/>
          <w:left w:w="0" w:type="dxa"/>
          <w:bottom w:w="0" w:type="dxa"/>
          <w:right w:w="0" w:type="dxa"/>
        </w:tblCellMar>
      </w:tblPr>
      <w:tr>
        <w:trPr>
          <w:trHeight w:val="114"/>
        </w:trPr>
        <w:tc>
          <w:tcPr>
            <w:tcW w:w="4700" w:type="dxa"/>
            <w:vAlign w:val="bottom"/>
          </w:tcPr>
          <w:p>
            <w:pPr>
              <w:spacing w:after="0"/>
              <w:rPr>
                <w:sz w:val="9"/>
                <w:szCs w:val="9"/>
                <w:color w:val="auto"/>
              </w:rPr>
            </w:pPr>
          </w:p>
        </w:tc>
        <w:tc>
          <w:tcPr>
            <w:tcW w:w="80" w:type="dxa"/>
            <w:vAlign w:val="bottom"/>
          </w:tcPr>
          <w:p>
            <w:pPr>
              <w:spacing w:after="0"/>
              <w:rPr>
                <w:sz w:val="9"/>
                <w:szCs w:val="9"/>
                <w:color w:val="auto"/>
              </w:rPr>
            </w:pPr>
          </w:p>
        </w:tc>
        <w:tc>
          <w:tcPr>
            <w:tcW w:w="2160" w:type="dxa"/>
            <w:vAlign w:val="bottom"/>
            <w:gridSpan w:val="2"/>
            <w:vMerge w:val="restart"/>
          </w:tcPr>
          <w:p>
            <w:pPr>
              <w:jc w:val="center"/>
              <w:ind w:right="80"/>
              <w:spacing w:after="0"/>
              <w:rPr>
                <w:sz w:val="20"/>
                <w:szCs w:val="20"/>
                <w:color w:val="auto"/>
              </w:rPr>
            </w:pPr>
            <w:r>
              <w:rPr>
                <w:rFonts w:ascii="Arial" w:cs="Arial" w:eastAsia="Arial" w:hAnsi="Arial"/>
                <w:sz w:val="11"/>
                <w:szCs w:val="11"/>
                <w:b w:val="1"/>
                <w:bCs w:val="1"/>
                <w:color w:val="auto"/>
                <w:w w:val="91"/>
              </w:rPr>
              <w:t>Number of Securities to Be Issued Upon</w:t>
            </w:r>
          </w:p>
        </w:tc>
        <w:tc>
          <w:tcPr>
            <w:tcW w:w="140" w:type="dxa"/>
            <w:vAlign w:val="bottom"/>
          </w:tcPr>
          <w:p>
            <w:pPr>
              <w:spacing w:after="0"/>
              <w:rPr>
                <w:sz w:val="9"/>
                <w:szCs w:val="9"/>
                <w:color w:val="auto"/>
              </w:rPr>
            </w:pPr>
          </w:p>
        </w:tc>
        <w:tc>
          <w:tcPr>
            <w:tcW w:w="1960" w:type="dxa"/>
            <w:vAlign w:val="bottom"/>
          </w:tcPr>
          <w:p>
            <w:pPr>
              <w:spacing w:after="0"/>
              <w:rPr>
                <w:sz w:val="9"/>
                <w:szCs w:val="9"/>
                <w:color w:val="auto"/>
              </w:rPr>
            </w:pPr>
          </w:p>
        </w:tc>
        <w:tc>
          <w:tcPr>
            <w:tcW w:w="80" w:type="dxa"/>
            <w:vAlign w:val="bottom"/>
          </w:tcPr>
          <w:p>
            <w:pPr>
              <w:spacing w:after="0"/>
              <w:rPr>
                <w:sz w:val="9"/>
                <w:szCs w:val="9"/>
                <w:color w:val="auto"/>
              </w:rPr>
            </w:pPr>
          </w:p>
        </w:tc>
        <w:tc>
          <w:tcPr>
            <w:tcW w:w="2120" w:type="dxa"/>
            <w:vAlign w:val="bottom"/>
          </w:tcPr>
          <w:p>
            <w:pPr>
              <w:jc w:val="center"/>
              <w:spacing w:after="0" w:line="114" w:lineRule="exact"/>
              <w:rPr>
                <w:sz w:val="20"/>
                <w:szCs w:val="20"/>
                <w:color w:val="auto"/>
              </w:rPr>
            </w:pPr>
            <w:r>
              <w:rPr>
                <w:rFonts w:ascii="Arial" w:cs="Arial" w:eastAsia="Arial" w:hAnsi="Arial"/>
                <w:sz w:val="11"/>
                <w:szCs w:val="11"/>
                <w:b w:val="1"/>
                <w:bCs w:val="1"/>
                <w:color w:val="auto"/>
                <w:w w:val="93"/>
              </w:rPr>
              <w:t>Number of Securities Remaining Available</w:t>
            </w:r>
          </w:p>
        </w:tc>
        <w:tc>
          <w:tcPr>
            <w:tcW w:w="0" w:type="dxa"/>
            <w:vAlign w:val="bottom"/>
          </w:tcPr>
          <w:p>
            <w:pPr>
              <w:spacing w:after="0"/>
              <w:rPr>
                <w:sz w:val="1"/>
                <w:szCs w:val="1"/>
                <w:color w:val="auto"/>
              </w:rPr>
            </w:pPr>
          </w:p>
        </w:tc>
      </w:tr>
      <w:tr>
        <w:trPr>
          <w:trHeight w:val="106"/>
        </w:trPr>
        <w:tc>
          <w:tcPr>
            <w:tcW w:w="4700" w:type="dxa"/>
            <w:vAlign w:val="bottom"/>
          </w:tcPr>
          <w:p>
            <w:pPr>
              <w:spacing w:after="0"/>
              <w:rPr>
                <w:sz w:val="9"/>
                <w:szCs w:val="9"/>
                <w:color w:val="auto"/>
              </w:rPr>
            </w:pPr>
          </w:p>
        </w:tc>
        <w:tc>
          <w:tcPr>
            <w:tcW w:w="80" w:type="dxa"/>
            <w:vAlign w:val="bottom"/>
          </w:tcPr>
          <w:p>
            <w:pPr>
              <w:spacing w:after="0"/>
              <w:rPr>
                <w:sz w:val="9"/>
                <w:szCs w:val="9"/>
                <w:color w:val="auto"/>
              </w:rPr>
            </w:pPr>
          </w:p>
        </w:tc>
        <w:tc>
          <w:tcPr>
            <w:tcW w:w="21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204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Weighted-Average Exercise Price of</w:t>
            </w:r>
          </w:p>
        </w:tc>
        <w:tc>
          <w:tcPr>
            <w:tcW w:w="2120" w:type="dxa"/>
            <w:vAlign w:val="bottom"/>
          </w:tcPr>
          <w:p>
            <w:pPr>
              <w:jc w:val="center"/>
              <w:spacing w:after="0" w:line="106" w:lineRule="exact"/>
              <w:rPr>
                <w:sz w:val="20"/>
                <w:szCs w:val="20"/>
                <w:color w:val="auto"/>
              </w:rPr>
            </w:pPr>
            <w:r>
              <w:rPr>
                <w:rFonts w:ascii="Arial" w:cs="Arial" w:eastAsia="Arial" w:hAnsi="Arial"/>
                <w:sz w:val="11"/>
                <w:szCs w:val="11"/>
                <w:b w:val="1"/>
                <w:bCs w:val="1"/>
                <w:color w:val="auto"/>
                <w:w w:val="94"/>
              </w:rPr>
              <w:t>for Future Issuance Under Equity</w:t>
            </w:r>
          </w:p>
        </w:tc>
        <w:tc>
          <w:tcPr>
            <w:tcW w:w="0" w:type="dxa"/>
            <w:vAlign w:val="bottom"/>
          </w:tcPr>
          <w:p>
            <w:pPr>
              <w:spacing w:after="0"/>
              <w:rPr>
                <w:sz w:val="1"/>
                <w:szCs w:val="1"/>
                <w:color w:val="auto"/>
              </w:rPr>
            </w:pPr>
          </w:p>
        </w:tc>
      </w:tr>
      <w:tr>
        <w:trPr>
          <w:trHeight w:val="106"/>
        </w:trPr>
        <w:tc>
          <w:tcPr>
            <w:tcW w:w="470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Plan Category</w:t>
            </w:r>
            <w:r>
              <w:rPr>
                <w:rFonts w:ascii="Arial" w:cs="Arial" w:eastAsia="Arial" w:hAnsi="Arial"/>
                <w:sz w:val="14"/>
                <w:szCs w:val="14"/>
                <w:b w:val="1"/>
                <w:bCs w:val="1"/>
                <w:color w:val="auto"/>
                <w:vertAlign w:val="superscript"/>
              </w:rPr>
              <w:t>(a)</w:t>
            </w:r>
          </w:p>
        </w:tc>
        <w:tc>
          <w:tcPr>
            <w:tcW w:w="80" w:type="dxa"/>
            <w:vAlign w:val="bottom"/>
            <w:vMerge w:val="restart"/>
          </w:tcPr>
          <w:p>
            <w:pPr>
              <w:spacing w:after="0"/>
              <w:rPr>
                <w:sz w:val="9"/>
                <w:szCs w:val="9"/>
                <w:color w:val="auto"/>
              </w:rPr>
            </w:pPr>
          </w:p>
        </w:tc>
        <w:tc>
          <w:tcPr>
            <w:tcW w:w="2160" w:type="dxa"/>
            <w:vAlign w:val="bottom"/>
            <w:gridSpan w:val="2"/>
          </w:tcPr>
          <w:p>
            <w:pPr>
              <w:jc w:val="center"/>
              <w:ind w:right="80"/>
              <w:spacing w:after="0" w:line="106" w:lineRule="exact"/>
              <w:rPr>
                <w:sz w:val="20"/>
                <w:szCs w:val="20"/>
                <w:color w:val="auto"/>
              </w:rPr>
            </w:pPr>
            <w:r>
              <w:rPr>
                <w:rFonts w:ascii="Arial" w:cs="Arial" w:eastAsia="Arial" w:hAnsi="Arial"/>
                <w:sz w:val="11"/>
                <w:szCs w:val="11"/>
                <w:b w:val="1"/>
                <w:bCs w:val="1"/>
                <w:color w:val="auto"/>
                <w:w w:val="91"/>
              </w:rPr>
              <w:t>Exercise of Outstanding Options,</w:t>
            </w:r>
          </w:p>
        </w:tc>
        <w:tc>
          <w:tcPr>
            <w:tcW w:w="140" w:type="dxa"/>
            <w:vAlign w:val="bottom"/>
          </w:tcPr>
          <w:p>
            <w:pPr>
              <w:spacing w:after="0"/>
              <w:rPr>
                <w:sz w:val="9"/>
                <w:szCs w:val="9"/>
                <w:color w:val="auto"/>
              </w:rPr>
            </w:pPr>
          </w:p>
        </w:tc>
        <w:tc>
          <w:tcPr>
            <w:tcW w:w="2040" w:type="dxa"/>
            <w:vAlign w:val="bottom"/>
            <w:gridSpan w:val="2"/>
            <w:vMerge w:val="continue"/>
          </w:tcPr>
          <w:p>
            <w:pPr>
              <w:spacing w:after="0"/>
              <w:rPr>
                <w:sz w:val="9"/>
                <w:szCs w:val="9"/>
                <w:color w:val="auto"/>
              </w:rPr>
            </w:pPr>
          </w:p>
        </w:tc>
        <w:tc>
          <w:tcPr>
            <w:tcW w:w="2120" w:type="dxa"/>
            <w:vAlign w:val="bottom"/>
          </w:tcPr>
          <w:p>
            <w:pPr>
              <w:jc w:val="center"/>
              <w:spacing w:after="0" w:line="106" w:lineRule="exact"/>
              <w:rPr>
                <w:sz w:val="20"/>
                <w:szCs w:val="20"/>
                <w:color w:val="auto"/>
              </w:rPr>
            </w:pPr>
            <w:r>
              <w:rPr>
                <w:rFonts w:ascii="Arial" w:cs="Arial" w:eastAsia="Arial" w:hAnsi="Arial"/>
                <w:sz w:val="11"/>
                <w:szCs w:val="11"/>
                <w:b w:val="1"/>
                <w:bCs w:val="1"/>
                <w:color w:val="auto"/>
                <w:w w:val="91"/>
              </w:rPr>
              <w:t>Compensation Plans (Excluding Securities</w:t>
            </w:r>
          </w:p>
        </w:tc>
        <w:tc>
          <w:tcPr>
            <w:tcW w:w="0" w:type="dxa"/>
            <w:vAlign w:val="bottom"/>
          </w:tcPr>
          <w:p>
            <w:pPr>
              <w:spacing w:after="0"/>
              <w:rPr>
                <w:sz w:val="1"/>
                <w:szCs w:val="1"/>
                <w:color w:val="auto"/>
              </w:rPr>
            </w:pPr>
          </w:p>
        </w:tc>
      </w:tr>
      <w:tr>
        <w:trPr>
          <w:trHeight w:val="149"/>
        </w:trPr>
        <w:tc>
          <w:tcPr>
            <w:tcW w:w="470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CCEEFF"/>
            </w:tcBorders>
            <w:vMerge w:val="continue"/>
          </w:tcPr>
          <w:p>
            <w:pPr>
              <w:spacing w:after="0"/>
              <w:rPr>
                <w:sz w:val="12"/>
                <w:szCs w:val="12"/>
                <w:color w:val="auto"/>
              </w:rPr>
            </w:pPr>
          </w:p>
        </w:tc>
        <w:tc>
          <w:tcPr>
            <w:tcW w:w="2060" w:type="dxa"/>
            <w:vAlign w:val="bottom"/>
            <w:tcBorders>
              <w:bottom w:val="single" w:sz="8" w:color="auto"/>
            </w:tcBorders>
          </w:tcPr>
          <w:p>
            <w:pPr>
              <w:jc w:val="center"/>
              <w:spacing w:after="0" w:line="149" w:lineRule="exact"/>
              <w:rPr>
                <w:sz w:val="20"/>
                <w:szCs w:val="20"/>
                <w:color w:val="auto"/>
              </w:rPr>
            </w:pPr>
            <w:r>
              <w:rPr>
                <w:rFonts w:ascii="Arial" w:cs="Arial" w:eastAsia="Arial" w:hAnsi="Arial"/>
                <w:sz w:val="11"/>
                <w:szCs w:val="11"/>
                <w:b w:val="1"/>
                <w:bCs w:val="1"/>
                <w:color w:val="auto"/>
                <w:w w:val="93"/>
              </w:rPr>
              <w:t>Warrants and Rights</w:t>
            </w:r>
            <w:r>
              <w:rPr>
                <w:rFonts w:ascii="Arial" w:cs="Arial" w:eastAsia="Arial" w:hAnsi="Arial"/>
                <w:sz w:val="14"/>
                <w:szCs w:val="14"/>
                <w:b w:val="1"/>
                <w:bCs w:val="1"/>
                <w:color w:val="auto"/>
                <w:w w:val="93"/>
                <w:vertAlign w:val="superscript"/>
              </w:rPr>
              <w:t>(b)</w:t>
            </w:r>
          </w:p>
        </w:tc>
        <w:tc>
          <w:tcPr>
            <w:tcW w:w="100" w:type="dxa"/>
            <w:vAlign w:val="bottom"/>
            <w:tcBorders>
              <w:bottom w:val="single" w:sz="8" w:color="CCEEFF"/>
            </w:tcBorders>
          </w:tcPr>
          <w:p>
            <w:pPr>
              <w:spacing w:after="0"/>
              <w:rPr>
                <w:sz w:val="12"/>
                <w:szCs w:val="12"/>
                <w:color w:val="auto"/>
              </w:rPr>
            </w:pPr>
          </w:p>
        </w:tc>
        <w:tc>
          <w:tcPr>
            <w:tcW w:w="210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b w:val="1"/>
                <w:bCs w:val="1"/>
                <w:color w:val="auto"/>
                <w:w w:val="94"/>
              </w:rPr>
              <w:t>Outstanding Option, Warrants and Rights</w:t>
            </w:r>
          </w:p>
        </w:tc>
        <w:tc>
          <w:tcPr>
            <w:tcW w:w="80" w:type="dxa"/>
            <w:vAlign w:val="bottom"/>
            <w:tcBorders>
              <w:bottom w:val="single" w:sz="8" w:color="CCEEFF"/>
            </w:tcBorders>
          </w:tcPr>
          <w:p>
            <w:pPr>
              <w:spacing w:after="0"/>
              <w:rPr>
                <w:sz w:val="12"/>
                <w:szCs w:val="12"/>
                <w:color w:val="auto"/>
              </w:rPr>
            </w:pP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3"/>
              </w:rPr>
              <w:t>Reflected in the First Column)</w:t>
            </w:r>
          </w:p>
        </w:tc>
        <w:tc>
          <w:tcPr>
            <w:tcW w:w="0" w:type="dxa"/>
            <w:vAlign w:val="bottom"/>
          </w:tcPr>
          <w:p>
            <w:pPr>
              <w:spacing w:after="0"/>
              <w:rPr>
                <w:sz w:val="1"/>
                <w:szCs w:val="1"/>
                <w:color w:val="auto"/>
              </w:rPr>
            </w:pPr>
          </w:p>
        </w:tc>
      </w:tr>
      <w:tr>
        <w:trPr>
          <w:trHeight w:val="160"/>
        </w:trPr>
        <w:tc>
          <w:tcPr>
            <w:tcW w:w="478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Equity compensation plans approved by securities holders</w:t>
            </w:r>
          </w:p>
        </w:tc>
        <w:tc>
          <w:tcPr>
            <w:tcW w:w="2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972,359</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20.25</w:t>
            </w:r>
          </w:p>
        </w:tc>
        <w:tc>
          <w:tcPr>
            <w:tcW w:w="80" w:type="dxa"/>
            <w:vAlign w:val="bottom"/>
            <w:shd w:val="clear" w:color="auto" w:fill="CCEEFF"/>
          </w:tcPr>
          <w:p>
            <w:pPr>
              <w:spacing w:after="0"/>
              <w:rPr>
                <w:sz w:val="13"/>
                <w:szCs w:val="13"/>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1,027,649</w:t>
            </w:r>
          </w:p>
        </w:tc>
        <w:tc>
          <w:tcPr>
            <w:tcW w:w="0" w:type="dxa"/>
            <w:vAlign w:val="bottom"/>
          </w:tcPr>
          <w:p>
            <w:pPr>
              <w:spacing w:after="0"/>
              <w:rPr>
                <w:sz w:val="1"/>
                <w:szCs w:val="1"/>
                <w:color w:val="auto"/>
              </w:rPr>
            </w:pPr>
          </w:p>
        </w:tc>
      </w:tr>
      <w:tr>
        <w:trPr>
          <w:trHeight w:val="168"/>
        </w:trPr>
        <w:tc>
          <w:tcPr>
            <w:tcW w:w="4780" w:type="dxa"/>
            <w:vAlign w:val="bottom"/>
            <w:gridSpan w:val="2"/>
          </w:tcPr>
          <w:p>
            <w:pPr>
              <w:ind w:left="140"/>
              <w:spacing w:after="0"/>
              <w:rPr>
                <w:sz w:val="20"/>
                <w:szCs w:val="20"/>
                <w:color w:val="auto"/>
              </w:rPr>
            </w:pPr>
            <w:r>
              <w:rPr>
                <w:rFonts w:ascii="Arial" w:cs="Arial" w:eastAsia="Arial" w:hAnsi="Arial"/>
                <w:sz w:val="13"/>
                <w:szCs w:val="13"/>
                <w:color w:val="auto"/>
              </w:rPr>
              <w:t>Equity compensation plans not approved by securities holders</w:t>
            </w:r>
          </w:p>
        </w:tc>
        <w:tc>
          <w:tcPr>
            <w:tcW w:w="21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2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1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8"/>
        </w:trPr>
        <w:tc>
          <w:tcPr>
            <w:tcW w:w="47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Total</w:t>
            </w:r>
          </w:p>
        </w:tc>
        <w:tc>
          <w:tcPr>
            <w:tcW w:w="2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972,359</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20.25</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1,027,649</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8" w:lineRule="exact"/>
        <w:rPr>
          <w:sz w:val="20"/>
          <w:szCs w:val="20"/>
          <w:color w:val="auto"/>
        </w:rPr>
      </w:pPr>
    </w:p>
    <w:p>
      <w:pPr>
        <w:ind w:left="520" w:hanging="515"/>
        <w:spacing w:after="0" w:line="251" w:lineRule="auto"/>
        <w:tabs>
          <w:tab w:leader="none" w:pos="518" w:val="left"/>
        </w:tabs>
        <w:numPr>
          <w:ilvl w:val="0"/>
          <w:numId w:val="43"/>
        </w:numPr>
        <w:rPr>
          <w:rFonts w:ascii="Arial" w:cs="Arial" w:eastAsia="Arial" w:hAnsi="Arial"/>
          <w:sz w:val="11"/>
          <w:szCs w:val="11"/>
          <w:color w:val="auto"/>
        </w:rPr>
      </w:pPr>
      <w:r>
        <w:rPr>
          <w:rFonts w:ascii="Arial" w:cs="Arial" w:eastAsia="Arial" w:hAnsi="Arial"/>
          <w:sz w:val="11"/>
          <w:szCs w:val="11"/>
          <w:color w:val="auto"/>
        </w:rPr>
        <w:t>The table provides certain information about our common stock that may be issued under the Long Term Incentive Plan (the “LTIP”), as of December 26, 2021. For additional information concerning terms of the LTIP, see Part II. Item 8, Notes to Consolidated Financial Statements, “Note 16. Incentive Compensation” in this annual report.</w:t>
      </w:r>
    </w:p>
    <w:p>
      <w:pPr>
        <w:ind w:left="500" w:hanging="495"/>
        <w:spacing w:after="0"/>
        <w:tabs>
          <w:tab w:leader="none" w:pos="500" w:val="left"/>
        </w:tabs>
        <w:numPr>
          <w:ilvl w:val="0"/>
          <w:numId w:val="43"/>
        </w:numPr>
        <w:rPr>
          <w:rFonts w:ascii="Arial" w:cs="Arial" w:eastAsia="Arial" w:hAnsi="Arial"/>
          <w:sz w:val="11"/>
          <w:szCs w:val="11"/>
          <w:color w:val="auto"/>
        </w:rPr>
      </w:pPr>
      <w:r>
        <w:rPr>
          <w:rFonts w:ascii="Arial" w:cs="Arial" w:eastAsia="Arial" w:hAnsi="Arial"/>
          <w:sz w:val="11"/>
          <w:szCs w:val="11"/>
          <w:color w:val="auto"/>
        </w:rPr>
        <w:t>These amounts represent restricted stock units outstanding, but not yet vested, under the 2019 LTIP as of December 26, 2021.</w:t>
      </w:r>
    </w:p>
    <w:p>
      <w:pPr>
        <w:spacing w:after="0" w:line="123" w:lineRule="exact"/>
        <w:rPr>
          <w:sz w:val="20"/>
          <w:szCs w:val="20"/>
          <w:color w:val="auto"/>
        </w:rPr>
      </w:pPr>
    </w:p>
    <w:p>
      <w:pPr>
        <w:ind w:firstLine="509"/>
        <w:spacing w:after="0" w:line="281" w:lineRule="auto"/>
        <w:rPr>
          <w:sz w:val="20"/>
          <w:szCs w:val="20"/>
          <w:color w:val="auto"/>
        </w:rPr>
      </w:pPr>
      <w:r>
        <w:rPr>
          <w:rFonts w:ascii="Arial" w:cs="Arial" w:eastAsia="Arial" w:hAnsi="Arial"/>
          <w:sz w:val="14"/>
          <w:szCs w:val="14"/>
          <w:color w:val="auto"/>
        </w:rPr>
        <w:t>The other information required by Item 12 is incorporated by reference herein from the Company’s Definitive Proxy Statement for its 2022 Annual Meeting of Stockholders to be filed no later than 120 days after the close of the fiscal year covered by this report, which sections are incorporated herein by reference.</w:t>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13. Certain Relationships and Related Transactions, and Director Independence</w:t>
      </w:r>
    </w:p>
    <w:p>
      <w:pPr>
        <w:spacing w:after="0" w:line="140" w:lineRule="exact"/>
        <w:rPr>
          <w:sz w:val="20"/>
          <w:szCs w:val="20"/>
          <w:color w:val="auto"/>
        </w:rPr>
      </w:pPr>
    </w:p>
    <w:p>
      <w:pPr>
        <w:ind w:firstLine="509"/>
        <w:spacing w:after="0" w:line="281" w:lineRule="auto"/>
        <w:rPr>
          <w:sz w:val="20"/>
          <w:szCs w:val="20"/>
          <w:color w:val="auto"/>
        </w:rPr>
      </w:pPr>
      <w:r>
        <w:rPr>
          <w:rFonts w:ascii="Arial" w:cs="Arial" w:eastAsia="Arial" w:hAnsi="Arial"/>
          <w:sz w:val="14"/>
          <w:szCs w:val="14"/>
          <w:color w:val="auto"/>
        </w:rPr>
        <w:t>The information required by Item 13 is incorporated by reference herein from the Company’s Definitive Proxy Statement for its 2022 Annual Meeting of Stockholders to be filed no later than 120 days after the close of the fiscal year covered by this report, which sections are incorporated herein by reference.</w:t>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14. Principal Accountant Fees and Services</w:t>
      </w:r>
    </w:p>
    <w:p>
      <w:pPr>
        <w:spacing w:after="0" w:line="14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Our independent registered public accounting firm is KPMG LLP, Denver, CO, Auditor Firm ID: 185.</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00" w:name="page101"/>
    <w:bookmarkEnd w:id="10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71" w:lineRule="exact"/>
        <w:rPr>
          <w:sz w:val="20"/>
          <w:szCs w:val="20"/>
          <w:color w:val="auto"/>
        </w:rPr>
      </w:pPr>
    </w:p>
    <w:p>
      <w:pPr>
        <w:ind w:firstLine="509"/>
        <w:spacing w:after="0" w:line="281" w:lineRule="auto"/>
        <w:rPr>
          <w:sz w:val="20"/>
          <w:szCs w:val="20"/>
          <w:color w:val="auto"/>
        </w:rPr>
      </w:pPr>
      <w:r>
        <w:rPr>
          <w:rFonts w:ascii="Arial" w:cs="Arial" w:eastAsia="Arial" w:hAnsi="Arial"/>
          <w:sz w:val="14"/>
          <w:szCs w:val="14"/>
          <w:color w:val="auto"/>
        </w:rPr>
        <w:t>The information required by Item 14 is incorporated by reference herein from the Company’s Definitive Proxy Statement for its 2022 Annual Meeting of Stockholders to be filed no later than 120 days after the close of the fiscal year covered by this report, which sections are incorporated herein by reference.</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01" w:name="page102"/>
    <w:bookmarkEnd w:id="10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PART IV</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15. Exhibits and Financial Statement Schedules</w:t>
      </w:r>
    </w:p>
    <w:p>
      <w:pPr>
        <w:spacing w:after="0" w:line="140" w:lineRule="exact"/>
        <w:rPr>
          <w:sz w:val="20"/>
          <w:szCs w:val="20"/>
          <w:color w:val="auto"/>
        </w:rPr>
      </w:pPr>
    </w:p>
    <w:p>
      <w:pPr>
        <w:ind w:left="520" w:hanging="260"/>
        <w:spacing w:after="0"/>
        <w:tabs>
          <w:tab w:leader="none" w:pos="5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Financial Statements</w:t>
      </w:r>
    </w:p>
    <w:p>
      <w:pPr>
        <w:spacing w:after="0" w:line="136" w:lineRule="exact"/>
        <w:rPr>
          <w:rFonts w:ascii="Arial" w:cs="Arial" w:eastAsia="Arial" w:hAnsi="Arial"/>
          <w:sz w:val="14"/>
          <w:szCs w:val="14"/>
          <w:color w:val="auto"/>
        </w:rPr>
      </w:pPr>
    </w:p>
    <w:p>
      <w:pPr>
        <w:ind w:left="1020" w:hanging="385"/>
        <w:spacing w:after="0"/>
        <w:tabs>
          <w:tab w:leader="none" w:pos="1020" w:val="left"/>
        </w:tabs>
        <w:numPr>
          <w:ilvl w:val="1"/>
          <w:numId w:val="44"/>
        </w:numPr>
        <w:rPr>
          <w:rFonts w:ascii="Arial" w:cs="Arial" w:eastAsia="Arial" w:hAnsi="Arial"/>
          <w:sz w:val="14"/>
          <w:szCs w:val="14"/>
          <w:color w:val="auto"/>
        </w:rPr>
      </w:pPr>
      <w:r>
        <w:rPr>
          <w:rFonts w:ascii="Arial" w:cs="Arial" w:eastAsia="Arial" w:hAnsi="Arial"/>
          <w:sz w:val="14"/>
          <w:szCs w:val="14"/>
          <w:color w:val="auto"/>
        </w:rPr>
        <w:t>The financial statements and schedules listed in the index to financial statements and schedules on page 1 of this annual report are filed as part of this annual report.</w:t>
      </w:r>
    </w:p>
    <w:p>
      <w:pPr>
        <w:spacing w:after="0" w:line="136" w:lineRule="exact"/>
        <w:rPr>
          <w:rFonts w:ascii="Arial" w:cs="Arial" w:eastAsia="Arial" w:hAnsi="Arial"/>
          <w:sz w:val="14"/>
          <w:szCs w:val="14"/>
          <w:color w:val="auto"/>
        </w:rPr>
      </w:pPr>
    </w:p>
    <w:p>
      <w:pPr>
        <w:ind w:left="1020" w:hanging="424"/>
        <w:spacing w:after="0" w:line="281" w:lineRule="auto"/>
        <w:tabs>
          <w:tab w:leader="none" w:pos="1020" w:val="left"/>
        </w:tabs>
        <w:numPr>
          <w:ilvl w:val="1"/>
          <w:numId w:val="44"/>
        </w:numPr>
        <w:rPr>
          <w:rFonts w:ascii="Arial" w:cs="Arial" w:eastAsia="Arial" w:hAnsi="Arial"/>
          <w:sz w:val="14"/>
          <w:szCs w:val="14"/>
          <w:color w:val="auto"/>
        </w:rPr>
      </w:pPr>
      <w:r>
        <w:rPr>
          <w:rFonts w:ascii="Arial" w:cs="Arial" w:eastAsia="Arial" w:hAnsi="Arial"/>
          <w:sz w:val="14"/>
          <w:szCs w:val="14"/>
          <w:color w:val="auto"/>
        </w:rPr>
        <w:t>All other schedules for which provision is made in the applicable accounting regulations of the Securities and Exchange Commission are not required under the related instructions or are not applicable and therefore have been omitted.</w:t>
      </w:r>
    </w:p>
    <w:p>
      <w:pPr>
        <w:spacing w:after="0" w:line="89" w:lineRule="exact"/>
        <w:rPr>
          <w:rFonts w:ascii="Arial" w:cs="Arial" w:eastAsia="Arial" w:hAnsi="Arial"/>
          <w:sz w:val="14"/>
          <w:szCs w:val="14"/>
          <w:color w:val="auto"/>
        </w:rPr>
      </w:pPr>
    </w:p>
    <w:p>
      <w:pPr>
        <w:ind w:left="1020" w:hanging="463"/>
        <w:spacing w:after="0"/>
        <w:tabs>
          <w:tab w:leader="none" w:pos="1020" w:val="left"/>
        </w:tabs>
        <w:numPr>
          <w:ilvl w:val="1"/>
          <w:numId w:val="44"/>
        </w:numPr>
        <w:rPr>
          <w:rFonts w:ascii="Arial" w:cs="Arial" w:eastAsia="Arial" w:hAnsi="Arial"/>
          <w:sz w:val="14"/>
          <w:szCs w:val="14"/>
          <w:color w:val="auto"/>
        </w:rPr>
      </w:pPr>
      <w:r>
        <w:rPr>
          <w:rFonts w:ascii="Arial" w:cs="Arial" w:eastAsia="Arial" w:hAnsi="Arial"/>
          <w:sz w:val="14"/>
          <w:szCs w:val="14"/>
          <w:color w:val="auto"/>
        </w:rPr>
        <w:t>The financial statements schedule entitled “Valuation and Qualifying Accounts and Reserves” is filed as part of this annual report on page 94.</w:t>
      </w:r>
    </w:p>
    <w:p>
      <w:pPr>
        <w:spacing w:after="0" w:line="136" w:lineRule="exact"/>
        <w:rPr>
          <w:rFonts w:ascii="Arial" w:cs="Arial" w:eastAsia="Arial" w:hAnsi="Arial"/>
          <w:sz w:val="14"/>
          <w:szCs w:val="14"/>
          <w:color w:val="auto"/>
        </w:rPr>
      </w:pPr>
    </w:p>
    <w:p>
      <w:pPr>
        <w:ind w:left="500" w:hanging="240"/>
        <w:spacing w:after="0"/>
        <w:tabs>
          <w:tab w:leader="none" w:pos="500" w:val="left"/>
        </w:tabs>
        <w:numPr>
          <w:ilvl w:val="0"/>
          <w:numId w:val="44"/>
        </w:numPr>
        <w:rPr>
          <w:rFonts w:ascii="Arial" w:cs="Arial" w:eastAsia="Arial" w:hAnsi="Arial"/>
          <w:sz w:val="14"/>
          <w:szCs w:val="14"/>
          <w:color w:val="auto"/>
        </w:rPr>
      </w:pPr>
      <w:r>
        <w:rPr>
          <w:rFonts w:ascii="Arial" w:cs="Arial" w:eastAsia="Arial" w:hAnsi="Arial"/>
          <w:sz w:val="14"/>
          <w:szCs w:val="14"/>
          <w:color w:val="auto"/>
        </w:rPr>
        <w:t>Exhibits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Exhibit Number</w:t>
      </w:r>
    </w:p>
    <w:p>
      <w:pPr>
        <w:spacing w:after="0" w:line="157" w:lineRule="exact"/>
        <w:rPr>
          <w:sz w:val="20"/>
          <w:szCs w:val="20"/>
          <w:color w:val="auto"/>
        </w:rPr>
      </w:pPr>
    </w:p>
    <w:p>
      <w:pPr>
        <w:jc w:val="both"/>
        <w:ind w:left="1440" w:right="60" w:hanging="342"/>
        <w:spacing w:after="0" w:line="236" w:lineRule="auto"/>
        <w:tabs>
          <w:tab w:leader="none" w:pos="1420" w:val="left"/>
        </w:tabs>
        <w:rPr>
          <w:rFonts w:ascii="Arial" w:cs="Arial" w:eastAsia="Arial" w:hAnsi="Arial"/>
          <w:sz w:val="14"/>
          <w:szCs w:val="14"/>
          <w:u w:val="single" w:color="auto"/>
          <w:color w:val="0000FF"/>
        </w:rPr>
      </w:pPr>
      <w:r>
        <w:rPr>
          <w:rFonts w:ascii="Arial" w:cs="Arial" w:eastAsia="Arial" w:hAnsi="Arial"/>
          <w:sz w:val="14"/>
          <w:szCs w:val="14"/>
          <w:color w:val="auto"/>
        </w:rPr>
        <w:t>2.1</w:t>
      </w:r>
      <w:r>
        <w:rPr>
          <w:sz w:val="20"/>
          <w:szCs w:val="20"/>
          <w:color w:val="auto"/>
        </w:rPr>
        <w:tab/>
      </w:r>
      <w:hyperlink r:id="rId174">
        <w:r>
          <w:rPr>
            <w:rFonts w:ascii="Arial" w:cs="Arial" w:eastAsia="Arial" w:hAnsi="Arial"/>
            <w:sz w:val="14"/>
            <w:szCs w:val="14"/>
            <w:u w:val="single" w:color="auto"/>
            <w:color w:val="0000FF"/>
          </w:rPr>
          <w:t>Share Purchase Agreement, dated as of September 8, 2017, among JBS S.A., Granite Holdings S.à r.l., Onix Investments UK Limited and the Company (incorporated by</w:t>
        </w:r>
      </w:hyperlink>
      <w:r>
        <w:rPr>
          <w:rFonts w:ascii="Arial" w:cs="Arial" w:eastAsia="Arial" w:hAnsi="Arial"/>
          <w:sz w:val="14"/>
          <w:szCs w:val="14"/>
          <w:u w:val="single" w:color="auto"/>
          <w:color w:val="0000FF"/>
        </w:rPr>
        <w:t xml:space="preserve"> </w:t>
      </w:r>
      <w:hyperlink r:id="rId174">
        <w:r>
          <w:rPr>
            <w:rFonts w:ascii="Arial" w:cs="Arial" w:eastAsia="Arial" w:hAnsi="Arial"/>
            <w:sz w:val="14"/>
            <w:szCs w:val="14"/>
            <w:u w:val="single" w:color="auto"/>
            <w:color w:val="0000FF"/>
          </w:rPr>
          <w:t>reference from Exhibit 2.1 of the Company’s Current Report on Form 8-K (No. 001-09273) filed on September 11, 2017).</w:t>
        </w:r>
      </w:hyperlink>
    </w:p>
    <w:p>
      <w:pPr>
        <w:spacing w:after="0" w:line="44" w:lineRule="exact"/>
        <w:rPr>
          <w:sz w:val="20"/>
          <w:szCs w:val="20"/>
          <w:color w:val="auto"/>
        </w:rPr>
      </w:pPr>
    </w:p>
    <w:p>
      <w:pPr>
        <w:jc w:val="both"/>
        <w:ind w:left="1440" w:right="60" w:hanging="342"/>
        <w:spacing w:after="0" w:line="236" w:lineRule="auto"/>
        <w:tabs>
          <w:tab w:leader="none" w:pos="1420" w:val="left"/>
        </w:tabs>
        <w:rPr>
          <w:rFonts w:ascii="Arial" w:cs="Arial" w:eastAsia="Arial" w:hAnsi="Arial"/>
          <w:sz w:val="14"/>
          <w:szCs w:val="14"/>
          <w:u w:val="single" w:color="auto"/>
          <w:color w:val="0000FF"/>
        </w:rPr>
      </w:pPr>
      <w:r>
        <w:rPr>
          <w:rFonts w:ascii="Arial" w:cs="Arial" w:eastAsia="Arial" w:hAnsi="Arial"/>
          <w:sz w:val="14"/>
          <w:szCs w:val="14"/>
          <w:color w:val="auto"/>
        </w:rPr>
        <w:t>2.2</w:t>
      </w:r>
      <w:r>
        <w:rPr>
          <w:sz w:val="20"/>
          <w:szCs w:val="20"/>
          <w:color w:val="auto"/>
        </w:rPr>
        <w:tab/>
      </w:r>
      <w:hyperlink r:id="rId175">
        <w:r>
          <w:rPr>
            <w:rFonts w:ascii="Arial" w:cs="Arial" w:eastAsia="Arial" w:hAnsi="Arial"/>
            <w:sz w:val="14"/>
            <w:szCs w:val="14"/>
            <w:u w:val="single" w:color="auto"/>
            <w:color w:val="0000FF"/>
          </w:rPr>
          <w:t>Share Purchase Agreement, dated as of August 25, 2019, by and among Tulip International (UK) Limited and Onix Investments UK Limited (incorporated by reference</w:t>
        </w:r>
      </w:hyperlink>
      <w:r>
        <w:rPr>
          <w:rFonts w:ascii="Arial" w:cs="Arial" w:eastAsia="Arial" w:hAnsi="Arial"/>
          <w:sz w:val="14"/>
          <w:szCs w:val="14"/>
          <w:u w:val="single" w:color="auto"/>
          <w:color w:val="0000FF"/>
        </w:rPr>
        <w:t xml:space="preserve"> </w:t>
      </w:r>
      <w:hyperlink r:id="rId175">
        <w:r>
          <w:rPr>
            <w:rFonts w:ascii="Arial" w:cs="Arial" w:eastAsia="Arial" w:hAnsi="Arial"/>
            <w:sz w:val="14"/>
            <w:szCs w:val="14"/>
            <w:u w:val="single" w:color="auto"/>
            <w:color w:val="0000FF"/>
          </w:rPr>
          <w:t>from Exhibit 2.4 of the Company’s Annual Report Form 10-K filed on February 21, 2020).</w:t>
        </w:r>
      </w:hyperlink>
    </w:p>
    <w:p>
      <w:pPr>
        <w:spacing w:after="0" w:line="44" w:lineRule="exact"/>
        <w:rPr>
          <w:sz w:val="20"/>
          <w:szCs w:val="20"/>
          <w:color w:val="auto"/>
        </w:rPr>
      </w:pPr>
    </w:p>
    <w:p>
      <w:pPr>
        <w:jc w:val="both"/>
        <w:ind w:left="1440" w:right="60" w:hanging="342"/>
        <w:spacing w:after="0" w:line="236" w:lineRule="auto"/>
        <w:tabs>
          <w:tab w:leader="none" w:pos="1420" w:val="left"/>
        </w:tabs>
        <w:rPr>
          <w:rFonts w:ascii="Arial" w:cs="Arial" w:eastAsia="Arial" w:hAnsi="Arial"/>
          <w:sz w:val="14"/>
          <w:szCs w:val="14"/>
          <w:u w:val="single" w:color="auto"/>
          <w:color w:val="0000FF"/>
        </w:rPr>
      </w:pPr>
      <w:r>
        <w:rPr>
          <w:rFonts w:ascii="Arial" w:cs="Arial" w:eastAsia="Arial" w:hAnsi="Arial"/>
          <w:sz w:val="14"/>
          <w:szCs w:val="14"/>
          <w:color w:val="auto"/>
        </w:rPr>
        <w:t>2.3</w:t>
      </w:r>
      <w:r>
        <w:rPr>
          <w:sz w:val="20"/>
          <w:szCs w:val="20"/>
          <w:color w:val="auto"/>
        </w:rPr>
        <w:tab/>
      </w:r>
      <w:hyperlink r:id="rId176">
        <w:r>
          <w:rPr>
            <w:rFonts w:ascii="Arial" w:cs="Arial" w:eastAsia="Arial" w:hAnsi="Arial"/>
            <w:sz w:val="14"/>
            <w:szCs w:val="14"/>
            <w:u w:val="single" w:color="auto"/>
            <w:color w:val="0000FF"/>
          </w:rPr>
          <w:t>Exhibits to the Share Purchase Agreement, dated as of August 25, 2019, by and among Tulip International (UK) Limited and Onix Investments UK Limited (incorporated</w:t>
        </w:r>
      </w:hyperlink>
      <w:r>
        <w:rPr>
          <w:rFonts w:ascii="Arial" w:cs="Arial" w:eastAsia="Arial" w:hAnsi="Arial"/>
          <w:sz w:val="14"/>
          <w:szCs w:val="14"/>
          <w:u w:val="single" w:color="auto"/>
          <w:color w:val="0000FF"/>
        </w:rPr>
        <w:t xml:space="preserve"> </w:t>
      </w:r>
      <w:hyperlink r:id="rId176">
        <w:r>
          <w:rPr>
            <w:rFonts w:ascii="Arial" w:cs="Arial" w:eastAsia="Arial" w:hAnsi="Arial"/>
            <w:sz w:val="14"/>
            <w:szCs w:val="14"/>
            <w:u w:val="single" w:color="auto"/>
            <w:color w:val="0000FF"/>
          </w:rPr>
          <w:t>by reference from Exhibit 2.5 of the Company’s Annual Report on Form 10-K filed on February 21, 2020).</w:t>
        </w:r>
      </w:hyperlink>
    </w:p>
    <w:p>
      <w:pPr>
        <w:spacing w:after="0" w:line="44" w:lineRule="exact"/>
        <w:rPr>
          <w:sz w:val="20"/>
          <w:szCs w:val="20"/>
          <w:color w:val="auto"/>
        </w:rPr>
      </w:pPr>
    </w:p>
    <w:p>
      <w:pPr>
        <w:jc w:val="both"/>
        <w:ind w:left="1440" w:right="60" w:hanging="342"/>
        <w:spacing w:after="0" w:line="236" w:lineRule="auto"/>
        <w:tabs>
          <w:tab w:leader="none" w:pos="1420" w:val="left"/>
        </w:tabs>
        <w:rPr>
          <w:rFonts w:ascii="Arial" w:cs="Arial" w:eastAsia="Arial" w:hAnsi="Arial"/>
          <w:sz w:val="14"/>
          <w:szCs w:val="14"/>
          <w:u w:val="single" w:color="auto"/>
          <w:color w:val="0000FF"/>
        </w:rPr>
      </w:pPr>
      <w:r>
        <w:rPr>
          <w:rFonts w:ascii="Arial" w:cs="Arial" w:eastAsia="Arial" w:hAnsi="Arial"/>
          <w:sz w:val="14"/>
          <w:szCs w:val="14"/>
          <w:color w:val="auto"/>
        </w:rPr>
        <w:t>2.4</w:t>
      </w:r>
      <w:r>
        <w:rPr>
          <w:sz w:val="20"/>
          <w:szCs w:val="20"/>
          <w:color w:val="auto"/>
        </w:rPr>
        <w:tab/>
      </w:r>
      <w:hyperlink r:id="rId177">
        <w:r>
          <w:rPr>
            <w:rFonts w:ascii="Arial" w:cs="Arial" w:eastAsia="Arial" w:hAnsi="Arial"/>
            <w:sz w:val="14"/>
            <w:szCs w:val="14"/>
            <w:u w:val="single" w:color="auto"/>
            <w:color w:val="0000FF"/>
          </w:rPr>
          <w:t>Share Purchase Agreement, dated as of June 17, 2021, by and among Kerry Group plc, Pilgrim's Pride Corporation, Onix Investments UK Limited and Arkose Investments</w:t>
        </w:r>
      </w:hyperlink>
      <w:r>
        <w:rPr>
          <w:rFonts w:ascii="Arial" w:cs="Arial" w:eastAsia="Arial" w:hAnsi="Arial"/>
          <w:sz w:val="14"/>
          <w:szCs w:val="14"/>
          <w:u w:val="single" w:color="auto"/>
          <w:color w:val="0000FF"/>
        </w:rPr>
        <w:t xml:space="preserve"> </w:t>
      </w:r>
      <w:hyperlink r:id="rId177">
        <w:r>
          <w:rPr>
            <w:rFonts w:ascii="Arial" w:cs="Arial" w:eastAsia="Arial" w:hAnsi="Arial"/>
            <w:sz w:val="14"/>
            <w:szCs w:val="14"/>
            <w:u w:val="single" w:color="auto"/>
            <w:color w:val="0000FF"/>
          </w:rPr>
          <w:t>ULC (incorporated by reference from Exhibit 10.1 of the Company's Quarterly Report on Form 10-Q (No. 001-09273) filed on July 29, 2021).</w:t>
        </w:r>
      </w:hyperlink>
    </w:p>
    <w:p>
      <w:pPr>
        <w:spacing w:after="0" w:line="76" w:lineRule="exact"/>
        <w:rPr>
          <w:sz w:val="20"/>
          <w:szCs w:val="20"/>
          <w:color w:val="auto"/>
        </w:rPr>
      </w:pPr>
    </w:p>
    <w:p>
      <w:pPr>
        <w:jc w:val="both"/>
        <w:ind w:left="1440" w:right="60" w:hanging="342"/>
        <w:spacing w:after="0" w:line="226" w:lineRule="auto"/>
        <w:tabs>
          <w:tab w:leader="none" w:pos="1420" w:val="left"/>
        </w:tabs>
        <w:rPr>
          <w:rFonts w:ascii="Arial" w:cs="Arial" w:eastAsia="Arial" w:hAnsi="Arial"/>
          <w:sz w:val="14"/>
          <w:szCs w:val="14"/>
          <w:u w:val="single" w:color="auto"/>
          <w:color w:val="0000FF"/>
        </w:rPr>
      </w:pPr>
      <w:r>
        <w:rPr>
          <w:rFonts w:ascii="Arial" w:cs="Arial" w:eastAsia="Arial" w:hAnsi="Arial"/>
          <w:sz w:val="14"/>
          <w:szCs w:val="14"/>
          <w:color w:val="auto"/>
        </w:rPr>
        <w:t>2.5</w:t>
      </w:r>
      <w:r>
        <w:rPr>
          <w:sz w:val="20"/>
          <w:szCs w:val="20"/>
          <w:color w:val="auto"/>
        </w:rPr>
        <w:tab/>
      </w:r>
      <w:hyperlink r:id="rId178">
        <w:r>
          <w:rPr>
            <w:rFonts w:ascii="Arial" w:cs="Arial" w:eastAsia="Arial" w:hAnsi="Arial"/>
            <w:sz w:val="14"/>
            <w:szCs w:val="14"/>
            <w:u w:val="single" w:color="auto"/>
            <w:color w:val="0000FF"/>
          </w:rPr>
          <w:t>Side Letter to the Sale and Purchase Agreement, dated as of September 24, 2021, by and among Kerry Group plc, Pilgrim's Pride Corporation, Onix Investments UK</w:t>
        </w:r>
      </w:hyperlink>
      <w:r>
        <w:rPr>
          <w:rFonts w:ascii="Arial" w:cs="Arial" w:eastAsia="Arial" w:hAnsi="Arial"/>
          <w:sz w:val="14"/>
          <w:szCs w:val="14"/>
          <w:u w:val="single" w:color="auto"/>
          <w:color w:val="0000FF"/>
        </w:rPr>
        <w:t xml:space="preserve"> </w:t>
      </w:r>
      <w:hyperlink r:id="rId178">
        <w:r>
          <w:rPr>
            <w:rFonts w:ascii="Arial" w:cs="Arial" w:eastAsia="Arial" w:hAnsi="Arial"/>
            <w:sz w:val="14"/>
            <w:szCs w:val="14"/>
            <w:u w:val="single" w:color="auto"/>
            <w:color w:val="0000FF"/>
          </w:rPr>
          <w:t>Limited and Arkose Investments ULC (incorporated by reference from Exhibit 10.2 of the Company's Quarterly Report on Form 10-Q (No. 001-09273) filed on October 28,</w:t>
        </w:r>
      </w:hyperlink>
      <w:r>
        <w:rPr>
          <w:rFonts w:ascii="Arial" w:cs="Arial" w:eastAsia="Arial" w:hAnsi="Arial"/>
          <w:sz w:val="14"/>
          <w:szCs w:val="14"/>
          <w:u w:val="single" w:color="auto"/>
          <w:color w:val="0000FF"/>
        </w:rPr>
        <w:t xml:space="preserve"> </w:t>
      </w:r>
      <w:hyperlink r:id="rId178">
        <w:r>
          <w:rPr>
            <w:rFonts w:ascii="Arial" w:cs="Arial" w:eastAsia="Arial" w:hAnsi="Arial"/>
            <w:sz w:val="14"/>
            <w:szCs w:val="14"/>
            <w:u w:val="single" w:color="auto"/>
            <w:color w:val="0000FF"/>
          </w:rPr>
          <w:t>2021).</w:t>
        </w:r>
      </w:hyperlink>
    </w:p>
    <w:p>
      <w:pPr>
        <w:spacing w:after="0" w:line="44" w:lineRule="exact"/>
        <w:rPr>
          <w:rFonts w:ascii="Arial" w:cs="Arial" w:eastAsia="Arial" w:hAnsi="Arial"/>
          <w:sz w:val="14"/>
          <w:szCs w:val="14"/>
          <w:u w:val="single" w:color="auto"/>
          <w:color w:val="0000FF"/>
        </w:rPr>
      </w:pPr>
    </w:p>
    <w:p>
      <w:pPr>
        <w:jc w:val="both"/>
        <w:ind w:left="1440" w:right="60" w:hanging="342"/>
        <w:spacing w:after="0" w:line="236" w:lineRule="auto"/>
        <w:tabs>
          <w:tab w:leader="none" w:pos="1420" w:val="left"/>
        </w:tabs>
        <w:rPr>
          <w:rFonts w:ascii="Arial" w:cs="Arial" w:eastAsia="Arial" w:hAnsi="Arial"/>
          <w:sz w:val="14"/>
          <w:szCs w:val="14"/>
          <w:u w:val="single" w:color="auto"/>
          <w:color w:val="0000FF"/>
        </w:rPr>
      </w:pPr>
      <w:r>
        <w:rPr>
          <w:rFonts w:ascii="Arial" w:cs="Arial" w:eastAsia="Arial" w:hAnsi="Arial"/>
          <w:sz w:val="14"/>
          <w:szCs w:val="14"/>
          <w:color w:val="auto"/>
        </w:rPr>
        <w:t>3.1</w:t>
      </w:r>
      <w:r>
        <w:rPr>
          <w:sz w:val="20"/>
          <w:szCs w:val="20"/>
          <w:color w:val="auto"/>
        </w:rPr>
        <w:tab/>
      </w:r>
      <w:hyperlink r:id="rId179">
        <w:r>
          <w:rPr>
            <w:rFonts w:ascii="Arial" w:cs="Arial" w:eastAsia="Arial" w:hAnsi="Arial"/>
            <w:sz w:val="14"/>
            <w:szCs w:val="14"/>
            <w:u w:val="single" w:color="auto"/>
            <w:color w:val="0000FF"/>
          </w:rPr>
          <w:t>Amended and Restated Certificate of Incorporation of the Company. (incorporated by reference from Exhibit 3.1 of the Company's Current Form 8-K (No. 001-09273) filed</w:t>
        </w:r>
      </w:hyperlink>
      <w:r>
        <w:rPr>
          <w:rFonts w:ascii="Arial" w:cs="Arial" w:eastAsia="Arial" w:hAnsi="Arial"/>
          <w:sz w:val="14"/>
          <w:szCs w:val="14"/>
          <w:u w:val="single" w:color="auto"/>
          <w:color w:val="0000FF"/>
        </w:rPr>
        <w:t xml:space="preserve"> </w:t>
      </w:r>
      <w:hyperlink r:id="rId179">
        <w:r>
          <w:rPr>
            <w:rFonts w:ascii="Arial" w:cs="Arial" w:eastAsia="Arial" w:hAnsi="Arial"/>
            <w:sz w:val="14"/>
            <w:szCs w:val="14"/>
            <w:u w:val="single" w:color="auto"/>
            <w:color w:val="0000FF"/>
          </w:rPr>
          <w:t>on May 3, 2021).</w:t>
        </w:r>
      </w:hyperlink>
    </w:p>
    <w:p>
      <w:pPr>
        <w:spacing w:after="0" w:line="33" w:lineRule="exact"/>
        <w:rPr>
          <w:sz w:val="20"/>
          <w:szCs w:val="20"/>
          <w:color w:val="auto"/>
        </w:rPr>
      </w:pPr>
    </w:p>
    <w:p>
      <w:pPr>
        <w:ind w:left="1100"/>
        <w:spacing w:after="0"/>
        <w:tabs>
          <w:tab w:leader="none" w:pos="1420" w:val="left"/>
        </w:tabs>
        <w:rPr>
          <w:rFonts w:ascii="Arial" w:cs="Arial" w:eastAsia="Arial" w:hAnsi="Arial"/>
          <w:sz w:val="13"/>
          <w:szCs w:val="13"/>
          <w:u w:val="single" w:color="auto"/>
          <w:color w:val="0000FF"/>
        </w:rPr>
      </w:pPr>
      <w:r>
        <w:rPr>
          <w:rFonts w:ascii="Arial" w:cs="Arial" w:eastAsia="Arial" w:hAnsi="Arial"/>
          <w:sz w:val="14"/>
          <w:szCs w:val="14"/>
          <w:color w:val="auto"/>
        </w:rPr>
        <w:t>3.2</w:t>
      </w:r>
      <w:r>
        <w:rPr>
          <w:sz w:val="20"/>
          <w:szCs w:val="20"/>
          <w:color w:val="auto"/>
        </w:rPr>
        <w:tab/>
      </w:r>
      <w:hyperlink r:id="rId180">
        <w:r>
          <w:rPr>
            <w:rFonts w:ascii="Arial" w:cs="Arial" w:eastAsia="Arial" w:hAnsi="Arial"/>
            <w:sz w:val="13"/>
            <w:szCs w:val="13"/>
            <w:u w:val="single" w:color="auto"/>
            <w:color w:val="0000FF"/>
          </w:rPr>
          <w:t>Amended and Restated Corporate Bylaws of the Company. (incorporated by reference from Exhibit 3.2 of the Company's Current Form 8-K (No. 001-09273) filed on May</w:t>
        </w:r>
      </w:hyperlink>
    </w:p>
    <w:p>
      <w:pPr>
        <w:ind w:left="1440"/>
        <w:spacing w:after="0"/>
        <w:rPr>
          <w:rFonts w:ascii="Arial" w:cs="Arial" w:eastAsia="Arial" w:hAnsi="Arial"/>
          <w:sz w:val="14"/>
          <w:szCs w:val="14"/>
          <w:u w:val="single" w:color="auto"/>
          <w:color w:val="0000FF"/>
        </w:rPr>
      </w:pPr>
      <w:hyperlink r:id="rId180">
        <w:r>
          <w:rPr>
            <w:rFonts w:ascii="Arial" w:cs="Arial" w:eastAsia="Arial" w:hAnsi="Arial"/>
            <w:sz w:val="14"/>
            <w:szCs w:val="14"/>
            <w:u w:val="single" w:color="auto"/>
            <w:color w:val="0000FF"/>
          </w:rPr>
          <w:t>3, 2021).</w:t>
        </w:r>
      </w:hyperlink>
    </w:p>
    <w:p>
      <w:pPr>
        <w:spacing w:after="0" w:line="50" w:lineRule="exact"/>
        <w:rPr>
          <w:sz w:val="20"/>
          <w:szCs w:val="20"/>
          <w:color w:val="auto"/>
        </w:rPr>
      </w:pPr>
    </w:p>
    <w:p>
      <w:pPr>
        <w:jc w:val="both"/>
        <w:ind w:left="1440" w:right="40" w:hanging="342"/>
        <w:spacing w:after="0" w:line="236" w:lineRule="auto"/>
        <w:tabs>
          <w:tab w:leader="none" w:pos="1420" w:val="left"/>
        </w:tabs>
        <w:rPr>
          <w:rFonts w:ascii="Arial" w:cs="Arial" w:eastAsia="Arial" w:hAnsi="Arial"/>
          <w:sz w:val="14"/>
          <w:szCs w:val="14"/>
          <w:u w:val="single" w:color="auto"/>
          <w:color w:val="0000FF"/>
        </w:rPr>
      </w:pPr>
      <w:r>
        <w:rPr>
          <w:rFonts w:ascii="Arial" w:cs="Arial" w:eastAsia="Arial" w:hAnsi="Arial"/>
          <w:sz w:val="14"/>
          <w:szCs w:val="14"/>
          <w:color w:val="auto"/>
        </w:rPr>
        <w:t>4.1</w:t>
      </w:r>
      <w:r>
        <w:rPr>
          <w:sz w:val="20"/>
          <w:szCs w:val="20"/>
          <w:color w:val="auto"/>
        </w:rPr>
        <w:tab/>
      </w:r>
      <w:hyperlink r:id="rId181">
        <w:r>
          <w:rPr>
            <w:rFonts w:ascii="Arial" w:cs="Arial" w:eastAsia="Arial" w:hAnsi="Arial"/>
            <w:sz w:val="14"/>
            <w:szCs w:val="14"/>
            <w:u w:val="single" w:color="auto"/>
            <w:color w:val="0000FF"/>
          </w:rPr>
          <w:t>Stockholders Agreement dated December 28, 2009 between the Company and JBS USA Holding Lux, S.à.r.l., formerly known as JBS USA Holdings, LLC, as amended</w:t>
        </w:r>
      </w:hyperlink>
      <w:r>
        <w:rPr>
          <w:rFonts w:ascii="Arial" w:cs="Arial" w:eastAsia="Arial" w:hAnsi="Arial"/>
          <w:sz w:val="14"/>
          <w:szCs w:val="14"/>
          <w:u w:val="single" w:color="auto"/>
          <w:color w:val="0000FF"/>
        </w:rPr>
        <w:t xml:space="preserve"> </w:t>
      </w:r>
      <w:hyperlink r:id="rId181">
        <w:r>
          <w:rPr>
            <w:rFonts w:ascii="Arial" w:cs="Arial" w:eastAsia="Arial" w:hAnsi="Arial"/>
            <w:sz w:val="14"/>
            <w:szCs w:val="14"/>
            <w:u w:val="single" w:color="auto"/>
            <w:color w:val="0000FF"/>
          </w:rPr>
          <w:t>(incorporated by reference from Exhibit 3.3 to the Company’s Form 8-A (No. 001-09273) filed on December 27, 2012).</w:t>
        </w:r>
      </w:hyperlink>
    </w:p>
    <w:p>
      <w:pPr>
        <w:spacing w:after="0" w:line="33" w:lineRule="exact"/>
        <w:rPr>
          <w:sz w:val="20"/>
          <w:szCs w:val="20"/>
          <w:color w:val="auto"/>
        </w:rPr>
      </w:pPr>
    </w:p>
    <w:p>
      <w:pPr>
        <w:ind w:left="1100"/>
        <w:spacing w:after="0"/>
        <w:tabs>
          <w:tab w:leader="none" w:pos="1420" w:val="left"/>
        </w:tabs>
        <w:rPr>
          <w:rFonts w:ascii="Arial" w:cs="Arial" w:eastAsia="Arial" w:hAnsi="Arial"/>
          <w:sz w:val="13"/>
          <w:szCs w:val="13"/>
          <w:u w:val="single" w:color="auto"/>
          <w:color w:val="0000FF"/>
        </w:rPr>
      </w:pPr>
      <w:r>
        <w:rPr>
          <w:rFonts w:ascii="Arial" w:cs="Arial" w:eastAsia="Arial" w:hAnsi="Arial"/>
          <w:sz w:val="14"/>
          <w:szCs w:val="14"/>
          <w:color w:val="auto"/>
        </w:rPr>
        <w:t>4.2</w:t>
      </w:r>
      <w:r>
        <w:rPr>
          <w:sz w:val="20"/>
          <w:szCs w:val="20"/>
          <w:color w:val="auto"/>
        </w:rPr>
        <w:tab/>
      </w:r>
      <w:hyperlink r:id="rId182">
        <w:r>
          <w:rPr>
            <w:rFonts w:ascii="Arial" w:cs="Arial" w:eastAsia="Arial" w:hAnsi="Arial"/>
            <w:sz w:val="13"/>
            <w:szCs w:val="13"/>
            <w:u w:val="single" w:color="auto"/>
            <w:color w:val="0000FF"/>
          </w:rPr>
          <w:t>Form of Common Stock Certificate (incorporated by reference from Exhibit 4.1 to the Company’s Current Report on Form 8-K (No. 001-09273) filed on December 29,</w:t>
        </w:r>
      </w:hyperlink>
    </w:p>
    <w:p>
      <w:pPr>
        <w:ind w:left="1440"/>
        <w:spacing w:after="0"/>
        <w:rPr>
          <w:rFonts w:ascii="Arial" w:cs="Arial" w:eastAsia="Arial" w:hAnsi="Arial"/>
          <w:sz w:val="14"/>
          <w:szCs w:val="14"/>
          <w:u w:val="single" w:color="auto"/>
          <w:color w:val="0000FF"/>
        </w:rPr>
      </w:pPr>
      <w:hyperlink r:id="rId182">
        <w:r>
          <w:rPr>
            <w:rFonts w:ascii="Arial" w:cs="Arial" w:eastAsia="Arial" w:hAnsi="Arial"/>
            <w:sz w:val="14"/>
            <w:szCs w:val="14"/>
            <w:u w:val="single" w:color="auto"/>
            <w:color w:val="0000FF"/>
          </w:rPr>
          <w:t>2009).</w:t>
        </w:r>
      </w:hyperlink>
    </w:p>
    <w:p>
      <w:pPr>
        <w:spacing w:after="0" w:line="50" w:lineRule="exact"/>
        <w:rPr>
          <w:sz w:val="20"/>
          <w:szCs w:val="20"/>
          <w:color w:val="auto"/>
        </w:rPr>
      </w:pPr>
    </w:p>
    <w:p>
      <w:pPr>
        <w:jc w:val="both"/>
        <w:ind w:left="1440" w:right="60" w:hanging="342"/>
        <w:spacing w:after="0" w:line="226" w:lineRule="auto"/>
        <w:tabs>
          <w:tab w:leader="none" w:pos="1420" w:val="left"/>
        </w:tabs>
        <w:rPr>
          <w:rFonts w:ascii="Arial" w:cs="Arial" w:eastAsia="Arial" w:hAnsi="Arial"/>
          <w:sz w:val="14"/>
          <w:szCs w:val="14"/>
          <w:u w:val="single" w:color="auto"/>
          <w:color w:val="0000FF"/>
        </w:rPr>
      </w:pPr>
      <w:r>
        <w:rPr>
          <w:rFonts w:ascii="Arial" w:cs="Arial" w:eastAsia="Arial" w:hAnsi="Arial"/>
          <w:sz w:val="14"/>
          <w:szCs w:val="14"/>
          <w:color w:val="auto"/>
        </w:rPr>
        <w:t>4.3</w:t>
      </w:r>
      <w:r>
        <w:rPr>
          <w:sz w:val="20"/>
          <w:szCs w:val="20"/>
          <w:color w:val="auto"/>
        </w:rPr>
        <w:tab/>
      </w:r>
      <w:hyperlink r:id="rId183">
        <w:r>
          <w:rPr>
            <w:rFonts w:ascii="Arial" w:cs="Arial" w:eastAsia="Arial" w:hAnsi="Arial"/>
            <w:sz w:val="14"/>
            <w:szCs w:val="14"/>
            <w:u w:val="single" w:color="auto"/>
            <w:color w:val="0000FF"/>
          </w:rPr>
          <w:t>Indenture dated as of September 29, 2017 among the Company, Pilgrim’s Pride Corporation of West Virginia, Inc., Gold’n Plump Poultry, LLC, Gold’n Plump Farms, LLC,</w:t>
        </w:r>
      </w:hyperlink>
      <w:r>
        <w:rPr>
          <w:rFonts w:ascii="Arial" w:cs="Arial" w:eastAsia="Arial" w:hAnsi="Arial"/>
          <w:sz w:val="14"/>
          <w:szCs w:val="14"/>
          <w:u w:val="single" w:color="auto"/>
          <w:color w:val="0000FF"/>
        </w:rPr>
        <w:t xml:space="preserve"> </w:t>
      </w:r>
      <w:hyperlink r:id="rId183">
        <w:r>
          <w:rPr>
            <w:rFonts w:ascii="Arial" w:cs="Arial" w:eastAsia="Arial" w:hAnsi="Arial"/>
            <w:sz w:val="14"/>
            <w:szCs w:val="14"/>
            <w:u w:val="single" w:color="auto"/>
            <w:color w:val="0000FF"/>
          </w:rPr>
          <w:t>JFC LLC and U.S. Bank National Association, as Trustee (incorporated by reference from Exhibit 4.2 of the Company’s Current Report on Form 8-K (No. 001-09273) filed</w:t>
        </w:r>
      </w:hyperlink>
      <w:r>
        <w:rPr>
          <w:rFonts w:ascii="Arial" w:cs="Arial" w:eastAsia="Arial" w:hAnsi="Arial"/>
          <w:sz w:val="14"/>
          <w:szCs w:val="14"/>
          <w:u w:val="single" w:color="auto"/>
          <w:color w:val="0000FF"/>
        </w:rPr>
        <w:t xml:space="preserve"> </w:t>
      </w:r>
      <w:hyperlink r:id="rId183">
        <w:r>
          <w:rPr>
            <w:rFonts w:ascii="Arial" w:cs="Arial" w:eastAsia="Arial" w:hAnsi="Arial"/>
            <w:sz w:val="14"/>
            <w:szCs w:val="14"/>
            <w:u w:val="single" w:color="auto"/>
            <w:color w:val="0000FF"/>
          </w:rPr>
          <w:t>on October 3, 2017).</w:t>
        </w:r>
      </w:hyperlink>
    </w:p>
    <w:p>
      <w:pPr>
        <w:spacing w:after="0" w:line="44" w:lineRule="exact"/>
        <w:rPr>
          <w:rFonts w:ascii="Arial" w:cs="Arial" w:eastAsia="Arial" w:hAnsi="Arial"/>
          <w:sz w:val="14"/>
          <w:szCs w:val="14"/>
          <w:u w:val="single" w:color="auto"/>
          <w:color w:val="0000FF"/>
        </w:rPr>
      </w:pPr>
    </w:p>
    <w:p>
      <w:pPr>
        <w:ind w:left="1100"/>
        <w:spacing w:after="0"/>
        <w:tabs>
          <w:tab w:leader="none" w:pos="1420" w:val="left"/>
        </w:tabs>
        <w:rPr>
          <w:rFonts w:ascii="Arial" w:cs="Arial" w:eastAsia="Arial" w:hAnsi="Arial"/>
          <w:sz w:val="13"/>
          <w:szCs w:val="13"/>
          <w:u w:val="single" w:color="auto"/>
          <w:color w:val="0000FF"/>
        </w:rPr>
      </w:pPr>
      <w:r>
        <w:rPr>
          <w:rFonts w:ascii="Arial" w:cs="Arial" w:eastAsia="Arial" w:hAnsi="Arial"/>
          <w:sz w:val="14"/>
          <w:szCs w:val="14"/>
          <w:color w:val="auto"/>
        </w:rPr>
        <w:t>4.4</w:t>
      </w:r>
      <w:r>
        <w:rPr>
          <w:sz w:val="20"/>
          <w:szCs w:val="20"/>
          <w:color w:val="auto"/>
        </w:rPr>
        <w:tab/>
      </w:r>
      <w:hyperlink r:id="rId183">
        <w:r>
          <w:rPr>
            <w:rFonts w:ascii="Arial" w:cs="Arial" w:eastAsia="Arial" w:hAnsi="Arial"/>
            <w:sz w:val="13"/>
            <w:szCs w:val="13"/>
            <w:u w:val="single" w:color="auto"/>
            <w:color w:val="0000FF"/>
          </w:rPr>
          <w:t>Form of Senior 5.875% Note due 2027 (included in Exhibit 4.3).</w:t>
        </w:r>
      </w:hyperlink>
    </w:p>
    <w:p>
      <w:pPr>
        <w:spacing w:after="0" w:line="62" w:lineRule="exact"/>
        <w:rPr>
          <w:rFonts w:ascii="Arial" w:cs="Arial" w:eastAsia="Arial" w:hAnsi="Arial"/>
          <w:sz w:val="14"/>
          <w:szCs w:val="14"/>
          <w:u w:val="single" w:color="auto"/>
          <w:color w:val="0000FF"/>
        </w:rPr>
      </w:pPr>
    </w:p>
    <w:p>
      <w:pPr>
        <w:jc w:val="both"/>
        <w:ind w:left="1440" w:right="40" w:hanging="342"/>
        <w:spacing w:after="0" w:line="270" w:lineRule="auto"/>
        <w:tabs>
          <w:tab w:leader="none" w:pos="1420" w:val="left"/>
        </w:tabs>
        <w:rPr>
          <w:rFonts w:ascii="Arial" w:cs="Arial" w:eastAsia="Arial" w:hAnsi="Arial"/>
          <w:sz w:val="13"/>
          <w:szCs w:val="13"/>
          <w:u w:val="single" w:color="auto"/>
          <w:color w:val="0000FF"/>
        </w:rPr>
      </w:pPr>
      <w:r>
        <w:rPr>
          <w:rFonts w:ascii="Arial" w:cs="Arial" w:eastAsia="Arial" w:hAnsi="Arial"/>
          <w:sz w:val="14"/>
          <w:szCs w:val="14"/>
          <w:color w:val="auto"/>
        </w:rPr>
        <w:t>4.5</w:t>
      </w:r>
      <w:r>
        <w:rPr>
          <w:sz w:val="20"/>
          <w:szCs w:val="20"/>
          <w:color w:val="auto"/>
        </w:rPr>
        <w:tab/>
      </w:r>
      <w:hyperlink r:id="rId184">
        <w:r>
          <w:rPr>
            <w:rFonts w:ascii="Arial" w:cs="Arial" w:eastAsia="Arial" w:hAnsi="Arial"/>
            <w:sz w:val="13"/>
            <w:szCs w:val="13"/>
            <w:u w:val="single" w:color="auto"/>
            <w:color w:val="0000FF"/>
          </w:rPr>
          <w:t>Indenture dated as of April 8, 2021 among the Company, Pilgrim’s Pride Corporation of West Virginia, Inc., Gold’n Plump Poultry, LLC, Gold’n Plump Farms, LLC, JFC</w:t>
        </w:r>
      </w:hyperlink>
      <w:r>
        <w:rPr>
          <w:rFonts w:ascii="Arial" w:cs="Arial" w:eastAsia="Arial" w:hAnsi="Arial"/>
          <w:sz w:val="13"/>
          <w:szCs w:val="13"/>
          <w:u w:val="single" w:color="auto"/>
          <w:color w:val="0000FF"/>
        </w:rPr>
        <w:t xml:space="preserve"> </w:t>
      </w:r>
      <w:hyperlink r:id="rId184">
        <w:r>
          <w:rPr>
            <w:rFonts w:ascii="Arial" w:cs="Arial" w:eastAsia="Arial" w:hAnsi="Arial"/>
            <w:sz w:val="13"/>
            <w:szCs w:val="13"/>
            <w:u w:val="single" w:color="auto"/>
            <w:color w:val="0000FF"/>
          </w:rPr>
          <w:t>LLC and Regions Bank, as Trustee (incorporated by reference from Exhibit 4.1 of the Company’s Current Report on Form 8-K (No. 001-09273) filed on April 9, 2021).</w:t>
        </w:r>
      </w:hyperlink>
    </w:p>
    <w:p>
      <w:pPr>
        <w:spacing w:after="0" w:line="24" w:lineRule="exact"/>
        <w:rPr>
          <w:sz w:val="20"/>
          <w:szCs w:val="20"/>
          <w:color w:val="auto"/>
        </w:rPr>
      </w:pPr>
    </w:p>
    <w:p>
      <w:pPr>
        <w:ind w:left="1100"/>
        <w:spacing w:after="0"/>
        <w:tabs>
          <w:tab w:leader="none" w:pos="1420" w:val="left"/>
        </w:tabs>
        <w:rPr>
          <w:rFonts w:ascii="Arial" w:cs="Arial" w:eastAsia="Arial" w:hAnsi="Arial"/>
          <w:sz w:val="13"/>
          <w:szCs w:val="13"/>
          <w:u w:val="single" w:color="auto"/>
          <w:color w:val="0000FF"/>
        </w:rPr>
      </w:pPr>
      <w:r>
        <w:rPr>
          <w:rFonts w:ascii="Arial" w:cs="Arial" w:eastAsia="Arial" w:hAnsi="Arial"/>
          <w:sz w:val="14"/>
          <w:szCs w:val="14"/>
          <w:color w:val="auto"/>
        </w:rPr>
        <w:t>4.6</w:t>
      </w:r>
      <w:r>
        <w:rPr>
          <w:sz w:val="20"/>
          <w:szCs w:val="20"/>
          <w:color w:val="auto"/>
        </w:rPr>
        <w:tab/>
      </w:r>
      <w:hyperlink r:id="rId184">
        <w:r>
          <w:rPr>
            <w:rFonts w:ascii="Arial" w:cs="Arial" w:eastAsia="Arial" w:hAnsi="Arial"/>
            <w:sz w:val="13"/>
            <w:szCs w:val="13"/>
            <w:u w:val="single" w:color="auto"/>
            <w:color w:val="0000FF"/>
          </w:rPr>
          <w:t>Form of Senior 4.25% Note due 2031 (included in Exhibit 4.5).</w:t>
        </w:r>
      </w:hyperlink>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02" w:name="page103"/>
    <w:bookmarkEnd w:id="10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92" w:lineRule="exact"/>
        <w:rPr>
          <w:sz w:val="20"/>
          <w:szCs w:val="20"/>
          <w:color w:val="auto"/>
        </w:rPr>
      </w:pPr>
    </w:p>
    <w:p>
      <w:pPr>
        <w:jc w:val="both"/>
        <w:ind w:left="1440" w:right="20" w:hanging="342"/>
        <w:spacing w:after="0" w:line="226" w:lineRule="auto"/>
        <w:tabs>
          <w:tab w:leader="none" w:pos="1420" w:val="left"/>
        </w:tabs>
        <w:rPr>
          <w:rFonts w:ascii="Arial" w:cs="Arial" w:eastAsia="Arial" w:hAnsi="Arial"/>
          <w:sz w:val="14"/>
          <w:szCs w:val="14"/>
          <w:u w:val="single" w:color="auto"/>
          <w:color w:val="0000FF"/>
        </w:rPr>
      </w:pPr>
      <w:r>
        <w:rPr>
          <w:rFonts w:ascii="Arial" w:cs="Arial" w:eastAsia="Arial" w:hAnsi="Arial"/>
          <w:sz w:val="14"/>
          <w:szCs w:val="14"/>
          <w:color w:val="auto"/>
        </w:rPr>
        <w:t>4.7</w:t>
      </w:r>
      <w:r>
        <w:rPr>
          <w:sz w:val="20"/>
          <w:szCs w:val="20"/>
          <w:color w:val="auto"/>
        </w:rPr>
        <w:tab/>
      </w:r>
      <w:hyperlink r:id="rId186">
        <w:r>
          <w:rPr>
            <w:rFonts w:ascii="Arial" w:cs="Arial" w:eastAsia="Arial" w:hAnsi="Arial"/>
            <w:sz w:val="14"/>
            <w:szCs w:val="14"/>
            <w:u w:val="single" w:color="auto"/>
            <w:color w:val="0000FF"/>
          </w:rPr>
          <w:t>Indenture, dated as of September 2, 2021 among the Company, as issuer, Pilgrim's Pride Corporation of West Virginia, Inc., Gold'n Plump Poultry, LLC, Gold'n Plump</w:t>
        </w:r>
      </w:hyperlink>
      <w:r>
        <w:rPr>
          <w:rFonts w:ascii="Arial" w:cs="Arial" w:eastAsia="Arial" w:hAnsi="Arial"/>
          <w:sz w:val="14"/>
          <w:szCs w:val="14"/>
          <w:u w:val="single" w:color="auto"/>
          <w:color w:val="0000FF"/>
        </w:rPr>
        <w:t xml:space="preserve"> </w:t>
      </w:r>
      <w:hyperlink r:id="rId186">
        <w:r>
          <w:rPr>
            <w:rFonts w:ascii="Arial" w:cs="Arial" w:eastAsia="Arial" w:hAnsi="Arial"/>
            <w:sz w:val="14"/>
            <w:szCs w:val="14"/>
            <w:u w:val="single" w:color="auto"/>
            <w:color w:val="0000FF"/>
          </w:rPr>
          <w:t>Farms, LLC and JFC LLC, as Guarantors, and Regions Bank, as Trustee (incorporated by reference from Exhibit 4.1 of the Company’s Current Report on Form 8-K (No.</w:t>
        </w:r>
      </w:hyperlink>
      <w:r>
        <w:rPr>
          <w:rFonts w:ascii="Arial" w:cs="Arial" w:eastAsia="Arial" w:hAnsi="Arial"/>
          <w:sz w:val="14"/>
          <w:szCs w:val="14"/>
          <w:u w:val="single" w:color="auto"/>
          <w:color w:val="0000FF"/>
        </w:rPr>
        <w:t xml:space="preserve"> </w:t>
      </w:r>
      <w:hyperlink r:id="rId186">
        <w:r>
          <w:rPr>
            <w:rFonts w:ascii="Arial" w:cs="Arial" w:eastAsia="Arial" w:hAnsi="Arial"/>
            <w:sz w:val="14"/>
            <w:szCs w:val="14"/>
            <w:u w:val="single" w:color="auto"/>
            <w:color w:val="0000FF"/>
          </w:rPr>
          <w:t>001-09273) filed on September 2, 2021).</w:t>
        </w:r>
      </w:hyperlink>
    </w:p>
    <w:p>
      <w:pPr>
        <w:spacing w:after="0" w:line="44" w:lineRule="exact"/>
        <w:rPr>
          <w:rFonts w:ascii="Arial" w:cs="Arial" w:eastAsia="Arial" w:hAnsi="Arial"/>
          <w:sz w:val="14"/>
          <w:szCs w:val="14"/>
          <w:u w:val="single" w:color="auto"/>
          <w:color w:val="0000FF"/>
        </w:rPr>
      </w:pPr>
    </w:p>
    <w:p>
      <w:pPr>
        <w:ind w:left="1100"/>
        <w:spacing w:after="0"/>
        <w:tabs>
          <w:tab w:leader="none" w:pos="1420" w:val="left"/>
        </w:tabs>
        <w:rPr>
          <w:rFonts w:ascii="Arial" w:cs="Arial" w:eastAsia="Arial" w:hAnsi="Arial"/>
          <w:sz w:val="13"/>
          <w:szCs w:val="13"/>
          <w:u w:val="single" w:color="auto"/>
          <w:color w:val="0000FF"/>
        </w:rPr>
      </w:pPr>
      <w:r>
        <w:rPr>
          <w:rFonts w:ascii="Arial" w:cs="Arial" w:eastAsia="Arial" w:hAnsi="Arial"/>
          <w:sz w:val="14"/>
          <w:szCs w:val="14"/>
          <w:color w:val="auto"/>
        </w:rPr>
        <w:t>4.8</w:t>
      </w:r>
      <w:r>
        <w:rPr>
          <w:sz w:val="20"/>
          <w:szCs w:val="20"/>
          <w:color w:val="auto"/>
        </w:rPr>
        <w:tab/>
      </w:r>
      <w:hyperlink r:id="rId186">
        <w:r>
          <w:rPr>
            <w:rFonts w:ascii="Arial" w:cs="Arial" w:eastAsia="Arial" w:hAnsi="Arial"/>
            <w:sz w:val="13"/>
            <w:szCs w:val="13"/>
            <w:u w:val="single" w:color="auto"/>
            <w:color w:val="0000FF"/>
          </w:rPr>
          <w:t>Form of Senior 3.50% Note due 2032 (included in Exhibit 4.7).</w:t>
        </w:r>
      </w:hyperlink>
    </w:p>
    <w:p>
      <w:pPr>
        <w:spacing w:after="0" w:line="62" w:lineRule="exact"/>
        <w:rPr>
          <w:rFonts w:ascii="Arial" w:cs="Arial" w:eastAsia="Arial" w:hAnsi="Arial"/>
          <w:sz w:val="14"/>
          <w:szCs w:val="14"/>
          <w:u w:val="single" w:color="auto"/>
          <w:color w:val="0000FF"/>
        </w:rPr>
      </w:pPr>
    </w:p>
    <w:p>
      <w:pPr>
        <w:ind w:left="1100"/>
        <w:spacing w:after="0"/>
        <w:tabs>
          <w:tab w:leader="none" w:pos="1420" w:val="left"/>
        </w:tabs>
        <w:rPr>
          <w:rFonts w:ascii="Arial" w:cs="Arial" w:eastAsia="Arial" w:hAnsi="Arial"/>
          <w:sz w:val="12"/>
          <w:szCs w:val="12"/>
          <w:u w:val="single" w:color="auto"/>
          <w:color w:val="0000FF"/>
        </w:rPr>
      </w:pPr>
      <w:r>
        <w:rPr>
          <w:rFonts w:ascii="Arial" w:cs="Arial" w:eastAsia="Arial" w:hAnsi="Arial"/>
          <w:sz w:val="14"/>
          <w:szCs w:val="14"/>
          <w:color w:val="auto"/>
        </w:rPr>
        <w:t>4.9</w:t>
      </w:r>
      <w:r>
        <w:rPr>
          <w:sz w:val="20"/>
          <w:szCs w:val="20"/>
          <w:color w:val="auto"/>
        </w:rPr>
        <w:tab/>
      </w:r>
      <w:hyperlink w:anchor="page106">
        <w:r>
          <w:rPr>
            <w:rFonts w:ascii="Arial" w:cs="Arial" w:eastAsia="Arial" w:hAnsi="Arial"/>
            <w:sz w:val="12"/>
            <w:szCs w:val="12"/>
            <w:u w:val="single" w:color="auto"/>
            <w:color w:val="0000FF"/>
          </w:rPr>
          <w:t>Description of Securities Registered Pursuant to Section 12(b) of the Exchange Act.*</w:t>
        </w:r>
      </w:hyperlink>
    </w:p>
    <w:p>
      <w:pPr>
        <w:spacing w:after="0" w:line="62" w:lineRule="exact"/>
        <w:rPr>
          <w:rFonts w:ascii="Arial" w:cs="Arial" w:eastAsia="Arial" w:hAnsi="Arial"/>
          <w:sz w:val="14"/>
          <w:szCs w:val="14"/>
          <w:u w:val="single" w:color="auto"/>
          <w:color w:val="0000FF"/>
        </w:rPr>
      </w:pPr>
    </w:p>
    <w:p>
      <w:pPr>
        <w:jc w:val="both"/>
        <w:ind w:left="1440" w:hanging="370"/>
        <w:spacing w:after="0" w:line="236" w:lineRule="auto"/>
        <w:tabs>
          <w:tab w:leader="none" w:pos="1420" w:val="left"/>
        </w:tabs>
        <w:rPr>
          <w:rFonts w:ascii="Arial" w:cs="Arial" w:eastAsia="Arial" w:hAnsi="Arial"/>
          <w:sz w:val="14"/>
          <w:szCs w:val="14"/>
          <w:u w:val="single" w:color="auto"/>
          <w:color w:val="0000FF"/>
        </w:rPr>
      </w:pPr>
      <w:r>
        <w:rPr>
          <w:rFonts w:ascii="Arial" w:cs="Arial" w:eastAsia="Arial" w:hAnsi="Arial"/>
          <w:sz w:val="14"/>
          <w:szCs w:val="14"/>
          <w:color w:val="auto"/>
        </w:rPr>
        <w:t>10.1</w:t>
      </w:r>
      <w:r>
        <w:rPr>
          <w:sz w:val="20"/>
          <w:szCs w:val="20"/>
          <w:color w:val="auto"/>
        </w:rPr>
        <w:tab/>
      </w:r>
      <w:hyperlink r:id="rId187">
        <w:r>
          <w:rPr>
            <w:rFonts w:ascii="Arial" w:cs="Arial" w:eastAsia="Arial" w:hAnsi="Arial"/>
            <w:sz w:val="14"/>
            <w:szCs w:val="14"/>
            <w:u w:val="single" w:color="auto"/>
            <w:color w:val="0000FF"/>
          </w:rPr>
          <w:t>Pilgrim’s Pride Corporation Long Term Incentive Plan (incorporated by reference from Exhibit 10.2 of the Company’s Current Report on Form 8-K (No. 001-09273) filed</w:t>
        </w:r>
      </w:hyperlink>
      <w:r>
        <w:rPr>
          <w:rFonts w:ascii="Arial" w:cs="Arial" w:eastAsia="Arial" w:hAnsi="Arial"/>
          <w:sz w:val="14"/>
          <w:szCs w:val="14"/>
          <w:u w:val="single" w:color="auto"/>
          <w:color w:val="0000FF"/>
        </w:rPr>
        <w:t xml:space="preserve"> </w:t>
      </w:r>
      <w:hyperlink r:id="rId187">
        <w:r>
          <w:rPr>
            <w:rFonts w:ascii="Arial" w:cs="Arial" w:eastAsia="Arial" w:hAnsi="Arial"/>
            <w:sz w:val="14"/>
            <w:szCs w:val="14"/>
            <w:u w:val="single" w:color="auto"/>
            <w:color w:val="0000FF"/>
          </w:rPr>
          <w:t>on December 30, 2009). †</w:t>
        </w:r>
      </w:hyperlink>
    </w:p>
    <w:p>
      <w:pPr>
        <w:spacing w:after="0" w:line="44" w:lineRule="exact"/>
        <w:rPr>
          <w:sz w:val="20"/>
          <w:szCs w:val="20"/>
          <w:color w:val="auto"/>
        </w:rPr>
      </w:pPr>
    </w:p>
    <w:p>
      <w:pPr>
        <w:jc w:val="both"/>
        <w:ind w:left="1440" w:right="20" w:hanging="370"/>
        <w:spacing w:after="0" w:line="236" w:lineRule="auto"/>
        <w:tabs>
          <w:tab w:leader="none" w:pos="1420" w:val="left"/>
        </w:tabs>
        <w:rPr>
          <w:rFonts w:ascii="Arial" w:cs="Arial" w:eastAsia="Arial" w:hAnsi="Arial"/>
          <w:sz w:val="14"/>
          <w:szCs w:val="14"/>
          <w:u w:val="single" w:color="auto"/>
          <w:color w:val="0000FF"/>
        </w:rPr>
      </w:pPr>
      <w:r>
        <w:rPr>
          <w:rFonts w:ascii="Arial" w:cs="Arial" w:eastAsia="Arial" w:hAnsi="Arial"/>
          <w:sz w:val="14"/>
          <w:szCs w:val="14"/>
          <w:color w:val="auto"/>
        </w:rPr>
        <w:t>10.2</w:t>
      </w:r>
      <w:r>
        <w:rPr>
          <w:sz w:val="20"/>
          <w:szCs w:val="20"/>
          <w:color w:val="auto"/>
        </w:rPr>
        <w:tab/>
      </w:r>
      <w:hyperlink r:id="rId188">
        <w:r>
          <w:rPr>
            <w:rFonts w:ascii="Arial" w:cs="Arial" w:eastAsia="Arial" w:hAnsi="Arial"/>
            <w:sz w:val="14"/>
            <w:szCs w:val="14"/>
            <w:u w:val="single" w:color="auto"/>
            <w:color w:val="0000FF"/>
          </w:rPr>
          <w:t>Form of Restricted Stock Unit Award Agreement (incorporated by reference to Exhibit 10.2 of the Company’s Current Report on Form 8-K (No. 001-09273) filed on</w:t>
        </w:r>
      </w:hyperlink>
      <w:r>
        <w:rPr>
          <w:rFonts w:ascii="Arial" w:cs="Arial" w:eastAsia="Arial" w:hAnsi="Arial"/>
          <w:sz w:val="14"/>
          <w:szCs w:val="14"/>
          <w:u w:val="single" w:color="auto"/>
          <w:color w:val="0000FF"/>
        </w:rPr>
        <w:t xml:space="preserve"> </w:t>
      </w:r>
      <w:hyperlink r:id="rId188">
        <w:r>
          <w:rPr>
            <w:rFonts w:ascii="Arial" w:cs="Arial" w:eastAsia="Arial" w:hAnsi="Arial"/>
            <w:sz w:val="14"/>
            <w:szCs w:val="14"/>
            <w:u w:val="single" w:color="auto"/>
            <w:color w:val="0000FF"/>
          </w:rPr>
          <w:t>September 10, 2012). †</w:t>
        </w:r>
      </w:hyperlink>
    </w:p>
    <w:p>
      <w:pPr>
        <w:spacing w:after="0" w:line="44" w:lineRule="exact"/>
        <w:rPr>
          <w:sz w:val="20"/>
          <w:szCs w:val="20"/>
          <w:color w:val="auto"/>
        </w:rPr>
      </w:pPr>
    </w:p>
    <w:p>
      <w:pPr>
        <w:jc w:val="both"/>
        <w:ind w:left="1440" w:right="20" w:hanging="370"/>
        <w:spacing w:after="0" w:line="226" w:lineRule="auto"/>
        <w:tabs>
          <w:tab w:leader="none" w:pos="1420" w:val="left"/>
        </w:tabs>
        <w:rPr>
          <w:rFonts w:ascii="Arial" w:cs="Arial" w:eastAsia="Arial" w:hAnsi="Arial"/>
          <w:sz w:val="14"/>
          <w:szCs w:val="14"/>
          <w:u w:val="single" w:color="auto"/>
          <w:color w:val="0000FF"/>
        </w:rPr>
      </w:pPr>
      <w:r>
        <w:rPr>
          <w:rFonts w:ascii="Arial" w:cs="Arial" w:eastAsia="Arial" w:hAnsi="Arial"/>
          <w:sz w:val="14"/>
          <w:szCs w:val="14"/>
          <w:color w:val="auto"/>
        </w:rPr>
        <w:t>10.3</w:t>
      </w:r>
      <w:r>
        <w:rPr>
          <w:sz w:val="20"/>
          <w:szCs w:val="20"/>
          <w:color w:val="auto"/>
        </w:rPr>
        <w:tab/>
      </w:r>
      <w:hyperlink r:id="rId189">
        <w:r>
          <w:rPr>
            <w:rFonts w:ascii="Arial" w:cs="Arial" w:eastAsia="Arial" w:hAnsi="Arial"/>
            <w:sz w:val="14"/>
            <w:szCs w:val="14"/>
            <w:u w:val="single" w:color="auto"/>
            <w:color w:val="0000FF"/>
          </w:rPr>
          <w:t>Multicurrency Revolving Facility Agreement, dated as of June 2, 2018, by and among Moy Park Holdings (Europe) Limited, certain of its subsidiaries, the Governor and</w:t>
        </w:r>
      </w:hyperlink>
      <w:r>
        <w:rPr>
          <w:rFonts w:ascii="Arial" w:cs="Arial" w:eastAsia="Arial" w:hAnsi="Arial"/>
          <w:sz w:val="14"/>
          <w:szCs w:val="14"/>
          <w:u w:val="single" w:color="auto"/>
          <w:color w:val="0000FF"/>
        </w:rPr>
        <w:t xml:space="preserve"> </w:t>
      </w:r>
      <w:hyperlink r:id="rId189">
        <w:r>
          <w:rPr>
            <w:rFonts w:ascii="Arial" w:cs="Arial" w:eastAsia="Arial" w:hAnsi="Arial"/>
            <w:sz w:val="14"/>
            <w:szCs w:val="14"/>
            <w:u w:val="single" w:color="auto"/>
            <w:color w:val="0000FF"/>
          </w:rPr>
          <w:t>Company of the Bank of Ireland, as agent, and the other lenders party thereto (incorporated by reference from Exhibit 10.1 of the Company’s Current Report on Form 8-K</w:t>
        </w:r>
      </w:hyperlink>
      <w:r>
        <w:rPr>
          <w:rFonts w:ascii="Arial" w:cs="Arial" w:eastAsia="Arial" w:hAnsi="Arial"/>
          <w:sz w:val="14"/>
          <w:szCs w:val="14"/>
          <w:u w:val="single" w:color="auto"/>
          <w:color w:val="0000FF"/>
        </w:rPr>
        <w:t xml:space="preserve"> </w:t>
      </w:r>
      <w:hyperlink r:id="rId189">
        <w:r>
          <w:rPr>
            <w:rFonts w:ascii="Arial" w:cs="Arial" w:eastAsia="Arial" w:hAnsi="Arial"/>
            <w:sz w:val="14"/>
            <w:szCs w:val="14"/>
            <w:u w:val="single" w:color="auto"/>
            <w:color w:val="0000FF"/>
          </w:rPr>
          <w:t>(No. 001-09273) filed on June 12, 2018).</w:t>
        </w:r>
      </w:hyperlink>
    </w:p>
    <w:p>
      <w:pPr>
        <w:spacing w:after="0" w:line="44" w:lineRule="exact"/>
        <w:rPr>
          <w:rFonts w:ascii="Arial" w:cs="Arial" w:eastAsia="Arial" w:hAnsi="Arial"/>
          <w:sz w:val="14"/>
          <w:szCs w:val="14"/>
          <w:u w:val="single" w:color="auto"/>
          <w:color w:val="0000FF"/>
        </w:rPr>
      </w:pPr>
    </w:p>
    <w:p>
      <w:pPr>
        <w:jc w:val="both"/>
        <w:ind w:left="1440" w:right="20" w:hanging="370"/>
        <w:spacing w:after="0" w:line="264" w:lineRule="auto"/>
        <w:tabs>
          <w:tab w:leader="none" w:pos="1420" w:val="left"/>
        </w:tabs>
        <w:rPr>
          <w:rFonts w:ascii="Arial" w:cs="Arial" w:eastAsia="Arial" w:hAnsi="Arial"/>
          <w:sz w:val="12"/>
          <w:szCs w:val="12"/>
          <w:u w:val="single" w:color="auto"/>
          <w:color w:val="0000FF"/>
        </w:rPr>
      </w:pPr>
      <w:r>
        <w:rPr>
          <w:rFonts w:ascii="Arial" w:cs="Arial" w:eastAsia="Arial" w:hAnsi="Arial"/>
          <w:sz w:val="14"/>
          <w:szCs w:val="14"/>
          <w:color w:val="auto"/>
        </w:rPr>
        <w:t>10.4</w:t>
      </w:r>
      <w:r>
        <w:rPr>
          <w:sz w:val="20"/>
          <w:szCs w:val="20"/>
          <w:color w:val="auto"/>
        </w:rPr>
        <w:tab/>
      </w:r>
      <w:hyperlink r:id="rId190">
        <w:r>
          <w:rPr>
            <w:rFonts w:ascii="Arial" w:cs="Arial" w:eastAsia="Arial" w:hAnsi="Arial"/>
            <w:sz w:val="12"/>
            <w:szCs w:val="12"/>
            <w:u w:val="single" w:color="auto"/>
            <w:color w:val="0000FF"/>
          </w:rPr>
          <w:t>Revolving Line of Credit Agreement, dated as of December 14, 2018, by and among Banco del Bajío, Sociedad Anónima, Institución de Banca Múltiple as lender, Avícola</w:t>
        </w:r>
      </w:hyperlink>
      <w:r>
        <w:rPr>
          <w:rFonts w:ascii="Arial" w:cs="Arial" w:eastAsia="Arial" w:hAnsi="Arial"/>
          <w:sz w:val="12"/>
          <w:szCs w:val="12"/>
          <w:u w:val="single" w:color="auto"/>
          <w:color w:val="0000FF"/>
        </w:rPr>
        <w:t xml:space="preserve"> </w:t>
      </w:r>
      <w:hyperlink r:id="rId190">
        <w:r>
          <w:rPr>
            <w:rFonts w:ascii="Arial" w:cs="Arial" w:eastAsia="Arial" w:hAnsi="Arial"/>
            <w:sz w:val="12"/>
            <w:szCs w:val="12"/>
            <w:u w:val="single" w:color="auto"/>
            <w:color w:val="0000FF"/>
          </w:rPr>
          <w:t>Pilgrim’s Pride de México, Sociedad Anónima de Capital Variable as borrower, and Comercializadora de Carnes de México, Sociedad de Responsabilidad Limitada de</w:t>
        </w:r>
      </w:hyperlink>
      <w:r>
        <w:rPr>
          <w:rFonts w:ascii="Arial" w:cs="Arial" w:eastAsia="Arial" w:hAnsi="Arial"/>
          <w:sz w:val="12"/>
          <w:szCs w:val="12"/>
          <w:u w:val="single" w:color="auto"/>
          <w:color w:val="0000FF"/>
        </w:rPr>
        <w:t xml:space="preserve"> </w:t>
      </w:r>
      <w:hyperlink r:id="rId190">
        <w:r>
          <w:rPr>
            <w:rFonts w:ascii="Arial" w:cs="Arial" w:eastAsia="Arial" w:hAnsi="Arial"/>
            <w:sz w:val="12"/>
            <w:szCs w:val="12"/>
            <w:u w:val="single" w:color="auto"/>
            <w:color w:val="0000FF"/>
          </w:rPr>
          <w:t>Capital Variable, Pilgrim’s Pride, Sociedad de Responsabilidad Limitada de Capital Variable, and Pilgrim’s Operaciones Laguna, Sociedad de Responsabilidad Limitada de</w:t>
        </w:r>
      </w:hyperlink>
      <w:r>
        <w:rPr>
          <w:rFonts w:ascii="Arial" w:cs="Arial" w:eastAsia="Arial" w:hAnsi="Arial"/>
          <w:sz w:val="12"/>
          <w:szCs w:val="12"/>
          <w:u w:val="single" w:color="auto"/>
          <w:color w:val="0000FF"/>
        </w:rPr>
        <w:t xml:space="preserve"> </w:t>
      </w:r>
      <w:hyperlink r:id="rId190">
        <w:r>
          <w:rPr>
            <w:rFonts w:ascii="Arial" w:cs="Arial" w:eastAsia="Arial" w:hAnsi="Arial"/>
            <w:sz w:val="12"/>
            <w:szCs w:val="12"/>
            <w:u w:val="single" w:color="auto"/>
            <w:color w:val="0000FF"/>
          </w:rPr>
          <w:t>Capital Variable, as guarantors (incorporated by reference from Exhibit 10.1 of the Company’s Current Report on Form 8-K (No. 001-09273) filed on December 20, 2018).</w:t>
        </w:r>
      </w:hyperlink>
    </w:p>
    <w:p>
      <w:pPr>
        <w:spacing w:after="0" w:line="29" w:lineRule="exact"/>
        <w:rPr>
          <w:rFonts w:ascii="Arial" w:cs="Arial" w:eastAsia="Arial" w:hAnsi="Arial"/>
          <w:sz w:val="12"/>
          <w:szCs w:val="12"/>
          <w:u w:val="single" w:color="auto"/>
          <w:color w:val="0000FF"/>
        </w:rPr>
      </w:pPr>
    </w:p>
    <w:p>
      <w:pPr>
        <w:ind w:left="1440" w:right="500" w:hanging="370"/>
        <w:spacing w:after="0" w:line="236" w:lineRule="auto"/>
        <w:tabs>
          <w:tab w:leader="none" w:pos="1420" w:val="left"/>
        </w:tabs>
        <w:rPr>
          <w:rFonts w:ascii="Arial" w:cs="Arial" w:eastAsia="Arial" w:hAnsi="Arial"/>
          <w:sz w:val="14"/>
          <w:szCs w:val="14"/>
          <w:u w:val="single" w:color="auto"/>
          <w:color w:val="0000FF"/>
        </w:rPr>
      </w:pPr>
      <w:r>
        <w:rPr>
          <w:rFonts w:ascii="Arial" w:cs="Arial" w:eastAsia="Arial" w:hAnsi="Arial"/>
          <w:sz w:val="14"/>
          <w:szCs w:val="14"/>
          <w:color w:val="auto"/>
        </w:rPr>
        <w:t>10.5</w:t>
      </w:r>
      <w:r>
        <w:rPr>
          <w:sz w:val="20"/>
          <w:szCs w:val="20"/>
          <w:color w:val="auto"/>
        </w:rPr>
        <w:tab/>
      </w:r>
      <w:hyperlink r:id="rId191">
        <w:r>
          <w:rPr>
            <w:rFonts w:ascii="Arial" w:cs="Arial" w:eastAsia="Arial" w:hAnsi="Arial"/>
            <w:sz w:val="14"/>
            <w:szCs w:val="14"/>
            <w:u w:val="single" w:color="auto"/>
            <w:color w:val="0000FF"/>
          </w:rPr>
          <w:t>2019 Pilgrim’s Pride Corporation Long-Term Incentive Plan (incorporated by reference from Exhibit 10.14 of the Company’s Annual Report on Form 10-K filed on</w:t>
        </w:r>
      </w:hyperlink>
      <w:r>
        <w:rPr>
          <w:rFonts w:ascii="Arial" w:cs="Arial" w:eastAsia="Arial" w:hAnsi="Arial"/>
          <w:sz w:val="14"/>
          <w:szCs w:val="14"/>
          <w:u w:val="single" w:color="auto"/>
          <w:color w:val="0000FF"/>
        </w:rPr>
        <w:t xml:space="preserve"> </w:t>
      </w:r>
      <w:hyperlink r:id="rId191">
        <w:r>
          <w:rPr>
            <w:rFonts w:ascii="Arial" w:cs="Arial" w:eastAsia="Arial" w:hAnsi="Arial"/>
            <w:sz w:val="14"/>
            <w:szCs w:val="14"/>
            <w:u w:val="single" w:color="auto"/>
            <w:color w:val="0000FF"/>
          </w:rPr>
          <w:t>February 21, 2020).†</w:t>
        </w:r>
      </w:hyperlink>
    </w:p>
    <w:p>
      <w:pPr>
        <w:spacing w:after="0" w:line="44" w:lineRule="exact"/>
        <w:rPr>
          <w:sz w:val="20"/>
          <w:szCs w:val="20"/>
          <w:color w:val="auto"/>
        </w:rPr>
      </w:pPr>
    </w:p>
    <w:p>
      <w:pPr>
        <w:jc w:val="both"/>
        <w:ind w:left="1440" w:right="20" w:hanging="370"/>
        <w:spacing w:after="0" w:line="226" w:lineRule="auto"/>
        <w:tabs>
          <w:tab w:leader="none" w:pos="1420" w:val="left"/>
        </w:tabs>
        <w:rPr>
          <w:rFonts w:ascii="Arial" w:cs="Arial" w:eastAsia="Arial" w:hAnsi="Arial"/>
          <w:sz w:val="14"/>
          <w:szCs w:val="14"/>
          <w:u w:val="single" w:color="auto"/>
          <w:color w:val="0000FF"/>
        </w:rPr>
      </w:pPr>
      <w:r>
        <w:rPr>
          <w:rFonts w:ascii="Arial" w:cs="Arial" w:eastAsia="Arial" w:hAnsi="Arial"/>
          <w:sz w:val="14"/>
          <w:szCs w:val="14"/>
          <w:color w:val="auto"/>
        </w:rPr>
        <w:t>10.6</w:t>
      </w:r>
      <w:r>
        <w:rPr>
          <w:sz w:val="20"/>
          <w:szCs w:val="20"/>
          <w:color w:val="auto"/>
        </w:rPr>
        <w:tab/>
      </w:r>
      <w:hyperlink r:id="rId192">
        <w:r>
          <w:rPr>
            <w:rFonts w:ascii="Arial" w:cs="Arial" w:eastAsia="Arial" w:hAnsi="Arial"/>
            <w:sz w:val="14"/>
            <w:szCs w:val="14"/>
            <w:u w:val="single" w:color="auto"/>
            <w:color w:val="0000FF"/>
          </w:rPr>
          <w:t>Fifth Amended and Restated Credit Agreement, dated as of August 9, 2021, by and among Pilgrim’s Pride Corporation, certain of its subsidiaries, CoBank, ACB, as</w:t>
        </w:r>
      </w:hyperlink>
      <w:r>
        <w:rPr>
          <w:rFonts w:ascii="Arial" w:cs="Arial" w:eastAsia="Arial" w:hAnsi="Arial"/>
          <w:sz w:val="14"/>
          <w:szCs w:val="14"/>
          <w:u w:val="single" w:color="auto"/>
          <w:color w:val="0000FF"/>
        </w:rPr>
        <w:t xml:space="preserve"> </w:t>
      </w:r>
      <w:hyperlink r:id="rId192">
        <w:r>
          <w:rPr>
            <w:rFonts w:ascii="Arial" w:cs="Arial" w:eastAsia="Arial" w:hAnsi="Arial"/>
            <w:sz w:val="14"/>
            <w:szCs w:val="14"/>
            <w:u w:val="single" w:color="auto"/>
            <w:color w:val="0000FF"/>
          </w:rPr>
          <w:t>administrative agent and collateral agent, and the other lenders party thereto (incorporated by reference from Exhibit 10.1 of the Company’s Current Report on Form 8-K</w:t>
        </w:r>
      </w:hyperlink>
      <w:r>
        <w:rPr>
          <w:rFonts w:ascii="Arial" w:cs="Arial" w:eastAsia="Arial" w:hAnsi="Arial"/>
          <w:sz w:val="14"/>
          <w:szCs w:val="14"/>
          <w:u w:val="single" w:color="auto"/>
          <w:color w:val="0000FF"/>
        </w:rPr>
        <w:t xml:space="preserve"> </w:t>
      </w:r>
      <w:hyperlink r:id="rId192">
        <w:r>
          <w:rPr>
            <w:rFonts w:ascii="Arial" w:cs="Arial" w:eastAsia="Arial" w:hAnsi="Arial"/>
            <w:sz w:val="14"/>
            <w:szCs w:val="14"/>
            <w:u w:val="single" w:color="auto"/>
            <w:color w:val="0000FF"/>
          </w:rPr>
          <w:t>(No. 001-09273) filed on August 11, 2021, as amended on August 16, 2021).</w:t>
        </w:r>
      </w:hyperlink>
    </w:p>
    <w:p>
      <w:pPr>
        <w:spacing w:after="0" w:line="44" w:lineRule="exact"/>
        <w:rPr>
          <w:rFonts w:ascii="Arial" w:cs="Arial" w:eastAsia="Arial" w:hAnsi="Arial"/>
          <w:sz w:val="14"/>
          <w:szCs w:val="14"/>
          <w:u w:val="single" w:color="auto"/>
          <w:color w:val="0000FF"/>
        </w:rPr>
      </w:pPr>
    </w:p>
    <w:p>
      <w:pPr>
        <w:jc w:val="both"/>
        <w:ind w:left="1440" w:hanging="370"/>
        <w:spacing w:after="0" w:line="236" w:lineRule="auto"/>
        <w:tabs>
          <w:tab w:leader="none" w:pos="1420" w:val="left"/>
        </w:tabs>
        <w:rPr>
          <w:rFonts w:ascii="Arial" w:cs="Arial" w:eastAsia="Arial" w:hAnsi="Arial"/>
          <w:sz w:val="14"/>
          <w:szCs w:val="14"/>
          <w:u w:val="single" w:color="auto"/>
          <w:color w:val="0000FF"/>
        </w:rPr>
      </w:pPr>
      <w:r>
        <w:rPr>
          <w:rFonts w:ascii="Arial" w:cs="Arial" w:eastAsia="Arial" w:hAnsi="Arial"/>
          <w:sz w:val="14"/>
          <w:szCs w:val="14"/>
          <w:color w:val="auto"/>
        </w:rPr>
        <w:t>10.7</w:t>
      </w:r>
      <w:r>
        <w:rPr>
          <w:sz w:val="20"/>
          <w:szCs w:val="20"/>
          <w:color w:val="auto"/>
        </w:rPr>
        <w:tab/>
      </w:r>
      <w:hyperlink r:id="rId193">
        <w:r>
          <w:rPr>
            <w:rFonts w:ascii="Arial" w:cs="Arial" w:eastAsia="Arial" w:hAnsi="Arial"/>
            <w:sz w:val="14"/>
            <w:szCs w:val="14"/>
            <w:u w:val="single" w:color="auto"/>
            <w:color w:val="0000FF"/>
          </w:rPr>
          <w:t>Form of Stock Award Agreement under the Pilgrim’s Pride Corporation Long Term Incentive Plan (incorporated by reference from Exhibit 10.1 to the Company’s Quarterly</w:t>
        </w:r>
      </w:hyperlink>
      <w:r>
        <w:rPr>
          <w:rFonts w:ascii="Arial" w:cs="Arial" w:eastAsia="Arial" w:hAnsi="Arial"/>
          <w:sz w:val="14"/>
          <w:szCs w:val="14"/>
          <w:u w:val="single" w:color="auto"/>
          <w:color w:val="0000FF"/>
        </w:rPr>
        <w:t xml:space="preserve"> </w:t>
      </w:r>
      <w:hyperlink r:id="rId193">
        <w:r>
          <w:rPr>
            <w:rFonts w:ascii="Arial" w:cs="Arial" w:eastAsia="Arial" w:hAnsi="Arial"/>
            <w:sz w:val="14"/>
            <w:szCs w:val="14"/>
            <w:u w:val="single" w:color="auto"/>
            <w:color w:val="0000FF"/>
          </w:rPr>
          <w:t>Report on Form 10-Q filed on April 28, 2021).†</w:t>
        </w:r>
      </w:hyperlink>
    </w:p>
    <w:p>
      <w:pPr>
        <w:spacing w:after="0" w:line="44" w:lineRule="exact"/>
        <w:rPr>
          <w:sz w:val="20"/>
          <w:szCs w:val="20"/>
          <w:color w:val="auto"/>
        </w:rPr>
      </w:pPr>
    </w:p>
    <w:p>
      <w:pPr>
        <w:ind w:left="1040" w:right="8220" w:firstLine="98"/>
        <w:spacing w:after="0" w:line="387" w:lineRule="auto"/>
        <w:tabs>
          <w:tab w:leader="none" w:pos="1454" w:val="left"/>
        </w:tabs>
        <w:numPr>
          <w:ilvl w:val="0"/>
          <w:numId w:val="45"/>
        </w:numPr>
        <w:rPr>
          <w:rFonts w:ascii="Arial" w:cs="Arial" w:eastAsia="Arial" w:hAnsi="Arial"/>
          <w:sz w:val="12"/>
          <w:szCs w:val="12"/>
          <w:color w:val="000000"/>
        </w:rPr>
      </w:pPr>
      <w:hyperlink w:anchor="page112">
        <w:r>
          <w:rPr>
            <w:rFonts w:ascii="Arial" w:cs="Arial" w:eastAsia="Arial" w:hAnsi="Arial"/>
            <w:sz w:val="12"/>
            <w:szCs w:val="12"/>
            <w:u w:val="single" w:color="auto"/>
            <w:color w:val="0000FF"/>
          </w:rPr>
          <w:t>Subsidiaries of Registrant.*</w:t>
        </w:r>
      </w:hyperlink>
      <w:r>
        <w:rPr>
          <w:rFonts w:ascii="Arial" w:cs="Arial" w:eastAsia="Arial" w:hAnsi="Arial"/>
          <w:sz w:val="12"/>
          <w:szCs w:val="12"/>
          <w:u w:val="single" w:color="auto"/>
          <w:color w:val="0000FF"/>
        </w:rPr>
        <w:t xml:space="preserve"> </w:t>
      </w:r>
      <w:r>
        <w:rPr>
          <w:rFonts w:ascii="Arial" w:cs="Arial" w:eastAsia="Arial" w:hAnsi="Arial"/>
          <w:sz w:val="12"/>
          <w:szCs w:val="12"/>
          <w:color w:val="000000"/>
        </w:rPr>
        <w:t xml:space="preserve">23.1 </w:t>
      </w:r>
      <w:hyperlink w:anchor="page114">
        <w:r>
          <w:rPr>
            <w:rFonts w:ascii="Arial" w:cs="Arial" w:eastAsia="Arial" w:hAnsi="Arial"/>
            <w:sz w:val="12"/>
            <w:szCs w:val="12"/>
            <w:u w:val="single" w:color="auto"/>
            <w:color w:val="0000FF"/>
          </w:rPr>
          <w:t>Consent of KPMG LLP.*</w:t>
        </w:r>
      </w:hyperlink>
    </w:p>
    <w:p>
      <w:pPr>
        <w:ind w:left="1040"/>
        <w:spacing w:after="0"/>
        <w:rPr>
          <w:rFonts w:ascii="Arial" w:cs="Arial" w:eastAsia="Arial" w:hAnsi="Arial"/>
          <w:sz w:val="14"/>
          <w:szCs w:val="14"/>
          <w:color w:val="auto"/>
        </w:rPr>
      </w:pPr>
      <w:r>
        <w:rPr>
          <w:rFonts w:ascii="Arial" w:cs="Arial" w:eastAsia="Arial" w:hAnsi="Arial"/>
          <w:sz w:val="14"/>
          <w:szCs w:val="14"/>
          <w:color w:val="auto"/>
        </w:rPr>
        <w:t xml:space="preserve">31.1   </w:t>
      </w:r>
      <w:hyperlink w:anchor="page115">
        <w:r>
          <w:rPr>
            <w:rFonts w:ascii="Arial" w:cs="Arial" w:eastAsia="Arial" w:hAnsi="Arial"/>
            <w:sz w:val="14"/>
            <w:szCs w:val="14"/>
            <w:u w:val="single" w:color="auto"/>
            <w:color w:val="0000FF"/>
          </w:rPr>
          <w:t>Certification of Principal Executive Officer pursuant to Section 302 of the Sarbanes-Oxley Act of 2002.*</w:t>
        </w:r>
      </w:hyperlink>
    </w:p>
    <w:p>
      <w:pPr>
        <w:spacing w:after="0" w:line="61" w:lineRule="exact"/>
        <w:rPr>
          <w:rFonts w:ascii="Arial" w:cs="Arial" w:eastAsia="Arial" w:hAnsi="Arial"/>
          <w:sz w:val="14"/>
          <w:szCs w:val="14"/>
          <w:color w:val="auto"/>
        </w:rPr>
      </w:pPr>
    </w:p>
    <w:p>
      <w:pPr>
        <w:ind w:left="1040"/>
        <w:spacing w:after="0"/>
        <w:rPr>
          <w:rFonts w:ascii="Arial" w:cs="Arial" w:eastAsia="Arial" w:hAnsi="Arial"/>
          <w:sz w:val="14"/>
          <w:szCs w:val="14"/>
          <w:color w:val="auto"/>
        </w:rPr>
      </w:pPr>
      <w:r>
        <w:rPr>
          <w:rFonts w:ascii="Arial" w:cs="Arial" w:eastAsia="Arial" w:hAnsi="Arial"/>
          <w:sz w:val="14"/>
          <w:szCs w:val="14"/>
          <w:color w:val="auto"/>
        </w:rPr>
        <w:t xml:space="preserve">31.2   </w:t>
      </w:r>
      <w:hyperlink w:anchor="page116">
        <w:r>
          <w:rPr>
            <w:rFonts w:ascii="Arial" w:cs="Arial" w:eastAsia="Arial" w:hAnsi="Arial"/>
            <w:sz w:val="14"/>
            <w:szCs w:val="14"/>
            <w:u w:val="single" w:color="auto"/>
            <w:color w:val="0000FF"/>
          </w:rPr>
          <w:t>Certification of Principal Financial Officer pursuant to Section 302 of the Sarbanes-Oxley Act of 2002.*</w:t>
        </w:r>
      </w:hyperlink>
    </w:p>
    <w:p>
      <w:pPr>
        <w:spacing w:after="0" w:line="61" w:lineRule="exact"/>
        <w:rPr>
          <w:rFonts w:ascii="Arial" w:cs="Arial" w:eastAsia="Arial" w:hAnsi="Arial"/>
          <w:sz w:val="14"/>
          <w:szCs w:val="14"/>
          <w:color w:val="auto"/>
        </w:rPr>
      </w:pPr>
    </w:p>
    <w:p>
      <w:pPr>
        <w:ind w:left="1040"/>
        <w:spacing w:after="0"/>
        <w:rPr>
          <w:rFonts w:ascii="Arial" w:cs="Arial" w:eastAsia="Arial" w:hAnsi="Arial"/>
          <w:sz w:val="14"/>
          <w:szCs w:val="14"/>
          <w:color w:val="auto"/>
        </w:rPr>
      </w:pPr>
      <w:r>
        <w:rPr>
          <w:rFonts w:ascii="Arial" w:cs="Arial" w:eastAsia="Arial" w:hAnsi="Arial"/>
          <w:sz w:val="14"/>
          <w:szCs w:val="14"/>
          <w:color w:val="auto"/>
        </w:rPr>
        <w:t xml:space="preserve">32.1   </w:t>
      </w:r>
      <w:hyperlink w:anchor="page117">
        <w:r>
          <w:rPr>
            <w:rFonts w:ascii="Arial" w:cs="Arial" w:eastAsia="Arial" w:hAnsi="Arial"/>
            <w:sz w:val="14"/>
            <w:szCs w:val="14"/>
            <w:u w:val="single" w:color="auto"/>
            <w:color w:val="0000FF"/>
          </w:rPr>
          <w:t>Certification of Principal Executive Officer of Pilgrim’s Pride Corporation pursuant to Section 906 of the Sarbanes-Oxley Act of 2002.**</w:t>
        </w:r>
      </w:hyperlink>
    </w:p>
    <w:p>
      <w:pPr>
        <w:spacing w:after="0" w:line="61" w:lineRule="exact"/>
        <w:rPr>
          <w:rFonts w:ascii="Arial" w:cs="Arial" w:eastAsia="Arial" w:hAnsi="Arial"/>
          <w:sz w:val="14"/>
          <w:szCs w:val="14"/>
          <w:color w:val="auto"/>
        </w:rPr>
      </w:pPr>
    </w:p>
    <w:p>
      <w:pPr>
        <w:ind w:left="1040"/>
        <w:spacing w:after="0"/>
        <w:rPr>
          <w:rFonts w:ascii="Arial" w:cs="Arial" w:eastAsia="Arial" w:hAnsi="Arial"/>
          <w:sz w:val="14"/>
          <w:szCs w:val="14"/>
          <w:color w:val="auto"/>
        </w:rPr>
      </w:pPr>
      <w:r>
        <w:rPr>
          <w:rFonts w:ascii="Arial" w:cs="Arial" w:eastAsia="Arial" w:hAnsi="Arial"/>
          <w:sz w:val="14"/>
          <w:szCs w:val="14"/>
          <w:color w:val="auto"/>
        </w:rPr>
        <w:t xml:space="preserve">32.2   </w:t>
      </w:r>
      <w:hyperlink w:anchor="page118">
        <w:r>
          <w:rPr>
            <w:rFonts w:ascii="Arial" w:cs="Arial" w:eastAsia="Arial" w:hAnsi="Arial"/>
            <w:sz w:val="14"/>
            <w:szCs w:val="14"/>
            <w:u w:val="single" w:color="auto"/>
            <w:color w:val="0000FF"/>
          </w:rPr>
          <w:t>Certification of Principal Financial Officer of Pilgrim’s Pride Corporation pursuant to Section 906 of the Sarbanes-Oxley Act of 2002.**</w:t>
        </w:r>
      </w:hyperlink>
    </w:p>
    <w:p>
      <w:pPr>
        <w:spacing w:after="0" w:line="62" w:lineRule="exact"/>
        <w:rPr>
          <w:rFonts w:ascii="Arial" w:cs="Arial" w:eastAsia="Arial" w:hAnsi="Arial"/>
          <w:sz w:val="14"/>
          <w:szCs w:val="14"/>
          <w:color w:val="auto"/>
        </w:rPr>
      </w:pPr>
    </w:p>
    <w:tbl>
      <w:tblPr>
        <w:tblLayout w:type="fixed"/>
        <w:tblInd w:w="800" w:type="dxa"/>
        <w:tblCellMar>
          <w:top w:w="0" w:type="dxa"/>
          <w:left w:w="0" w:type="dxa"/>
          <w:bottom w:w="0" w:type="dxa"/>
          <w:right w:w="0" w:type="dxa"/>
        </w:tblCellMar>
      </w:tblPr>
      <w:tr>
        <w:trPr>
          <w:trHeight w:val="180"/>
        </w:trPr>
        <w:tc>
          <w:tcPr>
            <w:tcW w:w="580" w:type="dxa"/>
            <w:vAlign w:val="bottom"/>
          </w:tcPr>
          <w:p>
            <w:pPr>
              <w:jc w:val="right"/>
              <w:spacing w:after="0"/>
              <w:rPr>
                <w:sz w:val="20"/>
                <w:szCs w:val="20"/>
                <w:color w:val="auto"/>
              </w:rPr>
            </w:pPr>
            <w:r>
              <w:rPr>
                <w:rFonts w:ascii="Arial" w:cs="Arial" w:eastAsia="Arial" w:hAnsi="Arial"/>
                <w:sz w:val="14"/>
                <w:szCs w:val="14"/>
                <w:color w:val="auto"/>
                <w:w w:val="98"/>
              </w:rPr>
              <w:t>101.INS</w:t>
            </w:r>
          </w:p>
        </w:tc>
        <w:tc>
          <w:tcPr>
            <w:tcW w:w="2780" w:type="dxa"/>
            <w:vAlign w:val="bottom"/>
          </w:tcPr>
          <w:p>
            <w:pPr>
              <w:ind w:left="60"/>
              <w:spacing w:after="0"/>
              <w:rPr>
                <w:sz w:val="20"/>
                <w:szCs w:val="20"/>
                <w:color w:val="auto"/>
              </w:rPr>
            </w:pPr>
            <w:r>
              <w:rPr>
                <w:rFonts w:ascii="Arial" w:cs="Arial" w:eastAsia="Arial" w:hAnsi="Arial"/>
                <w:sz w:val="14"/>
                <w:szCs w:val="14"/>
                <w:color w:val="auto"/>
              </w:rPr>
              <w:t>Inline XBRL Instance Document</w:t>
            </w:r>
          </w:p>
        </w:tc>
      </w:tr>
      <w:tr>
        <w:trPr>
          <w:trHeight w:val="223"/>
        </w:trPr>
        <w:tc>
          <w:tcPr>
            <w:tcW w:w="580" w:type="dxa"/>
            <w:vAlign w:val="bottom"/>
          </w:tcPr>
          <w:p>
            <w:pPr>
              <w:jc w:val="right"/>
              <w:spacing w:after="0"/>
              <w:rPr>
                <w:sz w:val="20"/>
                <w:szCs w:val="20"/>
                <w:color w:val="auto"/>
              </w:rPr>
            </w:pPr>
            <w:r>
              <w:rPr>
                <w:rFonts w:ascii="Arial" w:cs="Arial" w:eastAsia="Arial" w:hAnsi="Arial"/>
                <w:sz w:val="14"/>
                <w:szCs w:val="14"/>
                <w:color w:val="auto"/>
                <w:w w:val="87"/>
              </w:rPr>
              <w:t>101.SCH</w:t>
            </w:r>
          </w:p>
        </w:tc>
        <w:tc>
          <w:tcPr>
            <w:tcW w:w="2780" w:type="dxa"/>
            <w:vAlign w:val="bottom"/>
          </w:tcPr>
          <w:p>
            <w:pPr>
              <w:ind w:left="60"/>
              <w:spacing w:after="0"/>
              <w:rPr>
                <w:sz w:val="20"/>
                <w:szCs w:val="20"/>
                <w:color w:val="auto"/>
              </w:rPr>
            </w:pPr>
            <w:r>
              <w:rPr>
                <w:rFonts w:ascii="Arial" w:cs="Arial" w:eastAsia="Arial" w:hAnsi="Arial"/>
                <w:sz w:val="14"/>
                <w:szCs w:val="14"/>
                <w:color w:val="auto"/>
              </w:rPr>
              <w:t>Inline XBRL Taxonomy Extension Schema</w:t>
            </w:r>
          </w:p>
        </w:tc>
      </w:tr>
      <w:tr>
        <w:trPr>
          <w:trHeight w:val="223"/>
        </w:trPr>
        <w:tc>
          <w:tcPr>
            <w:tcW w:w="580" w:type="dxa"/>
            <w:vAlign w:val="bottom"/>
          </w:tcPr>
          <w:p>
            <w:pPr>
              <w:jc w:val="right"/>
              <w:spacing w:after="0"/>
              <w:rPr>
                <w:sz w:val="20"/>
                <w:szCs w:val="20"/>
                <w:color w:val="auto"/>
              </w:rPr>
            </w:pPr>
            <w:r>
              <w:rPr>
                <w:rFonts w:ascii="Arial" w:cs="Arial" w:eastAsia="Arial" w:hAnsi="Arial"/>
                <w:sz w:val="14"/>
                <w:szCs w:val="14"/>
                <w:color w:val="auto"/>
                <w:w w:val="91"/>
              </w:rPr>
              <w:t>101.CAL</w:t>
            </w:r>
          </w:p>
        </w:tc>
        <w:tc>
          <w:tcPr>
            <w:tcW w:w="2780" w:type="dxa"/>
            <w:vAlign w:val="bottom"/>
          </w:tcPr>
          <w:p>
            <w:pPr>
              <w:ind w:left="60"/>
              <w:spacing w:after="0"/>
              <w:rPr>
                <w:sz w:val="20"/>
                <w:szCs w:val="20"/>
                <w:color w:val="auto"/>
              </w:rPr>
            </w:pPr>
            <w:r>
              <w:rPr>
                <w:rFonts w:ascii="Arial" w:cs="Arial" w:eastAsia="Arial" w:hAnsi="Arial"/>
                <w:sz w:val="14"/>
                <w:szCs w:val="14"/>
                <w:color w:val="auto"/>
                <w:w w:val="95"/>
              </w:rPr>
              <w:t>Inline XBRL Taxonomy Extension Calculation</w:t>
            </w:r>
          </w:p>
        </w:tc>
      </w:tr>
      <w:tr>
        <w:trPr>
          <w:trHeight w:val="223"/>
        </w:trPr>
        <w:tc>
          <w:tcPr>
            <w:tcW w:w="580" w:type="dxa"/>
            <w:vAlign w:val="bottom"/>
          </w:tcPr>
          <w:p>
            <w:pPr>
              <w:jc w:val="right"/>
              <w:spacing w:after="0"/>
              <w:rPr>
                <w:sz w:val="20"/>
                <w:szCs w:val="20"/>
                <w:color w:val="auto"/>
              </w:rPr>
            </w:pPr>
            <w:r>
              <w:rPr>
                <w:rFonts w:ascii="Arial" w:cs="Arial" w:eastAsia="Arial" w:hAnsi="Arial"/>
                <w:sz w:val="14"/>
                <w:szCs w:val="14"/>
                <w:color w:val="auto"/>
                <w:w w:val="90"/>
              </w:rPr>
              <w:t>101.DEF</w:t>
            </w:r>
          </w:p>
        </w:tc>
        <w:tc>
          <w:tcPr>
            <w:tcW w:w="2780" w:type="dxa"/>
            <w:vAlign w:val="bottom"/>
          </w:tcPr>
          <w:p>
            <w:pPr>
              <w:ind w:left="60"/>
              <w:spacing w:after="0"/>
              <w:rPr>
                <w:sz w:val="20"/>
                <w:szCs w:val="20"/>
                <w:color w:val="auto"/>
              </w:rPr>
            </w:pPr>
            <w:r>
              <w:rPr>
                <w:rFonts w:ascii="Arial" w:cs="Arial" w:eastAsia="Arial" w:hAnsi="Arial"/>
                <w:sz w:val="14"/>
                <w:szCs w:val="14"/>
                <w:color w:val="auto"/>
                <w:w w:val="99"/>
              </w:rPr>
              <w:t>Inline XBRL Taxonomy Extension Definition</w:t>
            </w:r>
          </w:p>
        </w:tc>
      </w:tr>
      <w:tr>
        <w:trPr>
          <w:trHeight w:val="223"/>
        </w:trPr>
        <w:tc>
          <w:tcPr>
            <w:tcW w:w="580" w:type="dxa"/>
            <w:vAlign w:val="bottom"/>
          </w:tcPr>
          <w:p>
            <w:pPr>
              <w:jc w:val="right"/>
              <w:spacing w:after="0"/>
              <w:rPr>
                <w:sz w:val="20"/>
                <w:szCs w:val="20"/>
                <w:color w:val="auto"/>
              </w:rPr>
            </w:pPr>
            <w:r>
              <w:rPr>
                <w:rFonts w:ascii="Arial" w:cs="Arial" w:eastAsia="Arial" w:hAnsi="Arial"/>
                <w:sz w:val="14"/>
                <w:szCs w:val="14"/>
                <w:color w:val="auto"/>
                <w:w w:val="93"/>
              </w:rPr>
              <w:t>101.LAB</w:t>
            </w:r>
          </w:p>
        </w:tc>
        <w:tc>
          <w:tcPr>
            <w:tcW w:w="2780" w:type="dxa"/>
            <w:vAlign w:val="bottom"/>
          </w:tcPr>
          <w:p>
            <w:pPr>
              <w:ind w:left="60"/>
              <w:spacing w:after="0"/>
              <w:rPr>
                <w:sz w:val="20"/>
                <w:szCs w:val="20"/>
                <w:color w:val="auto"/>
              </w:rPr>
            </w:pPr>
            <w:r>
              <w:rPr>
                <w:rFonts w:ascii="Arial" w:cs="Arial" w:eastAsia="Arial" w:hAnsi="Arial"/>
                <w:sz w:val="14"/>
                <w:szCs w:val="14"/>
                <w:color w:val="auto"/>
              </w:rPr>
              <w:t>Inline XBRL Taxonomy Extension Label</w:t>
            </w:r>
          </w:p>
        </w:tc>
      </w:tr>
      <w:tr>
        <w:trPr>
          <w:trHeight w:val="223"/>
        </w:trPr>
        <w:tc>
          <w:tcPr>
            <w:tcW w:w="580" w:type="dxa"/>
            <w:vAlign w:val="bottom"/>
          </w:tcPr>
          <w:p>
            <w:pPr>
              <w:jc w:val="right"/>
              <w:spacing w:after="0"/>
              <w:rPr>
                <w:sz w:val="20"/>
                <w:szCs w:val="20"/>
                <w:color w:val="auto"/>
              </w:rPr>
            </w:pPr>
            <w:r>
              <w:rPr>
                <w:rFonts w:ascii="Arial" w:cs="Arial" w:eastAsia="Arial" w:hAnsi="Arial"/>
                <w:sz w:val="14"/>
                <w:szCs w:val="14"/>
                <w:color w:val="auto"/>
                <w:w w:val="89"/>
              </w:rPr>
              <w:t>101.PRE</w:t>
            </w:r>
          </w:p>
        </w:tc>
        <w:tc>
          <w:tcPr>
            <w:tcW w:w="2780" w:type="dxa"/>
            <w:vAlign w:val="bottom"/>
          </w:tcPr>
          <w:p>
            <w:pPr>
              <w:ind w:left="60"/>
              <w:spacing w:after="0"/>
              <w:rPr>
                <w:sz w:val="20"/>
                <w:szCs w:val="20"/>
                <w:color w:val="auto"/>
              </w:rPr>
            </w:pPr>
            <w:r>
              <w:rPr>
                <w:rFonts w:ascii="Arial" w:cs="Arial" w:eastAsia="Arial" w:hAnsi="Arial"/>
                <w:sz w:val="14"/>
                <w:szCs w:val="14"/>
                <w:color w:val="auto"/>
                <w:w w:val="92"/>
              </w:rPr>
              <w:t>Inline XBRL Taxonomy Extension Presentation</w:t>
            </w:r>
          </w:p>
        </w:tc>
      </w:tr>
    </w:tbl>
    <w:p>
      <w:pPr>
        <w:spacing w:after="0" w:line="43" w:lineRule="exact"/>
        <w:rPr>
          <w:rFonts w:ascii="Arial" w:cs="Arial" w:eastAsia="Arial" w:hAnsi="Arial"/>
          <w:sz w:val="14"/>
          <w:szCs w:val="14"/>
          <w:color w:val="auto"/>
        </w:rPr>
      </w:pPr>
    </w:p>
    <w:p>
      <w:pPr>
        <w:ind w:left="1440" w:hanging="372"/>
        <w:spacing w:after="0"/>
        <w:tabs>
          <w:tab w:leader="none" w:pos="1440" w:val="left"/>
        </w:tabs>
        <w:numPr>
          <w:ilvl w:val="1"/>
          <w:numId w:val="46"/>
        </w:numPr>
        <w:rPr>
          <w:rFonts w:ascii="Arial" w:cs="Arial" w:eastAsia="Arial" w:hAnsi="Arial"/>
          <w:sz w:val="14"/>
          <w:szCs w:val="14"/>
          <w:color w:val="auto"/>
        </w:rPr>
      </w:pPr>
      <w:r>
        <w:rPr>
          <w:rFonts w:ascii="Arial" w:cs="Arial" w:eastAsia="Arial" w:hAnsi="Arial"/>
          <w:sz w:val="14"/>
          <w:szCs w:val="14"/>
          <w:color w:val="auto"/>
        </w:rPr>
        <w:t>Cover Page Interactive Data File (formatted as Inline XBRL and contained in Exhibit 101)</w:t>
      </w:r>
    </w:p>
    <w:p>
      <w:pPr>
        <w:spacing w:after="0" w:line="100" w:lineRule="exact"/>
        <w:rPr>
          <w:rFonts w:ascii="Arial" w:cs="Arial" w:eastAsia="Arial" w:hAnsi="Arial"/>
          <w:sz w:val="14"/>
          <w:szCs w:val="14"/>
          <w:color w:val="auto"/>
        </w:rPr>
      </w:pPr>
    </w:p>
    <w:p>
      <w:pPr>
        <w:ind w:left="20"/>
        <w:spacing w:after="0"/>
        <w:rPr>
          <w:rFonts w:ascii="Arial" w:cs="Arial" w:eastAsia="Arial" w:hAnsi="Arial"/>
          <w:sz w:val="14"/>
          <w:szCs w:val="14"/>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Filed herewith</w:t>
      </w:r>
    </w:p>
    <w:p>
      <w:pPr>
        <w:spacing w:after="0" w:line="93" w:lineRule="exact"/>
        <w:rPr>
          <w:rFonts w:ascii="Arial" w:cs="Arial" w:eastAsia="Arial" w:hAnsi="Arial"/>
          <w:sz w:val="14"/>
          <w:szCs w:val="14"/>
          <w:color w:val="auto"/>
        </w:rPr>
      </w:pPr>
    </w:p>
    <w:p>
      <w:pPr>
        <w:ind w:left="1000" w:hanging="981"/>
        <w:spacing w:after="0"/>
        <w:tabs>
          <w:tab w:leader="none" w:pos="1000" w:val="left"/>
        </w:tabs>
        <w:numPr>
          <w:ilvl w:val="0"/>
          <w:numId w:val="47"/>
        </w:numPr>
        <w:rPr>
          <w:rFonts w:ascii="Arial" w:cs="Arial" w:eastAsia="Arial" w:hAnsi="Arial"/>
          <w:sz w:val="14"/>
          <w:szCs w:val="14"/>
          <w:b w:val="1"/>
          <w:bCs w:val="1"/>
          <w:color w:val="auto"/>
        </w:rPr>
      </w:pPr>
      <w:r>
        <w:rPr>
          <w:rFonts w:ascii="Arial" w:cs="Arial" w:eastAsia="Arial" w:hAnsi="Arial"/>
          <w:sz w:val="14"/>
          <w:szCs w:val="14"/>
          <w:b w:val="1"/>
          <w:bCs w:val="1"/>
          <w:color w:val="auto"/>
        </w:rPr>
        <w:t>Furnished herewith</w:t>
      </w:r>
    </w:p>
    <w:p>
      <w:pPr>
        <w:spacing w:after="0" w:line="83" w:lineRule="exact"/>
        <w:rPr>
          <w:rFonts w:ascii="Arial" w:cs="Arial" w:eastAsia="Arial" w:hAnsi="Arial"/>
          <w:sz w:val="14"/>
          <w:szCs w:val="14"/>
          <w:color w:val="auto"/>
        </w:rPr>
      </w:pPr>
    </w:p>
    <w:p>
      <w:pPr>
        <w:ind w:left="1000" w:hanging="981"/>
        <w:spacing w:after="0"/>
        <w:tabs>
          <w:tab w:leader="none" w:pos="1000" w:val="left"/>
        </w:tabs>
        <w:numPr>
          <w:ilvl w:val="0"/>
          <w:numId w:val="48"/>
        </w:numPr>
        <w:rPr>
          <w:rFonts w:ascii="Arial" w:cs="Arial" w:eastAsia="Arial" w:hAnsi="Arial"/>
          <w:sz w:val="14"/>
          <w:szCs w:val="14"/>
          <w:color w:val="auto"/>
        </w:rPr>
      </w:pPr>
      <w:r>
        <w:rPr>
          <w:rFonts w:ascii="Arial" w:cs="Arial" w:eastAsia="Arial" w:hAnsi="Arial"/>
          <w:sz w:val="14"/>
          <w:szCs w:val="14"/>
          <w:b w:val="1"/>
          <w:bCs w:val="1"/>
          <w:color w:val="auto"/>
        </w:rPr>
        <w:t>Represents a management contract or compensation plan arrangement</w:t>
      </w:r>
    </w:p>
    <w:p>
      <w:pPr>
        <w:spacing w:after="0" w:line="200" w:lineRule="exact"/>
        <w:rPr>
          <w:rFonts w:ascii="Arial" w:cs="Arial" w:eastAsia="Arial" w:hAnsi="Arial"/>
          <w:sz w:val="14"/>
          <w:szCs w:val="14"/>
          <w:color w:val="auto"/>
        </w:rPr>
      </w:pPr>
    </w:p>
    <w:p>
      <w:pPr>
        <w:spacing w:after="0" w:line="354" w:lineRule="exact"/>
        <w:rPr>
          <w:rFonts w:ascii="Arial" w:cs="Arial" w:eastAsia="Arial" w:hAnsi="Arial"/>
          <w:sz w:val="14"/>
          <w:szCs w:val="14"/>
          <w:color w:val="auto"/>
        </w:rPr>
      </w:pPr>
    </w:p>
    <w:p>
      <w:pPr>
        <w:jc w:val="center"/>
        <w:ind w:right="-59"/>
        <w:spacing w:after="0"/>
        <w:rPr>
          <w:sz w:val="20"/>
          <w:szCs w:val="20"/>
          <w:color w:val="auto"/>
        </w:rPr>
      </w:pPr>
      <w:r>
        <w:rPr>
          <w:rFonts w:ascii="Arial" w:cs="Arial" w:eastAsia="Arial" w:hAnsi="Arial"/>
          <w:sz w:val="14"/>
          <w:szCs w:val="14"/>
          <w:color w:val="auto"/>
        </w:rPr>
        <w:t>100</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9" w:right="359" w:bottom="1440" w:gutter="0" w:footer="0" w:header="0"/>
        </w:sectPr>
      </w:pPr>
    </w:p>
    <w:bookmarkStart w:id="103" w:name="page104"/>
    <w:bookmarkEnd w:id="10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16. Form 10-K Summary</w:t>
      </w:r>
    </w:p>
    <w:p>
      <w:pPr>
        <w:spacing w:after="0" w:line="204" w:lineRule="exact"/>
        <w:rPr>
          <w:sz w:val="20"/>
          <w:szCs w:val="20"/>
          <w:color w:val="auto"/>
        </w:rPr>
      </w:pPr>
    </w:p>
    <w:p>
      <w:pPr>
        <w:ind w:left="140"/>
        <w:spacing w:after="0"/>
        <w:rPr>
          <w:sz w:val="20"/>
          <w:szCs w:val="20"/>
          <w:color w:val="auto"/>
        </w:rPr>
      </w:pPr>
      <w:r>
        <w:rPr>
          <w:rFonts w:ascii="Arial" w:cs="Arial" w:eastAsia="Arial" w:hAnsi="Arial"/>
          <w:sz w:val="14"/>
          <w:szCs w:val="14"/>
          <w:color w:val="auto"/>
        </w:rPr>
        <w:t>None.</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SIGNATURES</w:t>
      </w:r>
    </w:p>
    <w:p>
      <w:pPr>
        <w:spacing w:after="0" w:line="136"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Pursuant to the requirements of Section 13 or 15(d) the Securities Exchange Act of 1934, the Registrant has duly caused this report to be signed on its behalf by the undersigned, thereunto duly authorized, on February 18, 2022.</w:t>
      </w:r>
    </w:p>
    <w:p>
      <w:pPr>
        <w:spacing w:after="0" w:line="111" w:lineRule="exact"/>
        <w:rPr>
          <w:sz w:val="20"/>
          <w:szCs w:val="20"/>
          <w:color w:val="auto"/>
        </w:rPr>
      </w:pPr>
    </w:p>
    <w:p>
      <w:pPr>
        <w:ind w:left="6540"/>
        <w:spacing w:after="0"/>
        <w:rPr>
          <w:sz w:val="20"/>
          <w:szCs w:val="20"/>
          <w:color w:val="auto"/>
        </w:rPr>
      </w:pPr>
      <w:r>
        <w:rPr>
          <w:rFonts w:ascii="Arial" w:cs="Arial" w:eastAsia="Arial" w:hAnsi="Arial"/>
          <w:sz w:val="14"/>
          <w:szCs w:val="14"/>
          <w:color w:val="auto"/>
        </w:rPr>
        <w:t>PILGRIM’S PRIDE CORPORATION</w:t>
      </w:r>
    </w:p>
    <w:p>
      <w:pPr>
        <w:spacing w:after="0" w:line="263" w:lineRule="exact"/>
        <w:rPr>
          <w:sz w:val="20"/>
          <w:szCs w:val="20"/>
          <w:color w:val="auto"/>
        </w:rPr>
      </w:pPr>
    </w:p>
    <w:p>
      <w:pPr>
        <w:ind w:left="6220"/>
        <w:spacing w:after="0"/>
        <w:tabs>
          <w:tab w:leader="none" w:pos="652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3"/>
          <w:szCs w:val="13"/>
          <w:color w:val="auto"/>
        </w:rPr>
        <w:t>/s/ Matthew Galvanoni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4153535</wp:posOffset>
            </wp:positionH>
            <wp:positionV relativeFrom="paragraph">
              <wp:posOffset>32385</wp:posOffset>
            </wp:positionV>
            <wp:extent cx="1724660" cy="698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5">
                      <a:extLst>
                        <a:ext uri="{28A0092B-C50C-407E-A947-70E740481C1C}"/>
                      </a:extLst>
                    </a:blip>
                    <a:srcRect/>
                    <a:stretch>
                      <a:fillRect/>
                    </a:stretch>
                  </pic:blipFill>
                  <pic:spPr bwMode="auto">
                    <a:xfrm>
                      <a:off x="0" y="0"/>
                      <a:ext cx="1724660" cy="6985"/>
                    </a:xfrm>
                    <a:prstGeom prst="rect">
                      <a:avLst/>
                    </a:prstGeom>
                    <a:noFill/>
                  </pic:spPr>
                </pic:pic>
              </a:graphicData>
            </a:graphic>
          </wp:anchor>
        </w:drawing>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4"/>
          <w:szCs w:val="14"/>
          <w:color w:val="auto"/>
        </w:rPr>
        <w:t>Matthew Galvanoni</w:t>
      </w:r>
    </w:p>
    <w:p>
      <w:pPr>
        <w:spacing w:after="0" w:line="30" w:lineRule="exact"/>
        <w:rPr>
          <w:sz w:val="20"/>
          <w:szCs w:val="20"/>
          <w:color w:val="auto"/>
        </w:rPr>
      </w:pPr>
    </w:p>
    <w:p>
      <w:pPr>
        <w:ind w:left="6540"/>
        <w:spacing w:after="0"/>
        <w:rPr>
          <w:sz w:val="20"/>
          <w:szCs w:val="20"/>
          <w:color w:val="auto"/>
        </w:rPr>
      </w:pPr>
      <w:r>
        <w:rPr>
          <w:rFonts w:ascii="Arial" w:cs="Arial" w:eastAsia="Arial" w:hAnsi="Arial"/>
          <w:sz w:val="14"/>
          <w:szCs w:val="14"/>
          <w:color w:val="auto"/>
        </w:rPr>
        <w:t>Chief Financial Officer and Chief Accounting</w:t>
      </w:r>
    </w:p>
    <w:p>
      <w:pPr>
        <w:ind w:left="6540"/>
        <w:spacing w:after="0"/>
        <w:rPr>
          <w:sz w:val="20"/>
          <w:szCs w:val="20"/>
          <w:color w:val="auto"/>
        </w:rPr>
      </w:pPr>
      <w:r>
        <w:rPr>
          <w:rFonts w:ascii="Arial" w:cs="Arial" w:eastAsia="Arial" w:hAnsi="Arial"/>
          <w:sz w:val="14"/>
          <w:szCs w:val="14"/>
          <w:color w:val="auto"/>
        </w:rPr>
        <w:t>Officer</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POWER OF ATTORNEY</w:t>
      </w:r>
    </w:p>
    <w:p>
      <w:pPr>
        <w:spacing w:after="0" w:line="136" w:lineRule="exact"/>
        <w:rPr>
          <w:sz w:val="20"/>
          <w:szCs w:val="20"/>
          <w:color w:val="auto"/>
        </w:rPr>
      </w:pPr>
    </w:p>
    <w:p>
      <w:pPr>
        <w:jc w:val="both"/>
        <w:ind w:firstLine="509"/>
        <w:spacing w:after="0" w:line="258" w:lineRule="auto"/>
        <w:rPr>
          <w:sz w:val="20"/>
          <w:szCs w:val="20"/>
          <w:color w:val="auto"/>
        </w:rPr>
      </w:pPr>
      <w:r>
        <w:rPr>
          <w:rFonts w:ascii="Arial" w:cs="Arial" w:eastAsia="Arial" w:hAnsi="Arial"/>
          <w:sz w:val="14"/>
          <w:szCs w:val="14"/>
          <w:color w:val="auto"/>
        </w:rPr>
        <w:t>KNOW ALL PERSONS BY THESE PRESENT that the undersigned officers and directors of Pilgrim’s Pride Corporation do hereby constitute and appoint Matthew Galvanoni as his or her true and lawful attorneys-in-fact and agents, with full power of substitution and resubstitution, for him or her and in his or her name, place and stead, in any and all capacities, to sign any and all amendments to this Annual Report on Form 10-K, and to file the same, with all exhibits thereto, and other documents in connection therewith, with the Securities and Exchange Commission, granting unto said attorney-in-fact and agent full power and authority to do and perform each and every act and thing requisite and necessary to be done in connection therewith, as fully to all intents and purposes as he or she might or could do in person, hereby ratifying and confirming that all said attorney-in-fact and agent, or any of them or their or his or her substitute or substitutes, may lawfully do or cause to be done by virtue hereof.</w:t>
      </w:r>
    </w:p>
    <w:p>
      <w:pPr>
        <w:spacing w:after="0" w:line="107"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Pursuant to the requirements of the Securities Exchange Act of 1934, this report has been signed below by the following persons on behalf of the Registrant and in the capacities and on the dates indicated.</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161"/>
        </w:trPr>
        <w:tc>
          <w:tcPr>
            <w:tcW w:w="4720" w:type="dxa"/>
            <w:vAlign w:val="bottom"/>
            <w:gridSpan w:val="3"/>
          </w:tcPr>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tc>
        <w:tc>
          <w:tcPr>
            <w:tcW w:w="40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80" w:type="dxa"/>
            <w:vAlign w:val="bottom"/>
          </w:tcPr>
          <w:p>
            <w:pPr>
              <w:spacing w:after="0"/>
              <w:rPr>
                <w:sz w:val="14"/>
                <w:szCs w:val="14"/>
                <w:color w:val="auto"/>
              </w:rPr>
            </w:pPr>
          </w:p>
        </w:tc>
      </w:tr>
      <w:tr>
        <w:trPr>
          <w:trHeight w:val="765"/>
        </w:trPr>
        <w:tc>
          <w:tcPr>
            <w:tcW w:w="40" w:type="dxa"/>
            <w:vAlign w:val="bottom"/>
            <w:tcBorders>
              <w:top w:val="single" w:sz="8" w:color="0000FF"/>
            </w:tcBorders>
          </w:tcPr>
          <w:p>
            <w:pPr>
              <w:spacing w:after="0"/>
              <w:rPr>
                <w:sz w:val="24"/>
                <w:szCs w:val="24"/>
                <w:color w:val="auto"/>
              </w:rPr>
            </w:pPr>
          </w:p>
        </w:tc>
        <w:tc>
          <w:tcPr>
            <w:tcW w:w="960" w:type="dxa"/>
            <w:vAlign w:val="bottom"/>
            <w:tcBorders>
              <w:top w:val="single" w:sz="8" w:color="0000FF"/>
              <w:bottom w:val="single" w:sz="8" w:color="auto"/>
            </w:tcBorders>
          </w:tcPr>
          <w:p>
            <w:pPr>
              <w:spacing w:after="0"/>
              <w:rPr>
                <w:sz w:val="24"/>
                <w:szCs w:val="24"/>
                <w:color w:val="auto"/>
              </w:rPr>
            </w:pPr>
          </w:p>
        </w:tc>
        <w:tc>
          <w:tcPr>
            <w:tcW w:w="3720" w:type="dxa"/>
            <w:vAlign w:val="bottom"/>
            <w:tcBorders>
              <w:bottom w:val="single" w:sz="8" w:color="auto"/>
            </w:tcBorders>
          </w:tcPr>
          <w:p>
            <w:pPr>
              <w:ind w:left="1120"/>
              <w:spacing w:after="0"/>
              <w:rPr>
                <w:sz w:val="20"/>
                <w:szCs w:val="20"/>
                <w:color w:val="auto"/>
              </w:rPr>
            </w:pPr>
            <w:r>
              <w:rPr>
                <w:rFonts w:ascii="Arial" w:cs="Arial" w:eastAsia="Arial" w:hAnsi="Arial"/>
                <w:sz w:val="14"/>
                <w:szCs w:val="14"/>
                <w:color w:val="auto"/>
              </w:rPr>
              <w:t>Signature</w:t>
            </w:r>
          </w:p>
        </w:tc>
        <w:tc>
          <w:tcPr>
            <w:tcW w:w="400" w:type="dxa"/>
            <w:vAlign w:val="bottom"/>
          </w:tcPr>
          <w:p>
            <w:pPr>
              <w:spacing w:after="0"/>
              <w:rPr>
                <w:sz w:val="24"/>
                <w:szCs w:val="24"/>
                <w:color w:val="auto"/>
              </w:rPr>
            </w:pPr>
          </w:p>
        </w:tc>
        <w:tc>
          <w:tcPr>
            <w:tcW w:w="36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Title</w:t>
            </w:r>
          </w:p>
        </w:tc>
        <w:tc>
          <w:tcPr>
            <w:tcW w:w="400" w:type="dxa"/>
            <w:vAlign w:val="bottom"/>
          </w:tcPr>
          <w:p>
            <w:pPr>
              <w:spacing w:after="0"/>
              <w:rPr>
                <w:sz w:val="24"/>
                <w:szCs w:val="24"/>
                <w:color w:val="auto"/>
              </w:rPr>
            </w:pPr>
          </w:p>
        </w:tc>
        <w:tc>
          <w:tcPr>
            <w:tcW w:w="2080" w:type="dxa"/>
            <w:vAlign w:val="bottom"/>
            <w:tcBorders>
              <w:bottom w:val="single" w:sz="8" w:color="auto"/>
            </w:tcBorders>
          </w:tcPr>
          <w:p>
            <w:pPr>
              <w:ind w:left="900"/>
              <w:spacing w:after="0"/>
              <w:rPr>
                <w:sz w:val="20"/>
                <w:szCs w:val="20"/>
                <w:color w:val="auto"/>
              </w:rPr>
            </w:pPr>
            <w:r>
              <w:rPr>
                <w:rFonts w:ascii="Arial" w:cs="Arial" w:eastAsia="Arial" w:hAnsi="Arial"/>
                <w:sz w:val="14"/>
                <w:szCs w:val="14"/>
                <w:color w:val="auto"/>
              </w:rPr>
              <w:t>Date</w:t>
            </w:r>
          </w:p>
        </w:tc>
      </w:tr>
      <w:tr>
        <w:trPr>
          <w:trHeight w:val="415"/>
        </w:trPr>
        <w:tc>
          <w:tcPr>
            <w:tcW w:w="40" w:type="dxa"/>
            <w:vAlign w:val="bottom"/>
          </w:tcPr>
          <w:p>
            <w:pPr>
              <w:spacing w:after="0"/>
              <w:rPr>
                <w:sz w:val="24"/>
                <w:szCs w:val="24"/>
                <w:color w:val="auto"/>
              </w:rPr>
            </w:pPr>
          </w:p>
        </w:tc>
        <w:tc>
          <w:tcPr>
            <w:tcW w:w="46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/s/ Gilberto Tomazoni</w:t>
            </w:r>
          </w:p>
        </w:tc>
        <w:tc>
          <w:tcPr>
            <w:tcW w:w="400" w:type="dxa"/>
            <w:vAlign w:val="bottom"/>
          </w:tcPr>
          <w:p>
            <w:pPr>
              <w:spacing w:after="0"/>
              <w:rPr>
                <w:sz w:val="24"/>
                <w:szCs w:val="24"/>
                <w:color w:val="auto"/>
              </w:rPr>
            </w:pPr>
          </w:p>
        </w:tc>
        <w:tc>
          <w:tcPr>
            <w:tcW w:w="4060" w:type="dxa"/>
            <w:vAlign w:val="bottom"/>
            <w:gridSpan w:val="2"/>
          </w:tcPr>
          <w:p>
            <w:pPr>
              <w:spacing w:after="0"/>
              <w:rPr>
                <w:sz w:val="20"/>
                <w:szCs w:val="20"/>
                <w:color w:val="auto"/>
              </w:rPr>
            </w:pPr>
            <w:r>
              <w:rPr>
                <w:rFonts w:ascii="Arial" w:cs="Arial" w:eastAsia="Arial" w:hAnsi="Arial"/>
                <w:sz w:val="14"/>
                <w:szCs w:val="14"/>
                <w:color w:val="auto"/>
              </w:rPr>
              <w:t>Chairman of the Board</w:t>
            </w:r>
          </w:p>
        </w:tc>
        <w:tc>
          <w:tcPr>
            <w:tcW w:w="2080" w:type="dxa"/>
            <w:vAlign w:val="bottom"/>
          </w:tcPr>
          <w:p>
            <w:pPr>
              <w:ind w:left="20"/>
              <w:spacing w:after="0"/>
              <w:rPr>
                <w:sz w:val="20"/>
                <w:szCs w:val="20"/>
                <w:color w:val="auto"/>
              </w:rPr>
            </w:pPr>
            <w:r>
              <w:rPr>
                <w:rFonts w:ascii="Arial" w:cs="Arial" w:eastAsia="Arial" w:hAnsi="Arial"/>
                <w:sz w:val="14"/>
                <w:szCs w:val="14"/>
                <w:color w:val="auto"/>
              </w:rPr>
              <w:t>February 18, 2022</w:t>
            </w:r>
          </w:p>
        </w:tc>
      </w:tr>
      <w:tr>
        <w:trPr>
          <w:trHeight w:val="171"/>
        </w:trPr>
        <w:tc>
          <w:tcPr>
            <w:tcW w:w="40" w:type="dxa"/>
            <w:vAlign w:val="bottom"/>
          </w:tcPr>
          <w:p>
            <w:pPr>
              <w:spacing w:after="0"/>
              <w:rPr>
                <w:sz w:val="14"/>
                <w:szCs w:val="14"/>
                <w:color w:val="auto"/>
              </w:rPr>
            </w:pPr>
          </w:p>
        </w:tc>
        <w:tc>
          <w:tcPr>
            <w:tcW w:w="4680" w:type="dxa"/>
            <w:vAlign w:val="bottom"/>
            <w:gridSpan w:val="2"/>
          </w:tcPr>
          <w:p>
            <w:pPr>
              <w:ind w:left="20"/>
              <w:spacing w:after="0"/>
              <w:rPr>
                <w:sz w:val="20"/>
                <w:szCs w:val="20"/>
                <w:color w:val="auto"/>
              </w:rPr>
            </w:pPr>
            <w:r>
              <w:rPr>
                <w:rFonts w:ascii="Arial" w:cs="Arial" w:eastAsia="Arial" w:hAnsi="Arial"/>
                <w:sz w:val="14"/>
                <w:szCs w:val="14"/>
                <w:color w:val="auto"/>
              </w:rPr>
              <w:t>Gilberto Tomazoni</w:t>
            </w:r>
          </w:p>
        </w:tc>
        <w:tc>
          <w:tcPr>
            <w:tcW w:w="40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80" w:type="dxa"/>
            <w:vAlign w:val="bottom"/>
          </w:tcPr>
          <w:p>
            <w:pPr>
              <w:spacing w:after="0"/>
              <w:rPr>
                <w:sz w:val="14"/>
                <w:szCs w:val="14"/>
                <w:color w:val="auto"/>
              </w:rPr>
            </w:pPr>
          </w:p>
        </w:tc>
      </w:tr>
      <w:tr>
        <w:trPr>
          <w:trHeight w:val="425"/>
        </w:trPr>
        <w:tc>
          <w:tcPr>
            <w:tcW w:w="40" w:type="dxa"/>
            <w:vAlign w:val="bottom"/>
          </w:tcPr>
          <w:p>
            <w:pPr>
              <w:spacing w:after="0"/>
              <w:rPr>
                <w:sz w:val="24"/>
                <w:szCs w:val="24"/>
                <w:color w:val="auto"/>
              </w:rPr>
            </w:pPr>
          </w:p>
        </w:tc>
        <w:tc>
          <w:tcPr>
            <w:tcW w:w="46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/s/ Fabio Sandri</w:t>
            </w:r>
          </w:p>
        </w:tc>
        <w:tc>
          <w:tcPr>
            <w:tcW w:w="400" w:type="dxa"/>
            <w:vAlign w:val="bottom"/>
          </w:tcPr>
          <w:p>
            <w:pPr>
              <w:spacing w:after="0"/>
              <w:rPr>
                <w:sz w:val="24"/>
                <w:szCs w:val="24"/>
                <w:color w:val="auto"/>
              </w:rPr>
            </w:pPr>
          </w:p>
        </w:tc>
        <w:tc>
          <w:tcPr>
            <w:tcW w:w="4060" w:type="dxa"/>
            <w:vAlign w:val="bottom"/>
            <w:gridSpan w:val="2"/>
          </w:tcPr>
          <w:p>
            <w:pPr>
              <w:spacing w:after="0"/>
              <w:rPr>
                <w:sz w:val="20"/>
                <w:szCs w:val="20"/>
                <w:color w:val="auto"/>
              </w:rPr>
            </w:pPr>
            <w:r>
              <w:rPr>
                <w:rFonts w:ascii="Arial" w:cs="Arial" w:eastAsia="Arial" w:hAnsi="Arial"/>
                <w:sz w:val="14"/>
                <w:szCs w:val="14"/>
                <w:color w:val="auto"/>
              </w:rPr>
              <w:t>President and Chief Executive Officer</w:t>
            </w:r>
          </w:p>
        </w:tc>
        <w:tc>
          <w:tcPr>
            <w:tcW w:w="2080" w:type="dxa"/>
            <w:vAlign w:val="bottom"/>
          </w:tcPr>
          <w:p>
            <w:pPr>
              <w:ind w:left="20"/>
              <w:spacing w:after="0"/>
              <w:rPr>
                <w:sz w:val="20"/>
                <w:szCs w:val="20"/>
                <w:color w:val="auto"/>
              </w:rPr>
            </w:pPr>
            <w:r>
              <w:rPr>
                <w:rFonts w:ascii="Arial" w:cs="Arial" w:eastAsia="Arial" w:hAnsi="Arial"/>
                <w:sz w:val="14"/>
                <w:szCs w:val="14"/>
                <w:color w:val="auto"/>
              </w:rPr>
              <w:t>February 18, 2022</w:t>
            </w:r>
          </w:p>
        </w:tc>
      </w:tr>
      <w:tr>
        <w:trPr>
          <w:trHeight w:val="181"/>
        </w:trPr>
        <w:tc>
          <w:tcPr>
            <w:tcW w:w="40" w:type="dxa"/>
            <w:vAlign w:val="bottom"/>
          </w:tcPr>
          <w:p>
            <w:pPr>
              <w:spacing w:after="0"/>
              <w:rPr>
                <w:sz w:val="15"/>
                <w:szCs w:val="15"/>
                <w:color w:val="auto"/>
              </w:rPr>
            </w:pPr>
          </w:p>
        </w:tc>
        <w:tc>
          <w:tcPr>
            <w:tcW w:w="4680" w:type="dxa"/>
            <w:vAlign w:val="bottom"/>
            <w:gridSpan w:val="2"/>
          </w:tcPr>
          <w:p>
            <w:pPr>
              <w:ind w:left="20"/>
              <w:spacing w:after="0"/>
              <w:rPr>
                <w:sz w:val="20"/>
                <w:szCs w:val="20"/>
                <w:color w:val="auto"/>
              </w:rPr>
            </w:pPr>
            <w:r>
              <w:rPr>
                <w:rFonts w:ascii="Arial" w:cs="Arial" w:eastAsia="Arial" w:hAnsi="Arial"/>
                <w:sz w:val="14"/>
                <w:szCs w:val="14"/>
                <w:color w:val="auto"/>
              </w:rPr>
              <w:t>Fabio Sandri</w:t>
            </w:r>
          </w:p>
        </w:tc>
        <w:tc>
          <w:tcPr>
            <w:tcW w:w="400" w:type="dxa"/>
            <w:vAlign w:val="bottom"/>
          </w:tcPr>
          <w:p>
            <w:pPr>
              <w:spacing w:after="0"/>
              <w:rPr>
                <w:sz w:val="15"/>
                <w:szCs w:val="15"/>
                <w:color w:val="auto"/>
              </w:rPr>
            </w:pPr>
          </w:p>
        </w:tc>
        <w:tc>
          <w:tcPr>
            <w:tcW w:w="4060" w:type="dxa"/>
            <w:vAlign w:val="bottom"/>
            <w:gridSpan w:val="2"/>
          </w:tcPr>
          <w:p>
            <w:pPr>
              <w:spacing w:after="0"/>
              <w:rPr>
                <w:sz w:val="20"/>
                <w:szCs w:val="20"/>
                <w:color w:val="auto"/>
              </w:rPr>
            </w:pPr>
            <w:r>
              <w:rPr>
                <w:rFonts w:ascii="Arial" w:cs="Arial" w:eastAsia="Arial" w:hAnsi="Arial"/>
                <w:sz w:val="14"/>
                <w:szCs w:val="14"/>
                <w:color w:val="auto"/>
              </w:rPr>
              <w:t>(Principal Executive Officer)</w:t>
            </w:r>
          </w:p>
        </w:tc>
        <w:tc>
          <w:tcPr>
            <w:tcW w:w="2080" w:type="dxa"/>
            <w:vAlign w:val="bottom"/>
          </w:tcPr>
          <w:p>
            <w:pPr>
              <w:spacing w:after="0"/>
              <w:rPr>
                <w:sz w:val="15"/>
                <w:szCs w:val="15"/>
                <w:color w:val="auto"/>
              </w:rPr>
            </w:pPr>
          </w:p>
        </w:tc>
      </w:tr>
      <w:tr>
        <w:trPr>
          <w:trHeight w:val="403"/>
        </w:trPr>
        <w:tc>
          <w:tcPr>
            <w:tcW w:w="40" w:type="dxa"/>
            <w:vAlign w:val="bottom"/>
          </w:tcPr>
          <w:p>
            <w:pPr>
              <w:spacing w:after="0"/>
              <w:rPr>
                <w:sz w:val="24"/>
                <w:szCs w:val="24"/>
                <w:color w:val="auto"/>
              </w:rPr>
            </w:pPr>
          </w:p>
        </w:tc>
        <w:tc>
          <w:tcPr>
            <w:tcW w:w="46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/s/ Matthew Galvanoni</w:t>
            </w:r>
          </w:p>
        </w:tc>
        <w:tc>
          <w:tcPr>
            <w:tcW w:w="400" w:type="dxa"/>
            <w:vAlign w:val="bottom"/>
          </w:tcPr>
          <w:p>
            <w:pPr>
              <w:spacing w:after="0"/>
              <w:rPr>
                <w:sz w:val="24"/>
                <w:szCs w:val="24"/>
                <w:color w:val="auto"/>
              </w:rPr>
            </w:pPr>
          </w:p>
        </w:tc>
        <w:tc>
          <w:tcPr>
            <w:tcW w:w="4060" w:type="dxa"/>
            <w:vAlign w:val="bottom"/>
            <w:gridSpan w:val="2"/>
          </w:tcPr>
          <w:p>
            <w:pPr>
              <w:spacing w:after="0"/>
              <w:rPr>
                <w:sz w:val="20"/>
                <w:szCs w:val="20"/>
                <w:color w:val="auto"/>
              </w:rPr>
            </w:pPr>
            <w:r>
              <w:rPr>
                <w:rFonts w:ascii="Arial" w:cs="Arial" w:eastAsia="Arial" w:hAnsi="Arial"/>
                <w:sz w:val="14"/>
                <w:szCs w:val="14"/>
                <w:color w:val="auto"/>
              </w:rPr>
              <w:t>Chief Financial Officer and Chief Accounting Officer</w:t>
            </w:r>
          </w:p>
        </w:tc>
        <w:tc>
          <w:tcPr>
            <w:tcW w:w="2080" w:type="dxa"/>
            <w:vAlign w:val="bottom"/>
          </w:tcPr>
          <w:p>
            <w:pPr>
              <w:ind w:left="20"/>
              <w:spacing w:after="0"/>
              <w:rPr>
                <w:sz w:val="20"/>
                <w:szCs w:val="20"/>
                <w:color w:val="auto"/>
              </w:rPr>
            </w:pPr>
            <w:r>
              <w:rPr>
                <w:rFonts w:ascii="Arial" w:cs="Arial" w:eastAsia="Arial" w:hAnsi="Arial"/>
                <w:sz w:val="14"/>
                <w:szCs w:val="14"/>
                <w:color w:val="auto"/>
              </w:rPr>
              <w:t>February 18, 2022</w:t>
            </w:r>
          </w:p>
        </w:tc>
      </w:tr>
      <w:tr>
        <w:trPr>
          <w:trHeight w:val="171"/>
        </w:trPr>
        <w:tc>
          <w:tcPr>
            <w:tcW w:w="40" w:type="dxa"/>
            <w:vAlign w:val="bottom"/>
          </w:tcPr>
          <w:p>
            <w:pPr>
              <w:spacing w:after="0"/>
              <w:rPr>
                <w:sz w:val="14"/>
                <w:szCs w:val="14"/>
                <w:color w:val="auto"/>
              </w:rPr>
            </w:pPr>
          </w:p>
        </w:tc>
        <w:tc>
          <w:tcPr>
            <w:tcW w:w="4680" w:type="dxa"/>
            <w:vAlign w:val="bottom"/>
            <w:gridSpan w:val="2"/>
          </w:tcPr>
          <w:p>
            <w:pPr>
              <w:ind w:left="20"/>
              <w:spacing w:after="0"/>
              <w:rPr>
                <w:sz w:val="20"/>
                <w:szCs w:val="20"/>
                <w:color w:val="auto"/>
              </w:rPr>
            </w:pPr>
            <w:r>
              <w:rPr>
                <w:rFonts w:ascii="Arial" w:cs="Arial" w:eastAsia="Arial" w:hAnsi="Arial"/>
                <w:sz w:val="14"/>
                <w:szCs w:val="14"/>
                <w:color w:val="auto"/>
              </w:rPr>
              <w:t>Matthew Galvanoni</w:t>
            </w:r>
          </w:p>
        </w:tc>
        <w:tc>
          <w:tcPr>
            <w:tcW w:w="400" w:type="dxa"/>
            <w:vAlign w:val="bottom"/>
          </w:tcPr>
          <w:p>
            <w:pPr>
              <w:spacing w:after="0"/>
              <w:rPr>
                <w:sz w:val="14"/>
                <w:szCs w:val="14"/>
                <w:color w:val="auto"/>
              </w:rPr>
            </w:pPr>
          </w:p>
        </w:tc>
        <w:tc>
          <w:tcPr>
            <w:tcW w:w="4060" w:type="dxa"/>
            <w:vAlign w:val="bottom"/>
            <w:gridSpan w:val="2"/>
          </w:tcPr>
          <w:p>
            <w:pPr>
              <w:spacing w:after="0"/>
              <w:rPr>
                <w:sz w:val="20"/>
                <w:szCs w:val="20"/>
                <w:color w:val="auto"/>
              </w:rPr>
            </w:pPr>
            <w:r>
              <w:rPr>
                <w:rFonts w:ascii="Arial" w:cs="Arial" w:eastAsia="Arial" w:hAnsi="Arial"/>
                <w:sz w:val="14"/>
                <w:szCs w:val="14"/>
                <w:color w:val="auto"/>
              </w:rPr>
              <w:t>(Principal Financial Officer and Principal Accounting Officer)</w:t>
            </w:r>
          </w:p>
        </w:tc>
        <w:tc>
          <w:tcPr>
            <w:tcW w:w="2080" w:type="dxa"/>
            <w:vAlign w:val="bottom"/>
          </w:tcPr>
          <w:p>
            <w:pPr>
              <w:spacing w:after="0"/>
              <w:rPr>
                <w:sz w:val="14"/>
                <w:szCs w:val="14"/>
                <w:color w:val="auto"/>
              </w:rPr>
            </w:pPr>
          </w:p>
        </w:tc>
      </w:tr>
      <w:tr>
        <w:trPr>
          <w:trHeight w:val="435"/>
        </w:trPr>
        <w:tc>
          <w:tcPr>
            <w:tcW w:w="40" w:type="dxa"/>
            <w:vAlign w:val="bottom"/>
          </w:tcPr>
          <w:p>
            <w:pPr>
              <w:spacing w:after="0"/>
              <w:rPr>
                <w:sz w:val="24"/>
                <w:szCs w:val="24"/>
                <w:color w:val="auto"/>
              </w:rPr>
            </w:pPr>
          </w:p>
        </w:tc>
        <w:tc>
          <w:tcPr>
            <w:tcW w:w="46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/s/ Farha Aslam</w:t>
            </w:r>
          </w:p>
        </w:tc>
        <w:tc>
          <w:tcPr>
            <w:tcW w:w="400" w:type="dxa"/>
            <w:vAlign w:val="bottom"/>
          </w:tcPr>
          <w:p>
            <w:pPr>
              <w:spacing w:after="0"/>
              <w:rPr>
                <w:sz w:val="24"/>
                <w:szCs w:val="24"/>
                <w:color w:val="auto"/>
              </w:rPr>
            </w:pPr>
          </w:p>
        </w:tc>
        <w:tc>
          <w:tcPr>
            <w:tcW w:w="4060" w:type="dxa"/>
            <w:vAlign w:val="bottom"/>
            <w:gridSpan w:val="2"/>
          </w:tcPr>
          <w:p>
            <w:pPr>
              <w:spacing w:after="0"/>
              <w:rPr>
                <w:sz w:val="20"/>
                <w:szCs w:val="20"/>
                <w:color w:val="auto"/>
              </w:rPr>
            </w:pPr>
            <w:r>
              <w:rPr>
                <w:rFonts w:ascii="Arial" w:cs="Arial" w:eastAsia="Arial" w:hAnsi="Arial"/>
                <w:sz w:val="14"/>
                <w:szCs w:val="14"/>
                <w:color w:val="auto"/>
              </w:rPr>
              <w:t>Director</w:t>
            </w:r>
          </w:p>
        </w:tc>
        <w:tc>
          <w:tcPr>
            <w:tcW w:w="2080" w:type="dxa"/>
            <w:vAlign w:val="bottom"/>
          </w:tcPr>
          <w:p>
            <w:pPr>
              <w:ind w:left="20"/>
              <w:spacing w:after="0"/>
              <w:rPr>
                <w:sz w:val="20"/>
                <w:szCs w:val="20"/>
                <w:color w:val="auto"/>
              </w:rPr>
            </w:pPr>
            <w:r>
              <w:rPr>
                <w:rFonts w:ascii="Arial" w:cs="Arial" w:eastAsia="Arial" w:hAnsi="Arial"/>
                <w:sz w:val="14"/>
                <w:szCs w:val="14"/>
                <w:color w:val="auto"/>
              </w:rPr>
              <w:t>February 18, 2022</w:t>
            </w:r>
          </w:p>
        </w:tc>
      </w:tr>
      <w:tr>
        <w:trPr>
          <w:trHeight w:val="171"/>
        </w:trPr>
        <w:tc>
          <w:tcPr>
            <w:tcW w:w="40" w:type="dxa"/>
            <w:vAlign w:val="bottom"/>
          </w:tcPr>
          <w:p>
            <w:pPr>
              <w:spacing w:after="0"/>
              <w:rPr>
                <w:sz w:val="14"/>
                <w:szCs w:val="14"/>
                <w:color w:val="auto"/>
              </w:rPr>
            </w:pPr>
          </w:p>
        </w:tc>
        <w:tc>
          <w:tcPr>
            <w:tcW w:w="4680" w:type="dxa"/>
            <w:vAlign w:val="bottom"/>
            <w:gridSpan w:val="2"/>
          </w:tcPr>
          <w:p>
            <w:pPr>
              <w:ind w:left="20"/>
              <w:spacing w:after="0"/>
              <w:rPr>
                <w:sz w:val="20"/>
                <w:szCs w:val="20"/>
                <w:color w:val="auto"/>
              </w:rPr>
            </w:pPr>
            <w:r>
              <w:rPr>
                <w:rFonts w:ascii="Arial" w:cs="Arial" w:eastAsia="Arial" w:hAnsi="Arial"/>
                <w:sz w:val="14"/>
                <w:szCs w:val="14"/>
                <w:color w:val="auto"/>
              </w:rPr>
              <w:t>Farha Aslam</w:t>
            </w:r>
          </w:p>
        </w:tc>
        <w:tc>
          <w:tcPr>
            <w:tcW w:w="40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80" w:type="dxa"/>
            <w:vAlign w:val="bottom"/>
          </w:tcPr>
          <w:p>
            <w:pPr>
              <w:spacing w:after="0"/>
              <w:rPr>
                <w:sz w:val="14"/>
                <w:szCs w:val="14"/>
                <w:color w:val="auto"/>
              </w:rPr>
            </w:pPr>
          </w:p>
        </w:tc>
      </w:tr>
      <w:tr>
        <w:trPr>
          <w:trHeight w:val="446"/>
        </w:trPr>
        <w:tc>
          <w:tcPr>
            <w:tcW w:w="40" w:type="dxa"/>
            <w:vAlign w:val="bottom"/>
          </w:tcPr>
          <w:p>
            <w:pPr>
              <w:spacing w:after="0"/>
              <w:rPr>
                <w:sz w:val="24"/>
                <w:szCs w:val="24"/>
                <w:color w:val="auto"/>
              </w:rPr>
            </w:pPr>
          </w:p>
        </w:tc>
        <w:tc>
          <w:tcPr>
            <w:tcW w:w="46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/s/ Arquimedes A. Celis</w:t>
            </w:r>
          </w:p>
        </w:tc>
        <w:tc>
          <w:tcPr>
            <w:tcW w:w="400" w:type="dxa"/>
            <w:vAlign w:val="bottom"/>
          </w:tcPr>
          <w:p>
            <w:pPr>
              <w:spacing w:after="0"/>
              <w:rPr>
                <w:sz w:val="24"/>
                <w:szCs w:val="24"/>
                <w:color w:val="auto"/>
              </w:rPr>
            </w:pPr>
          </w:p>
        </w:tc>
        <w:tc>
          <w:tcPr>
            <w:tcW w:w="4060" w:type="dxa"/>
            <w:vAlign w:val="bottom"/>
            <w:gridSpan w:val="2"/>
          </w:tcPr>
          <w:p>
            <w:pPr>
              <w:spacing w:after="0"/>
              <w:rPr>
                <w:sz w:val="20"/>
                <w:szCs w:val="20"/>
                <w:color w:val="auto"/>
              </w:rPr>
            </w:pPr>
            <w:r>
              <w:rPr>
                <w:rFonts w:ascii="Arial" w:cs="Arial" w:eastAsia="Arial" w:hAnsi="Arial"/>
                <w:sz w:val="14"/>
                <w:szCs w:val="14"/>
                <w:color w:val="auto"/>
              </w:rPr>
              <w:t>Director</w:t>
            </w:r>
          </w:p>
        </w:tc>
        <w:tc>
          <w:tcPr>
            <w:tcW w:w="2080" w:type="dxa"/>
            <w:vAlign w:val="bottom"/>
          </w:tcPr>
          <w:p>
            <w:pPr>
              <w:ind w:left="20"/>
              <w:spacing w:after="0"/>
              <w:rPr>
                <w:sz w:val="20"/>
                <w:szCs w:val="20"/>
                <w:color w:val="auto"/>
              </w:rPr>
            </w:pPr>
            <w:r>
              <w:rPr>
                <w:rFonts w:ascii="Arial" w:cs="Arial" w:eastAsia="Arial" w:hAnsi="Arial"/>
                <w:sz w:val="14"/>
                <w:szCs w:val="14"/>
                <w:color w:val="auto"/>
              </w:rPr>
              <w:t>February 18, 2022</w:t>
            </w:r>
          </w:p>
        </w:tc>
      </w:tr>
      <w:tr>
        <w:trPr>
          <w:trHeight w:val="171"/>
        </w:trPr>
        <w:tc>
          <w:tcPr>
            <w:tcW w:w="40" w:type="dxa"/>
            <w:vAlign w:val="bottom"/>
          </w:tcPr>
          <w:p>
            <w:pPr>
              <w:spacing w:after="0"/>
              <w:rPr>
                <w:sz w:val="14"/>
                <w:szCs w:val="14"/>
                <w:color w:val="auto"/>
              </w:rPr>
            </w:pPr>
          </w:p>
        </w:tc>
        <w:tc>
          <w:tcPr>
            <w:tcW w:w="4680" w:type="dxa"/>
            <w:vAlign w:val="bottom"/>
            <w:gridSpan w:val="2"/>
          </w:tcPr>
          <w:p>
            <w:pPr>
              <w:ind w:left="20"/>
              <w:spacing w:after="0"/>
              <w:rPr>
                <w:sz w:val="20"/>
                <w:szCs w:val="20"/>
                <w:color w:val="auto"/>
              </w:rPr>
            </w:pPr>
            <w:r>
              <w:rPr>
                <w:rFonts w:ascii="Arial" w:cs="Arial" w:eastAsia="Arial" w:hAnsi="Arial"/>
                <w:sz w:val="14"/>
                <w:szCs w:val="14"/>
                <w:color w:val="auto"/>
              </w:rPr>
              <w:t>Arquimedes A. Celis</w:t>
            </w:r>
          </w:p>
        </w:tc>
        <w:tc>
          <w:tcPr>
            <w:tcW w:w="40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80" w:type="dxa"/>
            <w:vAlign w:val="bottom"/>
          </w:tcPr>
          <w:p>
            <w:pPr>
              <w:spacing w:after="0"/>
              <w:rPr>
                <w:sz w:val="14"/>
                <w:szCs w:val="14"/>
                <w:color w:val="auto"/>
              </w:rPr>
            </w:pPr>
          </w:p>
        </w:tc>
      </w:tr>
      <w:tr>
        <w:trPr>
          <w:trHeight w:val="435"/>
        </w:trPr>
        <w:tc>
          <w:tcPr>
            <w:tcW w:w="40" w:type="dxa"/>
            <w:vAlign w:val="bottom"/>
          </w:tcPr>
          <w:p>
            <w:pPr>
              <w:spacing w:after="0"/>
              <w:rPr>
                <w:sz w:val="24"/>
                <w:szCs w:val="24"/>
                <w:color w:val="auto"/>
              </w:rPr>
            </w:pPr>
          </w:p>
        </w:tc>
        <w:tc>
          <w:tcPr>
            <w:tcW w:w="46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/s/ Michael L. Cooper</w:t>
            </w:r>
          </w:p>
        </w:tc>
        <w:tc>
          <w:tcPr>
            <w:tcW w:w="400" w:type="dxa"/>
            <w:vAlign w:val="bottom"/>
          </w:tcPr>
          <w:p>
            <w:pPr>
              <w:spacing w:after="0"/>
              <w:rPr>
                <w:sz w:val="24"/>
                <w:szCs w:val="24"/>
                <w:color w:val="auto"/>
              </w:rPr>
            </w:pPr>
          </w:p>
        </w:tc>
        <w:tc>
          <w:tcPr>
            <w:tcW w:w="4060" w:type="dxa"/>
            <w:vAlign w:val="bottom"/>
            <w:gridSpan w:val="2"/>
          </w:tcPr>
          <w:p>
            <w:pPr>
              <w:spacing w:after="0"/>
              <w:rPr>
                <w:sz w:val="20"/>
                <w:szCs w:val="20"/>
                <w:color w:val="auto"/>
              </w:rPr>
            </w:pPr>
            <w:r>
              <w:rPr>
                <w:rFonts w:ascii="Arial" w:cs="Arial" w:eastAsia="Arial" w:hAnsi="Arial"/>
                <w:sz w:val="14"/>
                <w:szCs w:val="14"/>
                <w:color w:val="auto"/>
              </w:rPr>
              <w:t>Director</w:t>
            </w:r>
          </w:p>
        </w:tc>
        <w:tc>
          <w:tcPr>
            <w:tcW w:w="2080" w:type="dxa"/>
            <w:vAlign w:val="bottom"/>
          </w:tcPr>
          <w:p>
            <w:pPr>
              <w:ind w:left="20"/>
              <w:spacing w:after="0"/>
              <w:rPr>
                <w:sz w:val="20"/>
                <w:szCs w:val="20"/>
                <w:color w:val="auto"/>
              </w:rPr>
            </w:pPr>
            <w:r>
              <w:rPr>
                <w:rFonts w:ascii="Arial" w:cs="Arial" w:eastAsia="Arial" w:hAnsi="Arial"/>
                <w:sz w:val="14"/>
                <w:szCs w:val="14"/>
                <w:color w:val="auto"/>
              </w:rPr>
              <w:t>February 18, 2022</w:t>
            </w:r>
          </w:p>
        </w:tc>
      </w:tr>
      <w:tr>
        <w:trPr>
          <w:trHeight w:val="171"/>
        </w:trPr>
        <w:tc>
          <w:tcPr>
            <w:tcW w:w="40" w:type="dxa"/>
            <w:vAlign w:val="bottom"/>
          </w:tcPr>
          <w:p>
            <w:pPr>
              <w:spacing w:after="0"/>
              <w:rPr>
                <w:sz w:val="14"/>
                <w:szCs w:val="14"/>
                <w:color w:val="auto"/>
              </w:rPr>
            </w:pPr>
          </w:p>
        </w:tc>
        <w:tc>
          <w:tcPr>
            <w:tcW w:w="4680" w:type="dxa"/>
            <w:vAlign w:val="bottom"/>
            <w:gridSpan w:val="2"/>
          </w:tcPr>
          <w:p>
            <w:pPr>
              <w:ind w:left="20"/>
              <w:spacing w:after="0"/>
              <w:rPr>
                <w:sz w:val="20"/>
                <w:szCs w:val="20"/>
                <w:color w:val="auto"/>
              </w:rPr>
            </w:pPr>
            <w:r>
              <w:rPr>
                <w:rFonts w:ascii="Arial" w:cs="Arial" w:eastAsia="Arial" w:hAnsi="Arial"/>
                <w:sz w:val="14"/>
                <w:szCs w:val="14"/>
                <w:color w:val="auto"/>
              </w:rPr>
              <w:t>Michael L. Cooper</w:t>
            </w:r>
          </w:p>
        </w:tc>
        <w:tc>
          <w:tcPr>
            <w:tcW w:w="40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80" w:type="dxa"/>
            <w:vAlign w:val="bottom"/>
          </w:tcPr>
          <w:p>
            <w:pPr>
              <w:spacing w:after="0"/>
              <w:rPr>
                <w:sz w:val="14"/>
                <w:szCs w:val="14"/>
                <w:color w:val="auto"/>
              </w:rPr>
            </w:pPr>
          </w:p>
        </w:tc>
      </w:tr>
      <w:tr>
        <w:trPr>
          <w:trHeight w:val="435"/>
        </w:trPr>
        <w:tc>
          <w:tcPr>
            <w:tcW w:w="40" w:type="dxa"/>
            <w:vAlign w:val="bottom"/>
          </w:tcPr>
          <w:p>
            <w:pPr>
              <w:spacing w:after="0"/>
              <w:rPr>
                <w:sz w:val="24"/>
                <w:szCs w:val="24"/>
                <w:color w:val="auto"/>
              </w:rPr>
            </w:pPr>
          </w:p>
        </w:tc>
        <w:tc>
          <w:tcPr>
            <w:tcW w:w="46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/s/ Wallim Cruz de Vasconcellos Junior</w:t>
            </w:r>
          </w:p>
        </w:tc>
        <w:tc>
          <w:tcPr>
            <w:tcW w:w="400" w:type="dxa"/>
            <w:vAlign w:val="bottom"/>
          </w:tcPr>
          <w:p>
            <w:pPr>
              <w:spacing w:after="0"/>
              <w:rPr>
                <w:sz w:val="24"/>
                <w:szCs w:val="24"/>
                <w:color w:val="auto"/>
              </w:rPr>
            </w:pPr>
          </w:p>
        </w:tc>
        <w:tc>
          <w:tcPr>
            <w:tcW w:w="4060" w:type="dxa"/>
            <w:vAlign w:val="bottom"/>
            <w:gridSpan w:val="2"/>
          </w:tcPr>
          <w:p>
            <w:pPr>
              <w:spacing w:after="0"/>
              <w:rPr>
                <w:sz w:val="20"/>
                <w:szCs w:val="20"/>
                <w:color w:val="auto"/>
              </w:rPr>
            </w:pPr>
            <w:r>
              <w:rPr>
                <w:rFonts w:ascii="Arial" w:cs="Arial" w:eastAsia="Arial" w:hAnsi="Arial"/>
                <w:sz w:val="14"/>
                <w:szCs w:val="14"/>
                <w:color w:val="auto"/>
              </w:rPr>
              <w:t>Director</w:t>
            </w:r>
          </w:p>
        </w:tc>
        <w:tc>
          <w:tcPr>
            <w:tcW w:w="2080" w:type="dxa"/>
            <w:vAlign w:val="bottom"/>
          </w:tcPr>
          <w:p>
            <w:pPr>
              <w:ind w:left="20"/>
              <w:spacing w:after="0"/>
              <w:rPr>
                <w:sz w:val="20"/>
                <w:szCs w:val="20"/>
                <w:color w:val="auto"/>
              </w:rPr>
            </w:pPr>
            <w:r>
              <w:rPr>
                <w:rFonts w:ascii="Arial" w:cs="Arial" w:eastAsia="Arial" w:hAnsi="Arial"/>
                <w:sz w:val="14"/>
                <w:szCs w:val="14"/>
                <w:color w:val="auto"/>
              </w:rPr>
              <w:t>February 18, 2022</w:t>
            </w:r>
          </w:p>
        </w:tc>
      </w:tr>
      <w:tr>
        <w:trPr>
          <w:trHeight w:val="171"/>
        </w:trPr>
        <w:tc>
          <w:tcPr>
            <w:tcW w:w="40" w:type="dxa"/>
            <w:vAlign w:val="bottom"/>
          </w:tcPr>
          <w:p>
            <w:pPr>
              <w:spacing w:after="0"/>
              <w:rPr>
                <w:sz w:val="14"/>
                <w:szCs w:val="14"/>
                <w:color w:val="auto"/>
              </w:rPr>
            </w:pPr>
          </w:p>
        </w:tc>
        <w:tc>
          <w:tcPr>
            <w:tcW w:w="4680" w:type="dxa"/>
            <w:vAlign w:val="bottom"/>
            <w:gridSpan w:val="2"/>
          </w:tcPr>
          <w:p>
            <w:pPr>
              <w:ind w:left="20"/>
              <w:spacing w:after="0"/>
              <w:rPr>
                <w:sz w:val="20"/>
                <w:szCs w:val="20"/>
                <w:color w:val="auto"/>
              </w:rPr>
            </w:pPr>
            <w:r>
              <w:rPr>
                <w:rFonts w:ascii="Arial" w:cs="Arial" w:eastAsia="Arial" w:hAnsi="Arial"/>
                <w:sz w:val="14"/>
                <w:szCs w:val="14"/>
                <w:color w:val="auto"/>
              </w:rPr>
              <w:t>Wallim Cruz de Vasconcellos Junior</w:t>
            </w:r>
          </w:p>
        </w:tc>
        <w:tc>
          <w:tcPr>
            <w:tcW w:w="40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80" w:type="dxa"/>
            <w:vAlign w:val="bottom"/>
          </w:tcPr>
          <w:p>
            <w:pPr>
              <w:spacing w:after="0"/>
              <w:rPr>
                <w:sz w:val="14"/>
                <w:szCs w:val="14"/>
                <w:color w:val="auto"/>
              </w:rPr>
            </w:pPr>
          </w:p>
        </w:tc>
      </w:tr>
      <w:tr>
        <w:trPr>
          <w:trHeight w:val="446"/>
        </w:trPr>
        <w:tc>
          <w:tcPr>
            <w:tcW w:w="40" w:type="dxa"/>
            <w:vAlign w:val="bottom"/>
          </w:tcPr>
          <w:p>
            <w:pPr>
              <w:spacing w:after="0"/>
              <w:rPr>
                <w:sz w:val="24"/>
                <w:szCs w:val="24"/>
                <w:color w:val="auto"/>
              </w:rPr>
            </w:pPr>
          </w:p>
        </w:tc>
        <w:tc>
          <w:tcPr>
            <w:tcW w:w="46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/s/ Joanita Maria Maestri Karoleski</w:t>
            </w:r>
          </w:p>
        </w:tc>
        <w:tc>
          <w:tcPr>
            <w:tcW w:w="400" w:type="dxa"/>
            <w:vAlign w:val="bottom"/>
          </w:tcPr>
          <w:p>
            <w:pPr>
              <w:spacing w:after="0"/>
              <w:rPr>
                <w:sz w:val="24"/>
                <w:szCs w:val="24"/>
                <w:color w:val="auto"/>
              </w:rPr>
            </w:pPr>
          </w:p>
        </w:tc>
        <w:tc>
          <w:tcPr>
            <w:tcW w:w="4060" w:type="dxa"/>
            <w:vAlign w:val="bottom"/>
            <w:gridSpan w:val="2"/>
          </w:tcPr>
          <w:p>
            <w:pPr>
              <w:spacing w:after="0"/>
              <w:rPr>
                <w:sz w:val="20"/>
                <w:szCs w:val="20"/>
                <w:color w:val="auto"/>
              </w:rPr>
            </w:pPr>
            <w:r>
              <w:rPr>
                <w:rFonts w:ascii="Arial" w:cs="Arial" w:eastAsia="Arial" w:hAnsi="Arial"/>
                <w:sz w:val="14"/>
                <w:szCs w:val="14"/>
                <w:color w:val="auto"/>
              </w:rPr>
              <w:t>Director</w:t>
            </w:r>
          </w:p>
        </w:tc>
        <w:tc>
          <w:tcPr>
            <w:tcW w:w="2080" w:type="dxa"/>
            <w:vAlign w:val="bottom"/>
          </w:tcPr>
          <w:p>
            <w:pPr>
              <w:ind w:left="20"/>
              <w:spacing w:after="0"/>
              <w:rPr>
                <w:sz w:val="20"/>
                <w:szCs w:val="20"/>
                <w:color w:val="auto"/>
              </w:rPr>
            </w:pPr>
            <w:r>
              <w:rPr>
                <w:rFonts w:ascii="Arial" w:cs="Arial" w:eastAsia="Arial" w:hAnsi="Arial"/>
                <w:sz w:val="14"/>
                <w:szCs w:val="14"/>
                <w:color w:val="auto"/>
              </w:rPr>
              <w:t>February 18, 2022</w:t>
            </w:r>
          </w:p>
        </w:tc>
      </w:tr>
      <w:tr>
        <w:trPr>
          <w:trHeight w:val="171"/>
        </w:trPr>
        <w:tc>
          <w:tcPr>
            <w:tcW w:w="40" w:type="dxa"/>
            <w:vAlign w:val="bottom"/>
          </w:tcPr>
          <w:p>
            <w:pPr>
              <w:spacing w:after="0"/>
              <w:rPr>
                <w:sz w:val="14"/>
                <w:szCs w:val="14"/>
                <w:color w:val="auto"/>
              </w:rPr>
            </w:pPr>
          </w:p>
        </w:tc>
        <w:tc>
          <w:tcPr>
            <w:tcW w:w="4680" w:type="dxa"/>
            <w:vAlign w:val="bottom"/>
            <w:gridSpan w:val="2"/>
          </w:tcPr>
          <w:p>
            <w:pPr>
              <w:ind w:left="20"/>
              <w:spacing w:after="0"/>
              <w:rPr>
                <w:sz w:val="20"/>
                <w:szCs w:val="20"/>
                <w:color w:val="auto"/>
              </w:rPr>
            </w:pPr>
            <w:r>
              <w:rPr>
                <w:rFonts w:ascii="Arial" w:cs="Arial" w:eastAsia="Arial" w:hAnsi="Arial"/>
                <w:sz w:val="14"/>
                <w:szCs w:val="14"/>
                <w:color w:val="auto"/>
              </w:rPr>
              <w:t>Joanita Maria Maestri Karoleski</w:t>
            </w:r>
          </w:p>
        </w:tc>
        <w:tc>
          <w:tcPr>
            <w:tcW w:w="40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80" w:type="dxa"/>
            <w:vAlign w:val="bottom"/>
          </w:tcPr>
          <w:p>
            <w:pPr>
              <w:spacing w:after="0"/>
              <w:rPr>
                <w:sz w:val="14"/>
                <w:szCs w:val="14"/>
                <w:color w:val="auto"/>
              </w:rPr>
            </w:pPr>
          </w:p>
        </w:tc>
      </w:tr>
      <w:tr>
        <w:trPr>
          <w:trHeight w:val="446"/>
        </w:trPr>
        <w:tc>
          <w:tcPr>
            <w:tcW w:w="40" w:type="dxa"/>
            <w:vAlign w:val="bottom"/>
          </w:tcPr>
          <w:p>
            <w:pPr>
              <w:spacing w:after="0"/>
              <w:rPr>
                <w:sz w:val="24"/>
                <w:szCs w:val="24"/>
                <w:color w:val="auto"/>
              </w:rPr>
            </w:pPr>
          </w:p>
        </w:tc>
        <w:tc>
          <w:tcPr>
            <w:tcW w:w="46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/s/ Ajay Menon</w:t>
            </w:r>
          </w:p>
        </w:tc>
        <w:tc>
          <w:tcPr>
            <w:tcW w:w="400" w:type="dxa"/>
            <w:vAlign w:val="bottom"/>
          </w:tcPr>
          <w:p>
            <w:pPr>
              <w:spacing w:after="0"/>
              <w:rPr>
                <w:sz w:val="24"/>
                <w:szCs w:val="24"/>
                <w:color w:val="auto"/>
              </w:rPr>
            </w:pPr>
          </w:p>
        </w:tc>
        <w:tc>
          <w:tcPr>
            <w:tcW w:w="4060" w:type="dxa"/>
            <w:vAlign w:val="bottom"/>
            <w:gridSpan w:val="2"/>
          </w:tcPr>
          <w:p>
            <w:pPr>
              <w:spacing w:after="0"/>
              <w:rPr>
                <w:sz w:val="20"/>
                <w:szCs w:val="20"/>
                <w:color w:val="auto"/>
              </w:rPr>
            </w:pPr>
            <w:r>
              <w:rPr>
                <w:rFonts w:ascii="Arial" w:cs="Arial" w:eastAsia="Arial" w:hAnsi="Arial"/>
                <w:sz w:val="14"/>
                <w:szCs w:val="14"/>
                <w:color w:val="auto"/>
              </w:rPr>
              <w:t>Director</w:t>
            </w:r>
          </w:p>
        </w:tc>
        <w:tc>
          <w:tcPr>
            <w:tcW w:w="2080" w:type="dxa"/>
            <w:vAlign w:val="bottom"/>
          </w:tcPr>
          <w:p>
            <w:pPr>
              <w:ind w:left="20"/>
              <w:spacing w:after="0"/>
              <w:rPr>
                <w:sz w:val="20"/>
                <w:szCs w:val="20"/>
                <w:color w:val="auto"/>
              </w:rPr>
            </w:pPr>
            <w:r>
              <w:rPr>
                <w:rFonts w:ascii="Arial" w:cs="Arial" w:eastAsia="Arial" w:hAnsi="Arial"/>
                <w:sz w:val="14"/>
                <w:szCs w:val="14"/>
                <w:color w:val="auto"/>
              </w:rPr>
              <w:t>February 18, 2022</w:t>
            </w:r>
          </w:p>
        </w:tc>
      </w:tr>
      <w:tr>
        <w:trPr>
          <w:trHeight w:val="171"/>
        </w:trPr>
        <w:tc>
          <w:tcPr>
            <w:tcW w:w="40" w:type="dxa"/>
            <w:vAlign w:val="bottom"/>
          </w:tcPr>
          <w:p>
            <w:pPr>
              <w:spacing w:after="0"/>
              <w:rPr>
                <w:sz w:val="14"/>
                <w:szCs w:val="14"/>
                <w:color w:val="auto"/>
              </w:rPr>
            </w:pPr>
          </w:p>
        </w:tc>
        <w:tc>
          <w:tcPr>
            <w:tcW w:w="4680" w:type="dxa"/>
            <w:vAlign w:val="bottom"/>
            <w:gridSpan w:val="2"/>
          </w:tcPr>
          <w:p>
            <w:pPr>
              <w:ind w:left="20"/>
              <w:spacing w:after="0"/>
              <w:rPr>
                <w:sz w:val="20"/>
                <w:szCs w:val="20"/>
                <w:color w:val="auto"/>
              </w:rPr>
            </w:pPr>
            <w:r>
              <w:rPr>
                <w:rFonts w:ascii="Arial" w:cs="Arial" w:eastAsia="Arial" w:hAnsi="Arial"/>
                <w:sz w:val="14"/>
                <w:szCs w:val="14"/>
                <w:color w:val="auto"/>
              </w:rPr>
              <w:t>Ajay Menon</w:t>
            </w:r>
          </w:p>
        </w:tc>
        <w:tc>
          <w:tcPr>
            <w:tcW w:w="40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80" w:type="dxa"/>
            <w:vAlign w:val="bottom"/>
          </w:tcPr>
          <w:p>
            <w:pPr>
              <w:spacing w:after="0"/>
              <w:rPr>
                <w:sz w:val="14"/>
                <w:szCs w:val="14"/>
                <w:color w:val="auto"/>
              </w:rPr>
            </w:pPr>
          </w:p>
        </w:tc>
      </w:tr>
      <w:tr>
        <w:trPr>
          <w:trHeight w:val="435"/>
        </w:trPr>
        <w:tc>
          <w:tcPr>
            <w:tcW w:w="40" w:type="dxa"/>
            <w:vAlign w:val="bottom"/>
          </w:tcPr>
          <w:p>
            <w:pPr>
              <w:spacing w:after="0"/>
              <w:rPr>
                <w:sz w:val="24"/>
                <w:szCs w:val="24"/>
                <w:color w:val="auto"/>
              </w:rPr>
            </w:pPr>
          </w:p>
        </w:tc>
        <w:tc>
          <w:tcPr>
            <w:tcW w:w="46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/s/ Andre Nogueira de Souza</w:t>
            </w:r>
          </w:p>
        </w:tc>
        <w:tc>
          <w:tcPr>
            <w:tcW w:w="400" w:type="dxa"/>
            <w:vAlign w:val="bottom"/>
          </w:tcPr>
          <w:p>
            <w:pPr>
              <w:spacing w:after="0"/>
              <w:rPr>
                <w:sz w:val="24"/>
                <w:szCs w:val="24"/>
                <w:color w:val="auto"/>
              </w:rPr>
            </w:pPr>
          </w:p>
        </w:tc>
        <w:tc>
          <w:tcPr>
            <w:tcW w:w="4060" w:type="dxa"/>
            <w:vAlign w:val="bottom"/>
            <w:gridSpan w:val="2"/>
          </w:tcPr>
          <w:p>
            <w:pPr>
              <w:spacing w:after="0"/>
              <w:rPr>
                <w:sz w:val="20"/>
                <w:szCs w:val="20"/>
                <w:color w:val="auto"/>
              </w:rPr>
            </w:pPr>
            <w:r>
              <w:rPr>
                <w:rFonts w:ascii="Arial" w:cs="Arial" w:eastAsia="Arial" w:hAnsi="Arial"/>
                <w:sz w:val="14"/>
                <w:szCs w:val="14"/>
                <w:color w:val="auto"/>
              </w:rPr>
              <w:t>Director</w:t>
            </w:r>
          </w:p>
        </w:tc>
        <w:tc>
          <w:tcPr>
            <w:tcW w:w="2080" w:type="dxa"/>
            <w:vAlign w:val="bottom"/>
          </w:tcPr>
          <w:p>
            <w:pPr>
              <w:ind w:left="20"/>
              <w:spacing w:after="0"/>
              <w:rPr>
                <w:sz w:val="20"/>
                <w:szCs w:val="20"/>
                <w:color w:val="auto"/>
              </w:rPr>
            </w:pPr>
            <w:r>
              <w:rPr>
                <w:rFonts w:ascii="Arial" w:cs="Arial" w:eastAsia="Arial" w:hAnsi="Arial"/>
                <w:sz w:val="14"/>
                <w:szCs w:val="14"/>
                <w:color w:val="auto"/>
              </w:rPr>
              <w:t>February 18, 2022</w:t>
            </w:r>
          </w:p>
        </w:tc>
      </w:tr>
      <w:tr>
        <w:trPr>
          <w:trHeight w:val="171"/>
        </w:trPr>
        <w:tc>
          <w:tcPr>
            <w:tcW w:w="40" w:type="dxa"/>
            <w:vAlign w:val="bottom"/>
          </w:tcPr>
          <w:p>
            <w:pPr>
              <w:spacing w:after="0"/>
              <w:rPr>
                <w:sz w:val="14"/>
                <w:szCs w:val="14"/>
                <w:color w:val="auto"/>
              </w:rPr>
            </w:pPr>
          </w:p>
        </w:tc>
        <w:tc>
          <w:tcPr>
            <w:tcW w:w="4680" w:type="dxa"/>
            <w:vAlign w:val="bottom"/>
            <w:gridSpan w:val="2"/>
          </w:tcPr>
          <w:p>
            <w:pPr>
              <w:ind w:left="20"/>
              <w:spacing w:after="0"/>
              <w:rPr>
                <w:sz w:val="20"/>
                <w:szCs w:val="20"/>
                <w:color w:val="auto"/>
              </w:rPr>
            </w:pPr>
            <w:r>
              <w:rPr>
                <w:rFonts w:ascii="Arial" w:cs="Arial" w:eastAsia="Arial" w:hAnsi="Arial"/>
                <w:sz w:val="14"/>
                <w:szCs w:val="14"/>
                <w:color w:val="auto"/>
              </w:rPr>
              <w:t>Andre Nogueira de Souza</w:t>
            </w:r>
          </w:p>
        </w:tc>
        <w:tc>
          <w:tcPr>
            <w:tcW w:w="40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80" w:type="dxa"/>
            <w:vAlign w:val="bottom"/>
          </w:tcPr>
          <w:p>
            <w:pPr>
              <w:spacing w:after="0"/>
              <w:rPr>
                <w:sz w:val="14"/>
                <w:szCs w:val="14"/>
                <w:color w:val="auto"/>
              </w:rPr>
            </w:pPr>
          </w:p>
        </w:tc>
      </w:tr>
      <w:tr>
        <w:trPr>
          <w:trHeight w:val="435"/>
        </w:trPr>
        <w:tc>
          <w:tcPr>
            <w:tcW w:w="40" w:type="dxa"/>
            <w:vAlign w:val="bottom"/>
          </w:tcPr>
          <w:p>
            <w:pPr>
              <w:spacing w:after="0"/>
              <w:rPr>
                <w:sz w:val="24"/>
                <w:szCs w:val="24"/>
                <w:color w:val="auto"/>
              </w:rPr>
            </w:pPr>
          </w:p>
        </w:tc>
        <w:tc>
          <w:tcPr>
            <w:tcW w:w="46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/s/ Vincent Trius</w:t>
            </w:r>
          </w:p>
        </w:tc>
        <w:tc>
          <w:tcPr>
            <w:tcW w:w="400" w:type="dxa"/>
            <w:vAlign w:val="bottom"/>
          </w:tcPr>
          <w:p>
            <w:pPr>
              <w:spacing w:after="0"/>
              <w:rPr>
                <w:sz w:val="24"/>
                <w:szCs w:val="24"/>
                <w:color w:val="auto"/>
              </w:rPr>
            </w:pPr>
          </w:p>
        </w:tc>
        <w:tc>
          <w:tcPr>
            <w:tcW w:w="4060" w:type="dxa"/>
            <w:vAlign w:val="bottom"/>
            <w:gridSpan w:val="2"/>
          </w:tcPr>
          <w:p>
            <w:pPr>
              <w:spacing w:after="0"/>
              <w:rPr>
                <w:sz w:val="20"/>
                <w:szCs w:val="20"/>
                <w:color w:val="auto"/>
              </w:rPr>
            </w:pPr>
            <w:r>
              <w:rPr>
                <w:rFonts w:ascii="Arial" w:cs="Arial" w:eastAsia="Arial" w:hAnsi="Arial"/>
                <w:sz w:val="14"/>
                <w:szCs w:val="14"/>
                <w:color w:val="auto"/>
              </w:rPr>
              <w:t>Director</w:t>
            </w:r>
          </w:p>
        </w:tc>
        <w:tc>
          <w:tcPr>
            <w:tcW w:w="2080" w:type="dxa"/>
            <w:vAlign w:val="bottom"/>
          </w:tcPr>
          <w:p>
            <w:pPr>
              <w:ind w:left="20"/>
              <w:spacing w:after="0"/>
              <w:rPr>
                <w:sz w:val="20"/>
                <w:szCs w:val="20"/>
                <w:color w:val="auto"/>
              </w:rPr>
            </w:pPr>
            <w:r>
              <w:rPr>
                <w:rFonts w:ascii="Arial" w:cs="Arial" w:eastAsia="Arial" w:hAnsi="Arial"/>
                <w:sz w:val="14"/>
                <w:szCs w:val="14"/>
                <w:color w:val="auto"/>
              </w:rPr>
              <w:t>February 18, 2022</w:t>
            </w:r>
          </w:p>
        </w:tc>
      </w:tr>
      <w:tr>
        <w:trPr>
          <w:trHeight w:val="171"/>
        </w:trPr>
        <w:tc>
          <w:tcPr>
            <w:tcW w:w="40" w:type="dxa"/>
            <w:vAlign w:val="bottom"/>
          </w:tcPr>
          <w:p>
            <w:pPr>
              <w:spacing w:after="0"/>
              <w:rPr>
                <w:sz w:val="14"/>
                <w:szCs w:val="14"/>
                <w:color w:val="auto"/>
              </w:rPr>
            </w:pPr>
          </w:p>
        </w:tc>
        <w:tc>
          <w:tcPr>
            <w:tcW w:w="4680" w:type="dxa"/>
            <w:vAlign w:val="bottom"/>
            <w:gridSpan w:val="2"/>
          </w:tcPr>
          <w:p>
            <w:pPr>
              <w:ind w:left="20"/>
              <w:spacing w:after="0"/>
              <w:rPr>
                <w:sz w:val="20"/>
                <w:szCs w:val="20"/>
                <w:color w:val="auto"/>
              </w:rPr>
            </w:pPr>
            <w:r>
              <w:rPr>
                <w:rFonts w:ascii="Arial" w:cs="Arial" w:eastAsia="Arial" w:hAnsi="Arial"/>
                <w:sz w:val="14"/>
                <w:szCs w:val="14"/>
                <w:color w:val="auto"/>
              </w:rPr>
              <w:t>Vincent Trius</w:t>
            </w:r>
          </w:p>
        </w:tc>
        <w:tc>
          <w:tcPr>
            <w:tcW w:w="40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80" w:type="dxa"/>
            <w:vAlign w:val="bottom"/>
          </w:tcPr>
          <w:p>
            <w:pPr>
              <w:spacing w:after="0"/>
              <w:rPr>
                <w:sz w:val="14"/>
                <w:szCs w:val="14"/>
                <w:color w:val="auto"/>
              </w:rPr>
            </w:pPr>
          </w:p>
        </w:tc>
      </w:tr>
      <w:tr>
        <w:trPr>
          <w:trHeight w:val="859"/>
        </w:trPr>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4060" w:type="dxa"/>
            <w:vAlign w:val="bottom"/>
            <w:gridSpan w:val="2"/>
          </w:tcPr>
          <w:p>
            <w:pPr>
              <w:jc w:val="right"/>
              <w:ind w:right="2949"/>
              <w:spacing w:after="0"/>
              <w:rPr>
                <w:sz w:val="20"/>
                <w:szCs w:val="20"/>
                <w:color w:val="auto"/>
              </w:rPr>
            </w:pPr>
            <w:r>
              <w:rPr>
                <w:rFonts w:ascii="Arial" w:cs="Arial" w:eastAsia="Arial" w:hAnsi="Arial"/>
                <w:sz w:val="14"/>
                <w:szCs w:val="14"/>
                <w:color w:val="auto"/>
              </w:rPr>
              <w:t>102</w:t>
            </w:r>
          </w:p>
        </w:tc>
        <w:tc>
          <w:tcPr>
            <w:tcW w:w="400" w:type="dxa"/>
            <w:vAlign w:val="bottom"/>
          </w:tcPr>
          <w:p>
            <w:pPr>
              <w:spacing w:after="0"/>
              <w:rPr>
                <w:sz w:val="24"/>
                <w:szCs w:val="24"/>
                <w:color w:val="auto"/>
              </w:rPr>
            </w:pPr>
          </w:p>
        </w:tc>
        <w:tc>
          <w:tcPr>
            <w:tcW w:w="2080" w:type="dxa"/>
            <w:vAlign w:val="bottom"/>
          </w:tcPr>
          <w:p>
            <w:pPr>
              <w:spacing w:after="0"/>
              <w:rPr>
                <w:sz w:val="24"/>
                <w:szCs w:val="24"/>
                <w:color w:val="auto"/>
              </w:rPr>
            </w:pPr>
          </w:p>
        </w:tc>
      </w:tr>
    </w:tbl>
    <w:p>
      <w:pPr>
        <w:sectPr>
          <w:pgSz w:w="11900" w:h="16838" w:orient="portrait"/>
          <w:cols w:equalWidth="0" w:num="1">
            <w:col w:w="11260"/>
          </w:cols>
          <w:pgMar w:left="300" w:top="116" w:right="339" w:bottom="1440" w:gutter="0" w:footer="0" w:header="0"/>
        </w:sectPr>
      </w:pPr>
    </w:p>
    <w:bookmarkStart w:id="105" w:name="page106"/>
    <w:bookmarkEnd w:id="10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9625965</wp:posOffset>
            </wp:positionV>
            <wp:extent cx="7105650" cy="1968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7">
                      <a:extLst>
                        <a:ext uri="{28A0092B-C50C-407E-A947-70E740481C1C}"/>
                      </a:extLst>
                    </a:blip>
                    <a:srcRect/>
                    <a:stretch>
                      <a:fillRect/>
                    </a:stretch>
                  </pic:blipFill>
                  <pic:spPr bwMode="auto">
                    <a:xfrm>
                      <a:off x="0" y="0"/>
                      <a:ext cx="710565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11" w:name="page112"/>
    <w:bookmarkEnd w:id="111"/>
    <w:tbl>
      <w:tblPr>
        <w:tblLayout w:type="fixed"/>
        <w:tblInd w:w="0" w:type="dxa"/>
        <w:tblCellMar>
          <w:top w:w="0" w:type="dxa"/>
          <w:left w:w="0" w:type="dxa"/>
          <w:bottom w:w="0" w:type="dxa"/>
          <w:right w:w="0" w:type="dxa"/>
        </w:tblCellMar>
      </w:tblPr>
      <w:tr>
        <w:trPr>
          <w:trHeight w:val="170"/>
        </w:trPr>
        <w:tc>
          <w:tcPr>
            <w:tcW w:w="3960" w:type="dxa"/>
            <w:vAlign w:val="bottom"/>
          </w:tcPr>
          <w:p>
            <w:pPr>
              <w:spacing w:after="0"/>
              <w:rPr>
                <w:sz w:val="14"/>
                <w:szCs w:val="14"/>
                <w:color w:val="auto"/>
              </w:rPr>
            </w:pPr>
          </w:p>
        </w:tc>
        <w:tc>
          <w:tcPr>
            <w:tcW w:w="7060" w:type="dxa"/>
            <w:vAlign w:val="bottom"/>
          </w:tcPr>
          <w:p>
            <w:pPr>
              <w:jc w:val="center"/>
              <w:ind w:right="3849"/>
              <w:spacing w:after="0"/>
              <w:rPr>
                <w:sz w:val="20"/>
                <w:szCs w:val="20"/>
                <w:color w:val="auto"/>
              </w:rPr>
            </w:pPr>
            <w:r>
              <w:rPr>
                <w:rFonts w:ascii="Arial" w:cs="Arial" w:eastAsia="Arial" w:hAnsi="Arial"/>
                <w:sz w:val="14"/>
                <w:szCs w:val="14"/>
                <w:b w:val="1"/>
                <w:bCs w:val="1"/>
                <w:color w:val="auto"/>
              </w:rPr>
              <w:t>EXHIBIT 21</w:t>
            </w:r>
          </w:p>
        </w:tc>
        <w:tc>
          <w:tcPr>
            <w:tcW w:w="0" w:type="dxa"/>
            <w:vAlign w:val="bottom"/>
          </w:tcPr>
          <w:p>
            <w:pPr>
              <w:spacing w:after="0"/>
              <w:rPr>
                <w:sz w:val="1"/>
                <w:szCs w:val="1"/>
                <w:color w:val="auto"/>
              </w:rPr>
            </w:pPr>
          </w:p>
        </w:tc>
      </w:tr>
      <w:tr>
        <w:trPr>
          <w:trHeight w:val="170"/>
        </w:trPr>
        <w:tc>
          <w:tcPr>
            <w:tcW w:w="3960" w:type="dxa"/>
            <w:vAlign w:val="bottom"/>
          </w:tcPr>
          <w:p>
            <w:pPr>
              <w:spacing w:after="0"/>
              <w:rPr>
                <w:sz w:val="14"/>
                <w:szCs w:val="14"/>
                <w:color w:val="auto"/>
              </w:rPr>
            </w:pPr>
          </w:p>
        </w:tc>
        <w:tc>
          <w:tcPr>
            <w:tcW w:w="7060" w:type="dxa"/>
            <w:vAlign w:val="bottom"/>
          </w:tcPr>
          <w:p>
            <w:pPr>
              <w:jc w:val="center"/>
              <w:ind w:right="3869"/>
              <w:spacing w:after="0"/>
              <w:rPr>
                <w:sz w:val="20"/>
                <w:szCs w:val="20"/>
                <w:color w:val="auto"/>
              </w:rPr>
            </w:pPr>
            <w:r>
              <w:rPr>
                <w:rFonts w:ascii="Arial" w:cs="Arial" w:eastAsia="Arial" w:hAnsi="Arial"/>
                <w:sz w:val="14"/>
                <w:szCs w:val="14"/>
                <w:b w:val="1"/>
                <w:bCs w:val="1"/>
                <w:color w:val="auto"/>
              </w:rPr>
              <w:t>PILGRIM'S PRIDE CORPORATION</w:t>
            </w:r>
          </w:p>
        </w:tc>
        <w:tc>
          <w:tcPr>
            <w:tcW w:w="0" w:type="dxa"/>
            <w:vAlign w:val="bottom"/>
          </w:tcPr>
          <w:p>
            <w:pPr>
              <w:spacing w:after="0"/>
              <w:rPr>
                <w:sz w:val="1"/>
                <w:szCs w:val="1"/>
                <w:color w:val="auto"/>
              </w:rPr>
            </w:pPr>
          </w:p>
        </w:tc>
      </w:tr>
      <w:tr>
        <w:trPr>
          <w:trHeight w:val="184"/>
        </w:trPr>
        <w:tc>
          <w:tcPr>
            <w:tcW w:w="3960" w:type="dxa"/>
            <w:vAlign w:val="bottom"/>
          </w:tcPr>
          <w:p>
            <w:pPr>
              <w:spacing w:after="0"/>
              <w:rPr>
                <w:sz w:val="16"/>
                <w:szCs w:val="16"/>
                <w:color w:val="auto"/>
              </w:rPr>
            </w:pPr>
          </w:p>
        </w:tc>
        <w:tc>
          <w:tcPr>
            <w:tcW w:w="7060" w:type="dxa"/>
            <w:vAlign w:val="bottom"/>
          </w:tcPr>
          <w:p>
            <w:pPr>
              <w:jc w:val="center"/>
              <w:ind w:right="3869"/>
              <w:spacing w:after="0"/>
              <w:rPr>
                <w:sz w:val="20"/>
                <w:szCs w:val="20"/>
                <w:color w:val="auto"/>
              </w:rPr>
            </w:pPr>
            <w:r>
              <w:rPr>
                <w:rFonts w:ascii="Arial" w:cs="Arial" w:eastAsia="Arial" w:hAnsi="Arial"/>
                <w:sz w:val="14"/>
                <w:szCs w:val="14"/>
                <w:b w:val="1"/>
                <w:bCs w:val="1"/>
                <w:color w:val="auto"/>
              </w:rPr>
              <w:t>SUBSIDIARIES OF REGISTRANT</w:t>
            </w:r>
          </w:p>
        </w:tc>
        <w:tc>
          <w:tcPr>
            <w:tcW w:w="0" w:type="dxa"/>
            <w:vAlign w:val="bottom"/>
          </w:tcPr>
          <w:p>
            <w:pPr>
              <w:spacing w:after="0"/>
              <w:rPr>
                <w:sz w:val="1"/>
                <w:szCs w:val="1"/>
                <w:color w:val="auto"/>
              </w:rPr>
            </w:pPr>
          </w:p>
        </w:tc>
      </w:tr>
      <w:tr>
        <w:trPr>
          <w:trHeight w:val="234"/>
        </w:trPr>
        <w:tc>
          <w:tcPr>
            <w:tcW w:w="3960" w:type="dxa"/>
            <w:vAlign w:val="bottom"/>
          </w:tcPr>
          <w:p>
            <w:pPr>
              <w:spacing w:after="0"/>
              <w:rPr>
                <w:sz w:val="20"/>
                <w:szCs w:val="20"/>
                <w:color w:val="auto"/>
              </w:rPr>
            </w:pPr>
          </w:p>
        </w:tc>
        <w:tc>
          <w:tcPr>
            <w:tcW w:w="7060" w:type="dxa"/>
            <w:vAlign w:val="bottom"/>
          </w:tcPr>
          <w:p>
            <w:pPr>
              <w:jc w:val="center"/>
              <w:ind w:left="5069"/>
              <w:spacing w:after="0"/>
              <w:rPr>
                <w:sz w:val="20"/>
                <w:szCs w:val="20"/>
                <w:color w:val="auto"/>
              </w:rPr>
            </w:pPr>
            <w:r>
              <w:rPr>
                <w:rFonts w:ascii="Arial" w:cs="Arial" w:eastAsia="Arial" w:hAnsi="Arial"/>
                <w:sz w:val="14"/>
                <w:szCs w:val="14"/>
                <w:b w:val="1"/>
                <w:bCs w:val="1"/>
                <w:color w:val="auto"/>
                <w:w w:val="92"/>
              </w:rPr>
              <w:t>Jurisdiction of Incorporation or</w:t>
            </w:r>
          </w:p>
        </w:tc>
        <w:tc>
          <w:tcPr>
            <w:tcW w:w="0" w:type="dxa"/>
            <w:vAlign w:val="bottom"/>
          </w:tcPr>
          <w:p>
            <w:pPr>
              <w:spacing w:after="0"/>
              <w:rPr>
                <w:sz w:val="1"/>
                <w:szCs w:val="1"/>
                <w:color w:val="auto"/>
              </w:rPr>
            </w:pPr>
          </w:p>
        </w:tc>
      </w:tr>
      <w:tr>
        <w:trPr>
          <w:trHeight w:val="184"/>
        </w:trPr>
        <w:tc>
          <w:tcPr>
            <w:tcW w:w="3960" w:type="dxa"/>
            <w:vAlign w:val="bottom"/>
            <w:vMerge w:val="restart"/>
          </w:tcPr>
          <w:p>
            <w:pPr>
              <w:spacing w:after="0"/>
              <w:rPr>
                <w:sz w:val="20"/>
                <w:szCs w:val="20"/>
                <w:color w:val="auto"/>
              </w:rPr>
            </w:pPr>
            <w:r>
              <w:rPr>
                <w:rFonts w:ascii="Arial" w:cs="Arial" w:eastAsia="Arial" w:hAnsi="Arial"/>
                <w:sz w:val="14"/>
                <w:szCs w:val="14"/>
                <w:b w:val="1"/>
                <w:bCs w:val="1"/>
                <w:color w:val="auto"/>
              </w:rPr>
              <w:t>U.S. Subsidiaries</w:t>
            </w:r>
          </w:p>
        </w:tc>
        <w:tc>
          <w:tcPr>
            <w:tcW w:w="7060" w:type="dxa"/>
            <w:vAlign w:val="bottom"/>
          </w:tcPr>
          <w:p>
            <w:pPr>
              <w:jc w:val="center"/>
              <w:ind w:left="5069"/>
              <w:spacing w:after="0"/>
              <w:rPr>
                <w:sz w:val="20"/>
                <w:szCs w:val="20"/>
                <w:color w:val="auto"/>
              </w:rPr>
            </w:pPr>
            <w:r>
              <w:rPr>
                <w:rFonts w:ascii="Arial" w:cs="Arial" w:eastAsia="Arial" w:hAnsi="Arial"/>
                <w:sz w:val="14"/>
                <w:szCs w:val="14"/>
                <w:b w:val="1"/>
                <w:bCs w:val="1"/>
                <w:color w:val="auto"/>
                <w:w w:val="93"/>
              </w:rPr>
              <w:t>Organization</w:t>
            </w:r>
          </w:p>
        </w:tc>
        <w:tc>
          <w:tcPr>
            <w:tcW w:w="0" w:type="dxa"/>
            <w:vAlign w:val="bottom"/>
          </w:tcPr>
          <w:p>
            <w:pPr>
              <w:spacing w:after="0"/>
              <w:rPr>
                <w:sz w:val="1"/>
                <w:szCs w:val="1"/>
                <w:color w:val="auto"/>
              </w:rPr>
            </w:pPr>
          </w:p>
        </w:tc>
      </w:tr>
      <w:tr>
        <w:trPr>
          <w:trHeight w:val="176"/>
        </w:trPr>
        <w:tc>
          <w:tcPr>
            <w:tcW w:w="3960" w:type="dxa"/>
            <w:vAlign w:val="bottom"/>
            <w:vMerge w:val="continue"/>
          </w:tcPr>
          <w:p>
            <w:pPr>
              <w:spacing w:after="0"/>
              <w:rPr>
                <w:sz w:val="15"/>
                <w:szCs w:val="15"/>
                <w:color w:val="auto"/>
              </w:rPr>
            </w:pPr>
          </w:p>
        </w:tc>
        <w:tc>
          <w:tcPr>
            <w:tcW w:w="7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960" w:type="dxa"/>
            <w:vAlign w:val="bottom"/>
          </w:tcPr>
          <w:p>
            <w:pPr>
              <w:ind w:left="160"/>
              <w:spacing w:after="0"/>
              <w:rPr>
                <w:sz w:val="20"/>
                <w:szCs w:val="20"/>
                <w:color w:val="auto"/>
              </w:rPr>
            </w:pPr>
            <w:r>
              <w:rPr>
                <w:rFonts w:ascii="Arial" w:cs="Arial" w:eastAsia="Arial" w:hAnsi="Arial"/>
                <w:sz w:val="14"/>
                <w:szCs w:val="14"/>
                <w:color w:val="auto"/>
              </w:rPr>
              <w:t>PFS Distribution Company</w:t>
            </w:r>
          </w:p>
        </w:tc>
        <w:tc>
          <w:tcPr>
            <w:tcW w:w="7060" w:type="dxa"/>
            <w:vAlign w:val="bottom"/>
          </w:tcPr>
          <w:p>
            <w:pPr>
              <w:jc w:val="center"/>
              <w:ind w:left="5089"/>
              <w:spacing w:after="0"/>
              <w:rPr>
                <w:sz w:val="20"/>
                <w:szCs w:val="20"/>
                <w:color w:val="auto"/>
              </w:rPr>
            </w:pPr>
            <w:r>
              <w:rPr>
                <w:rFonts w:ascii="Arial" w:cs="Arial" w:eastAsia="Arial" w:hAnsi="Arial"/>
                <w:sz w:val="14"/>
                <w:szCs w:val="14"/>
                <w:color w:val="auto"/>
                <w:w w:val="91"/>
              </w:rPr>
              <w:t>Delaware</w:t>
            </w:r>
          </w:p>
        </w:tc>
        <w:tc>
          <w:tcPr>
            <w:tcW w:w="0" w:type="dxa"/>
            <w:vAlign w:val="bottom"/>
          </w:tcPr>
          <w:p>
            <w:pPr>
              <w:spacing w:after="0"/>
              <w:rPr>
                <w:sz w:val="1"/>
                <w:szCs w:val="1"/>
                <w:color w:val="auto"/>
              </w:rPr>
            </w:pPr>
          </w:p>
        </w:tc>
      </w:tr>
      <w:tr>
        <w:trPr>
          <w:trHeight w:val="180"/>
        </w:trPr>
        <w:tc>
          <w:tcPr>
            <w:tcW w:w="3960" w:type="dxa"/>
            <w:vAlign w:val="bottom"/>
          </w:tcPr>
          <w:p>
            <w:pPr>
              <w:ind w:left="160"/>
              <w:spacing w:after="0"/>
              <w:rPr>
                <w:sz w:val="20"/>
                <w:szCs w:val="20"/>
                <w:color w:val="auto"/>
              </w:rPr>
            </w:pPr>
            <w:r>
              <w:rPr>
                <w:rFonts w:ascii="Arial" w:cs="Arial" w:eastAsia="Arial" w:hAnsi="Arial"/>
                <w:sz w:val="14"/>
                <w:szCs w:val="14"/>
                <w:color w:val="auto"/>
              </w:rPr>
              <w:t>Pilgrim's Pride, LLC</w:t>
            </w:r>
          </w:p>
        </w:tc>
        <w:tc>
          <w:tcPr>
            <w:tcW w:w="7060" w:type="dxa"/>
            <w:vAlign w:val="bottom"/>
          </w:tcPr>
          <w:p>
            <w:pPr>
              <w:jc w:val="center"/>
              <w:ind w:left="5089"/>
              <w:spacing w:after="0"/>
              <w:rPr>
                <w:sz w:val="20"/>
                <w:szCs w:val="20"/>
                <w:color w:val="auto"/>
              </w:rPr>
            </w:pPr>
            <w:r>
              <w:rPr>
                <w:rFonts w:ascii="Arial" w:cs="Arial" w:eastAsia="Arial" w:hAnsi="Arial"/>
                <w:sz w:val="14"/>
                <w:szCs w:val="14"/>
                <w:color w:val="auto"/>
                <w:w w:val="91"/>
              </w:rPr>
              <w:t>Delaware</w:t>
            </w:r>
          </w:p>
        </w:tc>
        <w:tc>
          <w:tcPr>
            <w:tcW w:w="0" w:type="dxa"/>
            <w:vAlign w:val="bottom"/>
          </w:tcPr>
          <w:p>
            <w:pPr>
              <w:spacing w:after="0"/>
              <w:rPr>
                <w:sz w:val="1"/>
                <w:szCs w:val="1"/>
                <w:color w:val="auto"/>
              </w:rPr>
            </w:pPr>
          </w:p>
        </w:tc>
      </w:tr>
      <w:tr>
        <w:trPr>
          <w:trHeight w:val="180"/>
        </w:trPr>
        <w:tc>
          <w:tcPr>
            <w:tcW w:w="3960" w:type="dxa"/>
            <w:vAlign w:val="bottom"/>
          </w:tcPr>
          <w:p>
            <w:pPr>
              <w:ind w:left="160"/>
              <w:spacing w:after="0"/>
              <w:rPr>
                <w:sz w:val="20"/>
                <w:szCs w:val="20"/>
                <w:color w:val="auto"/>
              </w:rPr>
            </w:pPr>
            <w:r>
              <w:rPr>
                <w:rFonts w:ascii="Arial" w:cs="Arial" w:eastAsia="Arial" w:hAnsi="Arial"/>
                <w:sz w:val="14"/>
                <w:szCs w:val="14"/>
                <w:color w:val="auto"/>
              </w:rPr>
              <w:t>Pilgrim's Pride Finance LLC</w:t>
            </w:r>
          </w:p>
        </w:tc>
        <w:tc>
          <w:tcPr>
            <w:tcW w:w="7060" w:type="dxa"/>
            <w:vAlign w:val="bottom"/>
          </w:tcPr>
          <w:p>
            <w:pPr>
              <w:jc w:val="center"/>
              <w:ind w:left="5089"/>
              <w:spacing w:after="0"/>
              <w:rPr>
                <w:sz w:val="20"/>
                <w:szCs w:val="20"/>
                <w:color w:val="auto"/>
              </w:rPr>
            </w:pPr>
            <w:r>
              <w:rPr>
                <w:rFonts w:ascii="Arial" w:cs="Arial" w:eastAsia="Arial" w:hAnsi="Arial"/>
                <w:sz w:val="14"/>
                <w:szCs w:val="14"/>
                <w:color w:val="auto"/>
                <w:w w:val="91"/>
              </w:rPr>
              <w:t>Delaware</w:t>
            </w:r>
          </w:p>
        </w:tc>
        <w:tc>
          <w:tcPr>
            <w:tcW w:w="0" w:type="dxa"/>
            <w:vAlign w:val="bottom"/>
          </w:tcPr>
          <w:p>
            <w:pPr>
              <w:spacing w:after="0"/>
              <w:rPr>
                <w:sz w:val="1"/>
                <w:szCs w:val="1"/>
                <w:color w:val="auto"/>
              </w:rPr>
            </w:pPr>
          </w:p>
        </w:tc>
      </w:tr>
      <w:tr>
        <w:trPr>
          <w:trHeight w:val="180"/>
        </w:trPr>
        <w:tc>
          <w:tcPr>
            <w:tcW w:w="3960" w:type="dxa"/>
            <w:vAlign w:val="bottom"/>
          </w:tcPr>
          <w:p>
            <w:pPr>
              <w:ind w:left="160"/>
              <w:spacing w:after="0"/>
              <w:rPr>
                <w:sz w:val="20"/>
                <w:szCs w:val="20"/>
                <w:color w:val="auto"/>
              </w:rPr>
            </w:pPr>
            <w:r>
              <w:rPr>
                <w:rFonts w:ascii="Arial" w:cs="Arial" w:eastAsia="Arial" w:hAnsi="Arial"/>
                <w:sz w:val="14"/>
                <w:szCs w:val="14"/>
                <w:color w:val="auto"/>
              </w:rPr>
              <w:t>POPPSA 3, LLC</w:t>
            </w:r>
          </w:p>
        </w:tc>
        <w:tc>
          <w:tcPr>
            <w:tcW w:w="7060" w:type="dxa"/>
            <w:vAlign w:val="bottom"/>
          </w:tcPr>
          <w:p>
            <w:pPr>
              <w:jc w:val="center"/>
              <w:ind w:left="5089"/>
              <w:spacing w:after="0"/>
              <w:rPr>
                <w:sz w:val="20"/>
                <w:szCs w:val="20"/>
                <w:color w:val="auto"/>
              </w:rPr>
            </w:pPr>
            <w:r>
              <w:rPr>
                <w:rFonts w:ascii="Arial" w:cs="Arial" w:eastAsia="Arial" w:hAnsi="Arial"/>
                <w:sz w:val="14"/>
                <w:szCs w:val="14"/>
                <w:color w:val="auto"/>
                <w:w w:val="91"/>
              </w:rPr>
              <w:t>Delaware</w:t>
            </w:r>
          </w:p>
        </w:tc>
        <w:tc>
          <w:tcPr>
            <w:tcW w:w="0" w:type="dxa"/>
            <w:vAlign w:val="bottom"/>
          </w:tcPr>
          <w:p>
            <w:pPr>
              <w:spacing w:after="0"/>
              <w:rPr>
                <w:sz w:val="1"/>
                <w:szCs w:val="1"/>
                <w:color w:val="auto"/>
              </w:rPr>
            </w:pPr>
          </w:p>
        </w:tc>
      </w:tr>
      <w:tr>
        <w:trPr>
          <w:trHeight w:val="180"/>
        </w:trPr>
        <w:tc>
          <w:tcPr>
            <w:tcW w:w="3960" w:type="dxa"/>
            <w:vAlign w:val="bottom"/>
          </w:tcPr>
          <w:p>
            <w:pPr>
              <w:ind w:left="160"/>
              <w:spacing w:after="0"/>
              <w:rPr>
                <w:sz w:val="20"/>
                <w:szCs w:val="20"/>
                <w:color w:val="auto"/>
              </w:rPr>
            </w:pPr>
            <w:r>
              <w:rPr>
                <w:rFonts w:ascii="Arial" w:cs="Arial" w:eastAsia="Arial" w:hAnsi="Arial"/>
                <w:sz w:val="14"/>
                <w:szCs w:val="14"/>
                <w:color w:val="auto"/>
              </w:rPr>
              <w:t>POPPSA 4, LLC</w:t>
            </w:r>
          </w:p>
        </w:tc>
        <w:tc>
          <w:tcPr>
            <w:tcW w:w="7060" w:type="dxa"/>
            <w:vAlign w:val="bottom"/>
          </w:tcPr>
          <w:p>
            <w:pPr>
              <w:jc w:val="center"/>
              <w:ind w:left="5089"/>
              <w:spacing w:after="0"/>
              <w:rPr>
                <w:sz w:val="20"/>
                <w:szCs w:val="20"/>
                <w:color w:val="auto"/>
              </w:rPr>
            </w:pPr>
            <w:r>
              <w:rPr>
                <w:rFonts w:ascii="Arial" w:cs="Arial" w:eastAsia="Arial" w:hAnsi="Arial"/>
                <w:sz w:val="14"/>
                <w:szCs w:val="14"/>
                <w:color w:val="auto"/>
                <w:w w:val="91"/>
              </w:rPr>
              <w:t>Delaware</w:t>
            </w:r>
          </w:p>
        </w:tc>
        <w:tc>
          <w:tcPr>
            <w:tcW w:w="0" w:type="dxa"/>
            <w:vAlign w:val="bottom"/>
          </w:tcPr>
          <w:p>
            <w:pPr>
              <w:spacing w:after="0"/>
              <w:rPr>
                <w:sz w:val="1"/>
                <w:szCs w:val="1"/>
                <w:color w:val="auto"/>
              </w:rPr>
            </w:pPr>
          </w:p>
        </w:tc>
      </w:tr>
      <w:tr>
        <w:trPr>
          <w:trHeight w:val="180"/>
        </w:trPr>
        <w:tc>
          <w:tcPr>
            <w:tcW w:w="3960" w:type="dxa"/>
            <w:vAlign w:val="bottom"/>
          </w:tcPr>
          <w:p>
            <w:pPr>
              <w:ind w:left="160"/>
              <w:spacing w:after="0"/>
              <w:rPr>
                <w:sz w:val="20"/>
                <w:szCs w:val="20"/>
                <w:color w:val="auto"/>
              </w:rPr>
            </w:pPr>
            <w:r>
              <w:rPr>
                <w:rFonts w:ascii="Arial" w:cs="Arial" w:eastAsia="Arial" w:hAnsi="Arial"/>
                <w:sz w:val="14"/>
                <w:szCs w:val="14"/>
                <w:color w:val="auto"/>
              </w:rPr>
              <w:t>PPC Transportation Company</w:t>
            </w:r>
          </w:p>
        </w:tc>
        <w:tc>
          <w:tcPr>
            <w:tcW w:w="7060" w:type="dxa"/>
            <w:vAlign w:val="bottom"/>
          </w:tcPr>
          <w:p>
            <w:pPr>
              <w:jc w:val="center"/>
              <w:ind w:left="5089"/>
              <w:spacing w:after="0"/>
              <w:rPr>
                <w:sz w:val="20"/>
                <w:szCs w:val="20"/>
                <w:color w:val="auto"/>
              </w:rPr>
            </w:pPr>
            <w:r>
              <w:rPr>
                <w:rFonts w:ascii="Arial" w:cs="Arial" w:eastAsia="Arial" w:hAnsi="Arial"/>
                <w:sz w:val="14"/>
                <w:szCs w:val="14"/>
                <w:color w:val="auto"/>
                <w:w w:val="91"/>
              </w:rPr>
              <w:t>Delaware</w:t>
            </w:r>
          </w:p>
        </w:tc>
        <w:tc>
          <w:tcPr>
            <w:tcW w:w="0" w:type="dxa"/>
            <w:vAlign w:val="bottom"/>
          </w:tcPr>
          <w:p>
            <w:pPr>
              <w:spacing w:after="0"/>
              <w:rPr>
                <w:sz w:val="1"/>
                <w:szCs w:val="1"/>
                <w:color w:val="auto"/>
              </w:rPr>
            </w:pPr>
          </w:p>
        </w:tc>
      </w:tr>
      <w:tr>
        <w:trPr>
          <w:trHeight w:val="180"/>
        </w:trPr>
        <w:tc>
          <w:tcPr>
            <w:tcW w:w="3960" w:type="dxa"/>
            <w:vAlign w:val="bottom"/>
          </w:tcPr>
          <w:p>
            <w:pPr>
              <w:ind w:left="160"/>
              <w:spacing w:after="0"/>
              <w:rPr>
                <w:sz w:val="20"/>
                <w:szCs w:val="20"/>
                <w:color w:val="auto"/>
              </w:rPr>
            </w:pPr>
            <w:r>
              <w:rPr>
                <w:rFonts w:ascii="Arial" w:cs="Arial" w:eastAsia="Arial" w:hAnsi="Arial"/>
                <w:sz w:val="14"/>
                <w:szCs w:val="14"/>
                <w:color w:val="auto"/>
              </w:rPr>
              <w:t>Merit Provisions, LLC</w:t>
            </w:r>
          </w:p>
        </w:tc>
        <w:tc>
          <w:tcPr>
            <w:tcW w:w="7060" w:type="dxa"/>
            <w:vAlign w:val="bottom"/>
          </w:tcPr>
          <w:p>
            <w:pPr>
              <w:jc w:val="center"/>
              <w:ind w:left="5089"/>
              <w:spacing w:after="0"/>
              <w:rPr>
                <w:sz w:val="20"/>
                <w:szCs w:val="20"/>
                <w:color w:val="auto"/>
              </w:rPr>
            </w:pPr>
            <w:r>
              <w:rPr>
                <w:rFonts w:ascii="Arial" w:cs="Arial" w:eastAsia="Arial" w:hAnsi="Arial"/>
                <w:sz w:val="14"/>
                <w:szCs w:val="14"/>
                <w:color w:val="auto"/>
                <w:w w:val="91"/>
              </w:rPr>
              <w:t>Delaware</w:t>
            </w:r>
          </w:p>
        </w:tc>
        <w:tc>
          <w:tcPr>
            <w:tcW w:w="0" w:type="dxa"/>
            <w:vAlign w:val="bottom"/>
          </w:tcPr>
          <w:p>
            <w:pPr>
              <w:spacing w:after="0"/>
              <w:rPr>
                <w:sz w:val="1"/>
                <w:szCs w:val="1"/>
                <w:color w:val="auto"/>
              </w:rPr>
            </w:pPr>
          </w:p>
        </w:tc>
      </w:tr>
      <w:tr>
        <w:trPr>
          <w:trHeight w:val="180"/>
        </w:trPr>
        <w:tc>
          <w:tcPr>
            <w:tcW w:w="3960" w:type="dxa"/>
            <w:vAlign w:val="bottom"/>
          </w:tcPr>
          <w:p>
            <w:pPr>
              <w:ind w:left="160"/>
              <w:spacing w:after="0"/>
              <w:rPr>
                <w:sz w:val="20"/>
                <w:szCs w:val="20"/>
                <w:color w:val="auto"/>
              </w:rPr>
            </w:pPr>
            <w:r>
              <w:rPr>
                <w:rFonts w:ascii="Arial" w:cs="Arial" w:eastAsia="Arial" w:hAnsi="Arial"/>
                <w:sz w:val="14"/>
                <w:szCs w:val="14"/>
                <w:color w:val="auto"/>
              </w:rPr>
              <w:t>40 North Foods, Inc.</w:t>
            </w:r>
          </w:p>
        </w:tc>
        <w:tc>
          <w:tcPr>
            <w:tcW w:w="7060" w:type="dxa"/>
            <w:vAlign w:val="bottom"/>
          </w:tcPr>
          <w:p>
            <w:pPr>
              <w:jc w:val="center"/>
              <w:ind w:left="5089"/>
              <w:spacing w:after="0"/>
              <w:rPr>
                <w:sz w:val="20"/>
                <w:szCs w:val="20"/>
                <w:color w:val="auto"/>
              </w:rPr>
            </w:pPr>
            <w:r>
              <w:rPr>
                <w:rFonts w:ascii="Arial" w:cs="Arial" w:eastAsia="Arial" w:hAnsi="Arial"/>
                <w:sz w:val="14"/>
                <w:szCs w:val="14"/>
                <w:color w:val="auto"/>
                <w:w w:val="91"/>
              </w:rPr>
              <w:t>Delaware</w:t>
            </w:r>
          </w:p>
        </w:tc>
        <w:tc>
          <w:tcPr>
            <w:tcW w:w="0" w:type="dxa"/>
            <w:vAlign w:val="bottom"/>
          </w:tcPr>
          <w:p>
            <w:pPr>
              <w:spacing w:after="0"/>
              <w:rPr>
                <w:sz w:val="1"/>
                <w:szCs w:val="1"/>
                <w:color w:val="auto"/>
              </w:rPr>
            </w:pPr>
          </w:p>
        </w:tc>
      </w:tr>
      <w:tr>
        <w:trPr>
          <w:trHeight w:val="180"/>
        </w:trPr>
        <w:tc>
          <w:tcPr>
            <w:tcW w:w="3960" w:type="dxa"/>
            <w:vAlign w:val="bottom"/>
          </w:tcPr>
          <w:p>
            <w:pPr>
              <w:ind w:left="160"/>
              <w:spacing w:after="0"/>
              <w:rPr>
                <w:sz w:val="20"/>
                <w:szCs w:val="20"/>
                <w:color w:val="auto"/>
              </w:rPr>
            </w:pPr>
            <w:r>
              <w:rPr>
                <w:rFonts w:ascii="Arial" w:cs="Arial" w:eastAsia="Arial" w:hAnsi="Arial"/>
                <w:sz w:val="14"/>
                <w:szCs w:val="14"/>
                <w:color w:val="auto"/>
              </w:rPr>
              <w:t>GC Properties</w:t>
            </w:r>
          </w:p>
        </w:tc>
        <w:tc>
          <w:tcPr>
            <w:tcW w:w="7060" w:type="dxa"/>
            <w:vAlign w:val="bottom"/>
          </w:tcPr>
          <w:p>
            <w:pPr>
              <w:jc w:val="center"/>
              <w:ind w:left="5089"/>
              <w:spacing w:after="0"/>
              <w:rPr>
                <w:sz w:val="20"/>
                <w:szCs w:val="20"/>
                <w:color w:val="auto"/>
              </w:rPr>
            </w:pPr>
            <w:r>
              <w:rPr>
                <w:rFonts w:ascii="Arial" w:cs="Arial" w:eastAsia="Arial" w:hAnsi="Arial"/>
                <w:sz w:val="14"/>
                <w:szCs w:val="14"/>
                <w:color w:val="auto"/>
                <w:w w:val="92"/>
              </w:rPr>
              <w:t>Georgia</w:t>
            </w:r>
          </w:p>
        </w:tc>
        <w:tc>
          <w:tcPr>
            <w:tcW w:w="0" w:type="dxa"/>
            <w:vAlign w:val="bottom"/>
          </w:tcPr>
          <w:p>
            <w:pPr>
              <w:spacing w:after="0"/>
              <w:rPr>
                <w:sz w:val="1"/>
                <w:szCs w:val="1"/>
                <w:color w:val="auto"/>
              </w:rPr>
            </w:pPr>
          </w:p>
        </w:tc>
      </w:tr>
      <w:tr>
        <w:trPr>
          <w:trHeight w:val="180"/>
        </w:trPr>
        <w:tc>
          <w:tcPr>
            <w:tcW w:w="3960" w:type="dxa"/>
            <w:vAlign w:val="bottom"/>
          </w:tcPr>
          <w:p>
            <w:pPr>
              <w:ind w:left="160"/>
              <w:spacing w:after="0"/>
              <w:rPr>
                <w:sz w:val="20"/>
                <w:szCs w:val="20"/>
                <w:color w:val="auto"/>
              </w:rPr>
            </w:pPr>
            <w:r>
              <w:rPr>
                <w:rFonts w:ascii="Arial" w:cs="Arial" w:eastAsia="Arial" w:hAnsi="Arial"/>
                <w:sz w:val="14"/>
                <w:szCs w:val="14"/>
                <w:color w:val="auto"/>
              </w:rPr>
              <w:t>PPC of Alabama, Inc.</w:t>
            </w:r>
          </w:p>
        </w:tc>
        <w:tc>
          <w:tcPr>
            <w:tcW w:w="7060" w:type="dxa"/>
            <w:vAlign w:val="bottom"/>
          </w:tcPr>
          <w:p>
            <w:pPr>
              <w:jc w:val="center"/>
              <w:ind w:left="5089"/>
              <w:spacing w:after="0"/>
              <w:rPr>
                <w:sz w:val="20"/>
                <w:szCs w:val="20"/>
                <w:color w:val="auto"/>
              </w:rPr>
            </w:pPr>
            <w:r>
              <w:rPr>
                <w:rFonts w:ascii="Arial" w:cs="Arial" w:eastAsia="Arial" w:hAnsi="Arial"/>
                <w:sz w:val="14"/>
                <w:szCs w:val="14"/>
                <w:color w:val="auto"/>
                <w:w w:val="92"/>
              </w:rPr>
              <w:t>Georgia</w:t>
            </w:r>
          </w:p>
        </w:tc>
        <w:tc>
          <w:tcPr>
            <w:tcW w:w="0" w:type="dxa"/>
            <w:vAlign w:val="bottom"/>
          </w:tcPr>
          <w:p>
            <w:pPr>
              <w:spacing w:after="0"/>
              <w:rPr>
                <w:sz w:val="1"/>
                <w:szCs w:val="1"/>
                <w:color w:val="auto"/>
              </w:rPr>
            </w:pPr>
          </w:p>
        </w:tc>
      </w:tr>
      <w:tr>
        <w:trPr>
          <w:trHeight w:val="180"/>
        </w:trPr>
        <w:tc>
          <w:tcPr>
            <w:tcW w:w="3960" w:type="dxa"/>
            <w:vAlign w:val="bottom"/>
          </w:tcPr>
          <w:p>
            <w:pPr>
              <w:ind w:left="160"/>
              <w:spacing w:after="0"/>
              <w:rPr>
                <w:sz w:val="20"/>
                <w:szCs w:val="20"/>
                <w:color w:val="auto"/>
              </w:rPr>
            </w:pPr>
            <w:r>
              <w:rPr>
                <w:rFonts w:ascii="Arial" w:cs="Arial" w:eastAsia="Arial" w:hAnsi="Arial"/>
                <w:sz w:val="14"/>
                <w:szCs w:val="14"/>
                <w:color w:val="auto"/>
              </w:rPr>
              <w:t>Gold'n Plump Farms, LLC</w:t>
            </w:r>
          </w:p>
        </w:tc>
        <w:tc>
          <w:tcPr>
            <w:tcW w:w="7060" w:type="dxa"/>
            <w:vAlign w:val="bottom"/>
          </w:tcPr>
          <w:p>
            <w:pPr>
              <w:jc w:val="center"/>
              <w:ind w:left="5069"/>
              <w:spacing w:after="0"/>
              <w:rPr>
                <w:sz w:val="20"/>
                <w:szCs w:val="20"/>
                <w:color w:val="auto"/>
              </w:rPr>
            </w:pPr>
            <w:r>
              <w:rPr>
                <w:rFonts w:ascii="Arial" w:cs="Arial" w:eastAsia="Arial" w:hAnsi="Arial"/>
                <w:sz w:val="14"/>
                <w:szCs w:val="14"/>
                <w:color w:val="auto"/>
                <w:w w:val="92"/>
              </w:rPr>
              <w:t>Minnesota</w:t>
            </w:r>
          </w:p>
        </w:tc>
        <w:tc>
          <w:tcPr>
            <w:tcW w:w="0" w:type="dxa"/>
            <w:vAlign w:val="bottom"/>
          </w:tcPr>
          <w:p>
            <w:pPr>
              <w:spacing w:after="0"/>
              <w:rPr>
                <w:sz w:val="1"/>
                <w:szCs w:val="1"/>
                <w:color w:val="auto"/>
              </w:rPr>
            </w:pPr>
          </w:p>
        </w:tc>
      </w:tr>
      <w:tr>
        <w:trPr>
          <w:trHeight w:val="180"/>
        </w:trPr>
        <w:tc>
          <w:tcPr>
            <w:tcW w:w="3960" w:type="dxa"/>
            <w:vAlign w:val="bottom"/>
          </w:tcPr>
          <w:p>
            <w:pPr>
              <w:ind w:left="160"/>
              <w:spacing w:after="0"/>
              <w:rPr>
                <w:sz w:val="20"/>
                <w:szCs w:val="20"/>
                <w:color w:val="auto"/>
              </w:rPr>
            </w:pPr>
            <w:r>
              <w:rPr>
                <w:rFonts w:ascii="Arial" w:cs="Arial" w:eastAsia="Arial" w:hAnsi="Arial"/>
                <w:sz w:val="14"/>
                <w:szCs w:val="14"/>
                <w:color w:val="auto"/>
              </w:rPr>
              <w:t>Gold'n Plump Poultry, LLC</w:t>
            </w:r>
          </w:p>
        </w:tc>
        <w:tc>
          <w:tcPr>
            <w:tcW w:w="7060" w:type="dxa"/>
            <w:vAlign w:val="bottom"/>
          </w:tcPr>
          <w:p>
            <w:pPr>
              <w:jc w:val="center"/>
              <w:ind w:left="5069"/>
              <w:spacing w:after="0"/>
              <w:rPr>
                <w:sz w:val="20"/>
                <w:szCs w:val="20"/>
                <w:color w:val="auto"/>
              </w:rPr>
            </w:pPr>
            <w:r>
              <w:rPr>
                <w:rFonts w:ascii="Arial" w:cs="Arial" w:eastAsia="Arial" w:hAnsi="Arial"/>
                <w:sz w:val="14"/>
                <w:szCs w:val="14"/>
                <w:color w:val="auto"/>
                <w:w w:val="92"/>
              </w:rPr>
              <w:t>Minnesota</w:t>
            </w:r>
          </w:p>
        </w:tc>
        <w:tc>
          <w:tcPr>
            <w:tcW w:w="0" w:type="dxa"/>
            <w:vAlign w:val="bottom"/>
          </w:tcPr>
          <w:p>
            <w:pPr>
              <w:spacing w:after="0"/>
              <w:rPr>
                <w:sz w:val="1"/>
                <w:szCs w:val="1"/>
                <w:color w:val="auto"/>
              </w:rPr>
            </w:pPr>
          </w:p>
        </w:tc>
      </w:tr>
      <w:tr>
        <w:trPr>
          <w:trHeight w:val="180"/>
        </w:trPr>
        <w:tc>
          <w:tcPr>
            <w:tcW w:w="3960" w:type="dxa"/>
            <w:vAlign w:val="bottom"/>
          </w:tcPr>
          <w:p>
            <w:pPr>
              <w:ind w:left="160"/>
              <w:spacing w:after="0"/>
              <w:rPr>
                <w:sz w:val="20"/>
                <w:szCs w:val="20"/>
                <w:color w:val="auto"/>
              </w:rPr>
            </w:pPr>
            <w:r>
              <w:rPr>
                <w:rFonts w:ascii="Arial" w:cs="Arial" w:eastAsia="Arial" w:hAnsi="Arial"/>
                <w:sz w:val="14"/>
                <w:szCs w:val="14"/>
                <w:color w:val="auto"/>
              </w:rPr>
              <w:t>JFC LLC</w:t>
            </w:r>
          </w:p>
        </w:tc>
        <w:tc>
          <w:tcPr>
            <w:tcW w:w="7060" w:type="dxa"/>
            <w:vAlign w:val="bottom"/>
          </w:tcPr>
          <w:p>
            <w:pPr>
              <w:jc w:val="center"/>
              <w:ind w:left="5069"/>
              <w:spacing w:after="0"/>
              <w:rPr>
                <w:sz w:val="20"/>
                <w:szCs w:val="20"/>
                <w:color w:val="auto"/>
              </w:rPr>
            </w:pPr>
            <w:r>
              <w:rPr>
                <w:rFonts w:ascii="Arial" w:cs="Arial" w:eastAsia="Arial" w:hAnsi="Arial"/>
                <w:sz w:val="14"/>
                <w:szCs w:val="14"/>
                <w:color w:val="auto"/>
                <w:w w:val="92"/>
              </w:rPr>
              <w:t>Minnesota</w:t>
            </w:r>
          </w:p>
        </w:tc>
        <w:tc>
          <w:tcPr>
            <w:tcW w:w="0" w:type="dxa"/>
            <w:vAlign w:val="bottom"/>
          </w:tcPr>
          <w:p>
            <w:pPr>
              <w:spacing w:after="0"/>
              <w:rPr>
                <w:sz w:val="1"/>
                <w:szCs w:val="1"/>
                <w:color w:val="auto"/>
              </w:rPr>
            </w:pPr>
          </w:p>
        </w:tc>
      </w:tr>
      <w:tr>
        <w:trPr>
          <w:trHeight w:val="180"/>
        </w:trPr>
        <w:tc>
          <w:tcPr>
            <w:tcW w:w="3960" w:type="dxa"/>
            <w:vAlign w:val="bottom"/>
          </w:tcPr>
          <w:p>
            <w:pPr>
              <w:ind w:left="160"/>
              <w:spacing w:after="0"/>
              <w:rPr>
                <w:sz w:val="20"/>
                <w:szCs w:val="20"/>
                <w:color w:val="auto"/>
              </w:rPr>
            </w:pPr>
            <w:r>
              <w:rPr>
                <w:rFonts w:ascii="Arial" w:cs="Arial" w:eastAsia="Arial" w:hAnsi="Arial"/>
                <w:sz w:val="14"/>
                <w:szCs w:val="14"/>
                <w:color w:val="auto"/>
              </w:rPr>
              <w:t>Pilgrim's Pride Affordable Housing Corporation</w:t>
            </w:r>
          </w:p>
        </w:tc>
        <w:tc>
          <w:tcPr>
            <w:tcW w:w="7060" w:type="dxa"/>
            <w:vAlign w:val="bottom"/>
          </w:tcPr>
          <w:p>
            <w:pPr>
              <w:jc w:val="center"/>
              <w:ind w:left="5069"/>
              <w:spacing w:after="0"/>
              <w:rPr>
                <w:sz w:val="20"/>
                <w:szCs w:val="20"/>
                <w:color w:val="auto"/>
              </w:rPr>
            </w:pPr>
            <w:r>
              <w:rPr>
                <w:rFonts w:ascii="Arial" w:cs="Arial" w:eastAsia="Arial" w:hAnsi="Arial"/>
                <w:sz w:val="14"/>
                <w:szCs w:val="14"/>
                <w:color w:val="auto"/>
                <w:w w:val="91"/>
              </w:rPr>
              <w:t>Nevada</w:t>
            </w:r>
          </w:p>
        </w:tc>
        <w:tc>
          <w:tcPr>
            <w:tcW w:w="0" w:type="dxa"/>
            <w:vAlign w:val="bottom"/>
          </w:tcPr>
          <w:p>
            <w:pPr>
              <w:spacing w:after="0"/>
              <w:rPr>
                <w:sz w:val="1"/>
                <w:szCs w:val="1"/>
                <w:color w:val="auto"/>
              </w:rPr>
            </w:pPr>
          </w:p>
        </w:tc>
      </w:tr>
      <w:tr>
        <w:trPr>
          <w:trHeight w:val="180"/>
        </w:trPr>
        <w:tc>
          <w:tcPr>
            <w:tcW w:w="3960" w:type="dxa"/>
            <w:vAlign w:val="bottom"/>
          </w:tcPr>
          <w:p>
            <w:pPr>
              <w:ind w:left="160"/>
              <w:spacing w:after="0"/>
              <w:rPr>
                <w:sz w:val="20"/>
                <w:szCs w:val="20"/>
                <w:color w:val="auto"/>
              </w:rPr>
            </w:pPr>
            <w:r>
              <w:rPr>
                <w:rFonts w:ascii="Arial" w:cs="Arial" w:eastAsia="Arial" w:hAnsi="Arial"/>
                <w:sz w:val="14"/>
                <w:szCs w:val="14"/>
                <w:color w:val="auto"/>
              </w:rPr>
              <w:t>Pilgrim's Pride of Nevada, Inc.</w:t>
            </w:r>
          </w:p>
        </w:tc>
        <w:tc>
          <w:tcPr>
            <w:tcW w:w="7060" w:type="dxa"/>
            <w:vAlign w:val="bottom"/>
          </w:tcPr>
          <w:p>
            <w:pPr>
              <w:jc w:val="center"/>
              <w:ind w:left="5069"/>
              <w:spacing w:after="0"/>
              <w:rPr>
                <w:sz w:val="20"/>
                <w:szCs w:val="20"/>
                <w:color w:val="auto"/>
              </w:rPr>
            </w:pPr>
            <w:r>
              <w:rPr>
                <w:rFonts w:ascii="Arial" w:cs="Arial" w:eastAsia="Arial" w:hAnsi="Arial"/>
                <w:sz w:val="14"/>
                <w:szCs w:val="14"/>
                <w:color w:val="auto"/>
                <w:w w:val="91"/>
              </w:rPr>
              <w:t>Nevada</w:t>
            </w:r>
          </w:p>
        </w:tc>
        <w:tc>
          <w:tcPr>
            <w:tcW w:w="0" w:type="dxa"/>
            <w:vAlign w:val="bottom"/>
          </w:tcPr>
          <w:p>
            <w:pPr>
              <w:spacing w:after="0"/>
              <w:rPr>
                <w:sz w:val="1"/>
                <w:szCs w:val="1"/>
                <w:color w:val="auto"/>
              </w:rPr>
            </w:pPr>
          </w:p>
        </w:tc>
      </w:tr>
      <w:tr>
        <w:trPr>
          <w:trHeight w:val="180"/>
        </w:trPr>
        <w:tc>
          <w:tcPr>
            <w:tcW w:w="3960" w:type="dxa"/>
            <w:vAlign w:val="bottom"/>
          </w:tcPr>
          <w:p>
            <w:pPr>
              <w:ind w:left="160"/>
              <w:spacing w:after="0"/>
              <w:rPr>
                <w:sz w:val="20"/>
                <w:szCs w:val="20"/>
                <w:color w:val="auto"/>
              </w:rPr>
            </w:pPr>
            <w:r>
              <w:rPr>
                <w:rFonts w:ascii="Arial" w:cs="Arial" w:eastAsia="Arial" w:hAnsi="Arial"/>
                <w:sz w:val="14"/>
                <w:szCs w:val="14"/>
                <w:color w:val="auto"/>
              </w:rPr>
              <w:t>PPC Marketing, Ltd.</w:t>
            </w:r>
          </w:p>
        </w:tc>
        <w:tc>
          <w:tcPr>
            <w:tcW w:w="7060" w:type="dxa"/>
            <w:vAlign w:val="bottom"/>
          </w:tcPr>
          <w:p>
            <w:pPr>
              <w:jc w:val="center"/>
              <w:ind w:left="5069"/>
              <w:spacing w:after="0"/>
              <w:rPr>
                <w:sz w:val="20"/>
                <w:szCs w:val="20"/>
                <w:color w:val="auto"/>
              </w:rPr>
            </w:pPr>
            <w:r>
              <w:rPr>
                <w:rFonts w:ascii="Arial" w:cs="Arial" w:eastAsia="Arial" w:hAnsi="Arial"/>
                <w:sz w:val="14"/>
                <w:szCs w:val="14"/>
                <w:color w:val="auto"/>
                <w:w w:val="83"/>
              </w:rPr>
              <w:t>Texas</w:t>
            </w:r>
          </w:p>
        </w:tc>
        <w:tc>
          <w:tcPr>
            <w:tcW w:w="0" w:type="dxa"/>
            <w:vAlign w:val="bottom"/>
          </w:tcPr>
          <w:p>
            <w:pPr>
              <w:spacing w:after="0"/>
              <w:rPr>
                <w:sz w:val="1"/>
                <w:szCs w:val="1"/>
                <w:color w:val="auto"/>
              </w:rPr>
            </w:pPr>
          </w:p>
        </w:tc>
      </w:tr>
      <w:tr>
        <w:trPr>
          <w:trHeight w:val="180"/>
        </w:trPr>
        <w:tc>
          <w:tcPr>
            <w:tcW w:w="3960" w:type="dxa"/>
            <w:vAlign w:val="bottom"/>
          </w:tcPr>
          <w:p>
            <w:pPr>
              <w:ind w:left="160"/>
              <w:spacing w:after="0"/>
              <w:rPr>
                <w:sz w:val="20"/>
                <w:szCs w:val="20"/>
                <w:color w:val="auto"/>
              </w:rPr>
            </w:pPr>
            <w:r>
              <w:rPr>
                <w:rFonts w:ascii="Arial" w:cs="Arial" w:eastAsia="Arial" w:hAnsi="Arial"/>
                <w:sz w:val="14"/>
                <w:szCs w:val="14"/>
                <w:color w:val="auto"/>
              </w:rPr>
              <w:t>Pilgrim's Pride Corporation of West Virginia, Inc.</w:t>
            </w:r>
          </w:p>
        </w:tc>
        <w:tc>
          <w:tcPr>
            <w:tcW w:w="7060" w:type="dxa"/>
            <w:vAlign w:val="bottom"/>
          </w:tcPr>
          <w:p>
            <w:pPr>
              <w:jc w:val="center"/>
              <w:ind w:left="5089"/>
              <w:spacing w:after="0"/>
              <w:rPr>
                <w:sz w:val="20"/>
                <w:szCs w:val="20"/>
                <w:color w:val="auto"/>
              </w:rPr>
            </w:pPr>
            <w:r>
              <w:rPr>
                <w:rFonts w:ascii="Arial" w:cs="Arial" w:eastAsia="Arial" w:hAnsi="Arial"/>
                <w:sz w:val="14"/>
                <w:szCs w:val="14"/>
                <w:color w:val="auto"/>
                <w:w w:val="94"/>
              </w:rPr>
              <w:t>West Virginia</w:t>
            </w:r>
          </w:p>
        </w:tc>
        <w:tc>
          <w:tcPr>
            <w:tcW w:w="0" w:type="dxa"/>
            <w:vAlign w:val="bottom"/>
          </w:tcPr>
          <w:p>
            <w:pPr>
              <w:spacing w:after="0"/>
              <w:rPr>
                <w:sz w:val="1"/>
                <w:szCs w:val="1"/>
                <w:color w:val="auto"/>
              </w:rPr>
            </w:pPr>
          </w:p>
        </w:tc>
      </w:tr>
      <w:tr>
        <w:trPr>
          <w:trHeight w:val="435"/>
        </w:trPr>
        <w:tc>
          <w:tcPr>
            <w:tcW w:w="3960" w:type="dxa"/>
            <w:vAlign w:val="bottom"/>
          </w:tcPr>
          <w:p>
            <w:pPr>
              <w:spacing w:after="0"/>
              <w:rPr>
                <w:sz w:val="20"/>
                <w:szCs w:val="20"/>
                <w:color w:val="auto"/>
              </w:rPr>
            </w:pPr>
            <w:r>
              <w:rPr>
                <w:rFonts w:ascii="Arial" w:cs="Arial" w:eastAsia="Arial" w:hAnsi="Arial"/>
                <w:sz w:val="14"/>
                <w:szCs w:val="14"/>
                <w:b w:val="1"/>
                <w:bCs w:val="1"/>
                <w:color w:val="auto"/>
              </w:rPr>
              <w:t>Foreign Subsidiaries</w:t>
            </w:r>
          </w:p>
        </w:tc>
        <w:tc>
          <w:tcPr>
            <w:tcW w:w="7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3960" w:type="dxa"/>
            <w:vAlign w:val="bottom"/>
          </w:tcPr>
          <w:p>
            <w:pPr>
              <w:ind w:left="160"/>
              <w:spacing w:after="0"/>
              <w:rPr>
                <w:sz w:val="20"/>
                <w:szCs w:val="20"/>
                <w:color w:val="auto"/>
              </w:rPr>
            </w:pPr>
            <w:r>
              <w:rPr>
                <w:rFonts w:ascii="Arial" w:cs="Arial" w:eastAsia="Arial" w:hAnsi="Arial"/>
                <w:sz w:val="14"/>
                <w:szCs w:val="14"/>
                <w:color w:val="auto"/>
              </w:rPr>
              <w:t>To-Ricos Distribution, Ltd.</w:t>
            </w:r>
          </w:p>
        </w:tc>
        <w:tc>
          <w:tcPr>
            <w:tcW w:w="7060" w:type="dxa"/>
            <w:vAlign w:val="bottom"/>
          </w:tcPr>
          <w:p>
            <w:pPr>
              <w:jc w:val="center"/>
              <w:ind w:left="5069"/>
              <w:spacing w:after="0"/>
              <w:rPr>
                <w:sz w:val="20"/>
                <w:szCs w:val="20"/>
                <w:color w:val="auto"/>
              </w:rPr>
            </w:pPr>
            <w:r>
              <w:rPr>
                <w:rFonts w:ascii="Arial" w:cs="Arial" w:eastAsia="Arial" w:hAnsi="Arial"/>
                <w:sz w:val="14"/>
                <w:szCs w:val="14"/>
                <w:color w:val="auto"/>
                <w:w w:val="91"/>
              </w:rPr>
              <w:t>Bermuda</w:t>
            </w:r>
          </w:p>
        </w:tc>
        <w:tc>
          <w:tcPr>
            <w:tcW w:w="0" w:type="dxa"/>
            <w:vAlign w:val="bottom"/>
          </w:tcPr>
          <w:p>
            <w:pPr>
              <w:spacing w:after="0"/>
              <w:rPr>
                <w:sz w:val="1"/>
                <w:szCs w:val="1"/>
                <w:color w:val="auto"/>
              </w:rPr>
            </w:pPr>
          </w:p>
        </w:tc>
      </w:tr>
      <w:tr>
        <w:trPr>
          <w:trHeight w:val="180"/>
        </w:trPr>
        <w:tc>
          <w:tcPr>
            <w:tcW w:w="3960" w:type="dxa"/>
            <w:vAlign w:val="bottom"/>
          </w:tcPr>
          <w:p>
            <w:pPr>
              <w:ind w:left="160"/>
              <w:spacing w:after="0"/>
              <w:rPr>
                <w:sz w:val="20"/>
                <w:szCs w:val="20"/>
                <w:color w:val="auto"/>
              </w:rPr>
            </w:pPr>
            <w:r>
              <w:rPr>
                <w:rFonts w:ascii="Arial" w:cs="Arial" w:eastAsia="Arial" w:hAnsi="Arial"/>
                <w:sz w:val="14"/>
                <w:szCs w:val="14"/>
                <w:color w:val="auto"/>
              </w:rPr>
              <w:t>To-Ricos, Ltd.</w:t>
            </w:r>
          </w:p>
        </w:tc>
        <w:tc>
          <w:tcPr>
            <w:tcW w:w="7060" w:type="dxa"/>
            <w:vAlign w:val="bottom"/>
          </w:tcPr>
          <w:p>
            <w:pPr>
              <w:jc w:val="center"/>
              <w:ind w:left="5069"/>
              <w:spacing w:after="0"/>
              <w:rPr>
                <w:sz w:val="20"/>
                <w:szCs w:val="20"/>
                <w:color w:val="auto"/>
              </w:rPr>
            </w:pPr>
            <w:r>
              <w:rPr>
                <w:rFonts w:ascii="Arial" w:cs="Arial" w:eastAsia="Arial" w:hAnsi="Arial"/>
                <w:sz w:val="14"/>
                <w:szCs w:val="14"/>
                <w:color w:val="auto"/>
                <w:w w:val="91"/>
              </w:rPr>
              <w:t>Bermuda</w:t>
            </w:r>
          </w:p>
        </w:tc>
        <w:tc>
          <w:tcPr>
            <w:tcW w:w="0" w:type="dxa"/>
            <w:vAlign w:val="bottom"/>
          </w:tcPr>
          <w:p>
            <w:pPr>
              <w:spacing w:after="0"/>
              <w:rPr>
                <w:sz w:val="1"/>
                <w:szCs w:val="1"/>
                <w:color w:val="auto"/>
              </w:rPr>
            </w:pPr>
          </w:p>
        </w:tc>
      </w:tr>
      <w:tr>
        <w:trPr>
          <w:trHeight w:val="180"/>
        </w:trPr>
        <w:tc>
          <w:tcPr>
            <w:tcW w:w="3960" w:type="dxa"/>
            <w:vAlign w:val="bottom"/>
          </w:tcPr>
          <w:p>
            <w:pPr>
              <w:ind w:left="160"/>
              <w:spacing w:after="0"/>
              <w:rPr>
                <w:sz w:val="20"/>
                <w:szCs w:val="20"/>
                <w:color w:val="auto"/>
              </w:rPr>
            </w:pPr>
            <w:r>
              <w:rPr>
                <w:rFonts w:ascii="Arial" w:cs="Arial" w:eastAsia="Arial" w:hAnsi="Arial"/>
                <w:sz w:val="14"/>
                <w:szCs w:val="14"/>
                <w:color w:val="auto"/>
              </w:rPr>
              <w:t>Moy Park Beef Orléans Sàrl</w:t>
            </w:r>
          </w:p>
        </w:tc>
        <w:tc>
          <w:tcPr>
            <w:tcW w:w="7060" w:type="dxa"/>
            <w:vAlign w:val="bottom"/>
          </w:tcPr>
          <w:p>
            <w:pPr>
              <w:jc w:val="center"/>
              <w:ind w:left="5089"/>
              <w:spacing w:after="0"/>
              <w:rPr>
                <w:sz w:val="20"/>
                <w:szCs w:val="20"/>
                <w:color w:val="auto"/>
              </w:rPr>
            </w:pPr>
            <w:r>
              <w:rPr>
                <w:rFonts w:ascii="Arial" w:cs="Arial" w:eastAsia="Arial" w:hAnsi="Arial"/>
                <w:sz w:val="14"/>
                <w:szCs w:val="14"/>
                <w:color w:val="auto"/>
                <w:w w:val="87"/>
              </w:rPr>
              <w:t>France</w:t>
            </w:r>
          </w:p>
        </w:tc>
        <w:tc>
          <w:tcPr>
            <w:tcW w:w="0" w:type="dxa"/>
            <w:vAlign w:val="bottom"/>
          </w:tcPr>
          <w:p>
            <w:pPr>
              <w:spacing w:after="0"/>
              <w:rPr>
                <w:sz w:val="1"/>
                <w:szCs w:val="1"/>
                <w:color w:val="auto"/>
              </w:rPr>
            </w:pPr>
          </w:p>
        </w:tc>
      </w:tr>
      <w:tr>
        <w:trPr>
          <w:trHeight w:val="180"/>
        </w:trPr>
        <w:tc>
          <w:tcPr>
            <w:tcW w:w="3960" w:type="dxa"/>
            <w:vAlign w:val="bottom"/>
          </w:tcPr>
          <w:p>
            <w:pPr>
              <w:ind w:left="160"/>
              <w:spacing w:after="0"/>
              <w:rPr>
                <w:sz w:val="20"/>
                <w:szCs w:val="20"/>
                <w:color w:val="auto"/>
              </w:rPr>
            </w:pPr>
            <w:r>
              <w:rPr>
                <w:rFonts w:ascii="Arial" w:cs="Arial" w:eastAsia="Arial" w:hAnsi="Arial"/>
                <w:sz w:val="14"/>
                <w:szCs w:val="14"/>
                <w:color w:val="auto"/>
              </w:rPr>
              <w:t>Moy Park France Holdco Sàrl</w:t>
            </w:r>
          </w:p>
        </w:tc>
        <w:tc>
          <w:tcPr>
            <w:tcW w:w="7060" w:type="dxa"/>
            <w:vAlign w:val="bottom"/>
          </w:tcPr>
          <w:p>
            <w:pPr>
              <w:jc w:val="center"/>
              <w:ind w:left="5089"/>
              <w:spacing w:after="0"/>
              <w:rPr>
                <w:sz w:val="20"/>
                <w:szCs w:val="20"/>
                <w:color w:val="auto"/>
              </w:rPr>
            </w:pPr>
            <w:r>
              <w:rPr>
                <w:rFonts w:ascii="Arial" w:cs="Arial" w:eastAsia="Arial" w:hAnsi="Arial"/>
                <w:sz w:val="14"/>
                <w:szCs w:val="14"/>
                <w:color w:val="auto"/>
                <w:w w:val="87"/>
              </w:rPr>
              <w:t>France</w:t>
            </w:r>
          </w:p>
        </w:tc>
        <w:tc>
          <w:tcPr>
            <w:tcW w:w="0" w:type="dxa"/>
            <w:vAlign w:val="bottom"/>
          </w:tcPr>
          <w:p>
            <w:pPr>
              <w:spacing w:after="0"/>
              <w:rPr>
                <w:sz w:val="1"/>
                <w:szCs w:val="1"/>
                <w:color w:val="auto"/>
              </w:rPr>
            </w:pPr>
          </w:p>
        </w:tc>
      </w:tr>
      <w:tr>
        <w:trPr>
          <w:trHeight w:val="180"/>
        </w:trPr>
        <w:tc>
          <w:tcPr>
            <w:tcW w:w="3960" w:type="dxa"/>
            <w:vAlign w:val="bottom"/>
          </w:tcPr>
          <w:p>
            <w:pPr>
              <w:ind w:left="160"/>
              <w:spacing w:after="0"/>
              <w:rPr>
                <w:sz w:val="20"/>
                <w:szCs w:val="20"/>
                <w:color w:val="auto"/>
              </w:rPr>
            </w:pPr>
            <w:r>
              <w:rPr>
                <w:rFonts w:ascii="Arial" w:cs="Arial" w:eastAsia="Arial" w:hAnsi="Arial"/>
                <w:sz w:val="14"/>
                <w:szCs w:val="14"/>
                <w:color w:val="auto"/>
              </w:rPr>
              <w:t>Moy Park France Holdings SAS</w:t>
            </w:r>
          </w:p>
        </w:tc>
        <w:tc>
          <w:tcPr>
            <w:tcW w:w="7060" w:type="dxa"/>
            <w:vAlign w:val="bottom"/>
          </w:tcPr>
          <w:p>
            <w:pPr>
              <w:jc w:val="center"/>
              <w:ind w:left="5089"/>
              <w:spacing w:after="0"/>
              <w:rPr>
                <w:sz w:val="20"/>
                <w:szCs w:val="20"/>
                <w:color w:val="auto"/>
              </w:rPr>
            </w:pPr>
            <w:r>
              <w:rPr>
                <w:rFonts w:ascii="Arial" w:cs="Arial" w:eastAsia="Arial" w:hAnsi="Arial"/>
                <w:sz w:val="14"/>
                <w:szCs w:val="14"/>
                <w:color w:val="auto"/>
                <w:w w:val="87"/>
              </w:rPr>
              <w:t>France</w:t>
            </w:r>
          </w:p>
        </w:tc>
        <w:tc>
          <w:tcPr>
            <w:tcW w:w="0" w:type="dxa"/>
            <w:vAlign w:val="bottom"/>
          </w:tcPr>
          <w:p>
            <w:pPr>
              <w:spacing w:after="0"/>
              <w:rPr>
                <w:sz w:val="1"/>
                <w:szCs w:val="1"/>
                <w:color w:val="auto"/>
              </w:rPr>
            </w:pPr>
          </w:p>
        </w:tc>
      </w:tr>
      <w:tr>
        <w:trPr>
          <w:trHeight w:val="180"/>
        </w:trPr>
        <w:tc>
          <w:tcPr>
            <w:tcW w:w="3960" w:type="dxa"/>
            <w:vAlign w:val="bottom"/>
          </w:tcPr>
          <w:p>
            <w:pPr>
              <w:ind w:left="160"/>
              <w:spacing w:after="0"/>
              <w:rPr>
                <w:sz w:val="20"/>
                <w:szCs w:val="20"/>
                <w:color w:val="auto"/>
              </w:rPr>
            </w:pPr>
            <w:r>
              <w:rPr>
                <w:rFonts w:ascii="Arial" w:cs="Arial" w:eastAsia="Arial" w:hAnsi="Arial"/>
                <w:sz w:val="14"/>
                <w:szCs w:val="14"/>
                <w:color w:val="auto"/>
              </w:rPr>
              <w:t>Moy Park France SAS</w:t>
            </w:r>
          </w:p>
        </w:tc>
        <w:tc>
          <w:tcPr>
            <w:tcW w:w="7060" w:type="dxa"/>
            <w:vAlign w:val="bottom"/>
          </w:tcPr>
          <w:p>
            <w:pPr>
              <w:jc w:val="center"/>
              <w:ind w:left="5089"/>
              <w:spacing w:after="0"/>
              <w:rPr>
                <w:sz w:val="20"/>
                <w:szCs w:val="20"/>
                <w:color w:val="auto"/>
              </w:rPr>
            </w:pPr>
            <w:r>
              <w:rPr>
                <w:rFonts w:ascii="Arial" w:cs="Arial" w:eastAsia="Arial" w:hAnsi="Arial"/>
                <w:sz w:val="14"/>
                <w:szCs w:val="14"/>
                <w:color w:val="auto"/>
                <w:w w:val="87"/>
              </w:rPr>
              <w:t>France</w:t>
            </w:r>
          </w:p>
        </w:tc>
        <w:tc>
          <w:tcPr>
            <w:tcW w:w="0" w:type="dxa"/>
            <w:vAlign w:val="bottom"/>
          </w:tcPr>
          <w:p>
            <w:pPr>
              <w:spacing w:after="0"/>
              <w:rPr>
                <w:sz w:val="1"/>
                <w:szCs w:val="1"/>
                <w:color w:val="auto"/>
              </w:rPr>
            </w:pPr>
          </w:p>
        </w:tc>
      </w:tr>
      <w:tr>
        <w:trPr>
          <w:trHeight w:val="180"/>
        </w:trPr>
        <w:tc>
          <w:tcPr>
            <w:tcW w:w="3960" w:type="dxa"/>
            <w:vAlign w:val="bottom"/>
          </w:tcPr>
          <w:p>
            <w:pPr>
              <w:ind w:left="160"/>
              <w:spacing w:after="0"/>
              <w:rPr>
                <w:sz w:val="20"/>
                <w:szCs w:val="20"/>
                <w:color w:val="auto"/>
              </w:rPr>
            </w:pPr>
            <w:r>
              <w:rPr>
                <w:rFonts w:ascii="Arial" w:cs="Arial" w:eastAsia="Arial" w:hAnsi="Arial"/>
                <w:sz w:val="14"/>
                <w:szCs w:val="14"/>
                <w:color w:val="auto"/>
              </w:rPr>
              <w:t>Granite Holdings Sàrl</w:t>
            </w:r>
          </w:p>
        </w:tc>
        <w:tc>
          <w:tcPr>
            <w:tcW w:w="7060" w:type="dxa"/>
            <w:vAlign w:val="bottom"/>
          </w:tcPr>
          <w:p>
            <w:pPr>
              <w:jc w:val="center"/>
              <w:ind w:left="5069"/>
              <w:spacing w:after="0"/>
              <w:rPr>
                <w:sz w:val="20"/>
                <w:szCs w:val="20"/>
                <w:color w:val="auto"/>
              </w:rPr>
            </w:pPr>
            <w:r>
              <w:rPr>
                <w:rFonts w:ascii="Arial" w:cs="Arial" w:eastAsia="Arial" w:hAnsi="Arial"/>
                <w:sz w:val="14"/>
                <w:szCs w:val="14"/>
                <w:color w:val="auto"/>
                <w:w w:val="92"/>
              </w:rPr>
              <w:t>Luxembourg</w:t>
            </w:r>
          </w:p>
        </w:tc>
        <w:tc>
          <w:tcPr>
            <w:tcW w:w="0" w:type="dxa"/>
            <w:vAlign w:val="bottom"/>
          </w:tcPr>
          <w:p>
            <w:pPr>
              <w:spacing w:after="0"/>
              <w:rPr>
                <w:sz w:val="1"/>
                <w:szCs w:val="1"/>
                <w:color w:val="auto"/>
              </w:rPr>
            </w:pPr>
          </w:p>
        </w:tc>
      </w:tr>
      <w:tr>
        <w:trPr>
          <w:trHeight w:val="180"/>
        </w:trPr>
        <w:tc>
          <w:tcPr>
            <w:tcW w:w="3960" w:type="dxa"/>
            <w:vAlign w:val="bottom"/>
          </w:tcPr>
          <w:p>
            <w:pPr>
              <w:ind w:left="160"/>
              <w:spacing w:after="0"/>
              <w:rPr>
                <w:sz w:val="20"/>
                <w:szCs w:val="20"/>
                <w:color w:val="auto"/>
              </w:rPr>
            </w:pPr>
            <w:r>
              <w:rPr>
                <w:rFonts w:ascii="Arial" w:cs="Arial" w:eastAsia="Arial" w:hAnsi="Arial"/>
                <w:sz w:val="14"/>
                <w:szCs w:val="14"/>
                <w:color w:val="auto"/>
              </w:rPr>
              <w:t>Ivory Investments Luxembourg Sàrl</w:t>
            </w:r>
          </w:p>
        </w:tc>
        <w:tc>
          <w:tcPr>
            <w:tcW w:w="7060" w:type="dxa"/>
            <w:vAlign w:val="bottom"/>
          </w:tcPr>
          <w:p>
            <w:pPr>
              <w:jc w:val="center"/>
              <w:ind w:left="5069"/>
              <w:spacing w:after="0"/>
              <w:rPr>
                <w:sz w:val="20"/>
                <w:szCs w:val="20"/>
                <w:color w:val="auto"/>
              </w:rPr>
            </w:pPr>
            <w:r>
              <w:rPr>
                <w:rFonts w:ascii="Arial" w:cs="Arial" w:eastAsia="Arial" w:hAnsi="Arial"/>
                <w:sz w:val="14"/>
                <w:szCs w:val="14"/>
                <w:color w:val="auto"/>
                <w:w w:val="92"/>
              </w:rPr>
              <w:t>Luxembourg</w:t>
            </w:r>
          </w:p>
        </w:tc>
        <w:tc>
          <w:tcPr>
            <w:tcW w:w="0" w:type="dxa"/>
            <w:vAlign w:val="bottom"/>
          </w:tcPr>
          <w:p>
            <w:pPr>
              <w:spacing w:after="0"/>
              <w:rPr>
                <w:sz w:val="1"/>
                <w:szCs w:val="1"/>
                <w:color w:val="auto"/>
              </w:rPr>
            </w:pPr>
          </w:p>
        </w:tc>
      </w:tr>
      <w:tr>
        <w:trPr>
          <w:trHeight w:val="180"/>
        </w:trPr>
        <w:tc>
          <w:tcPr>
            <w:tcW w:w="3960" w:type="dxa"/>
            <w:vAlign w:val="bottom"/>
          </w:tcPr>
          <w:p>
            <w:pPr>
              <w:ind w:left="160"/>
              <w:spacing w:after="0"/>
              <w:rPr>
                <w:sz w:val="20"/>
                <w:szCs w:val="20"/>
                <w:color w:val="auto"/>
              </w:rPr>
            </w:pPr>
            <w:r>
              <w:rPr>
                <w:rFonts w:ascii="Arial" w:cs="Arial" w:eastAsia="Arial" w:hAnsi="Arial"/>
                <w:sz w:val="14"/>
                <w:szCs w:val="14"/>
                <w:color w:val="auto"/>
              </w:rPr>
              <w:t>Ivory Investments Luxembourg Holding SCS</w:t>
            </w:r>
          </w:p>
        </w:tc>
        <w:tc>
          <w:tcPr>
            <w:tcW w:w="7060" w:type="dxa"/>
            <w:vAlign w:val="bottom"/>
          </w:tcPr>
          <w:p>
            <w:pPr>
              <w:jc w:val="center"/>
              <w:ind w:left="5069"/>
              <w:spacing w:after="0"/>
              <w:rPr>
                <w:sz w:val="20"/>
                <w:szCs w:val="20"/>
                <w:color w:val="auto"/>
              </w:rPr>
            </w:pPr>
            <w:r>
              <w:rPr>
                <w:rFonts w:ascii="Arial" w:cs="Arial" w:eastAsia="Arial" w:hAnsi="Arial"/>
                <w:sz w:val="14"/>
                <w:szCs w:val="14"/>
                <w:color w:val="auto"/>
                <w:w w:val="92"/>
              </w:rPr>
              <w:t>Luxembourg</w:t>
            </w:r>
          </w:p>
        </w:tc>
        <w:tc>
          <w:tcPr>
            <w:tcW w:w="0" w:type="dxa"/>
            <w:vAlign w:val="bottom"/>
          </w:tcPr>
          <w:p>
            <w:pPr>
              <w:spacing w:after="0"/>
              <w:rPr>
                <w:sz w:val="1"/>
                <w:szCs w:val="1"/>
                <w:color w:val="auto"/>
              </w:rPr>
            </w:pPr>
          </w:p>
        </w:tc>
      </w:tr>
      <w:tr>
        <w:trPr>
          <w:trHeight w:val="180"/>
        </w:trPr>
        <w:tc>
          <w:tcPr>
            <w:tcW w:w="3960" w:type="dxa"/>
            <w:vAlign w:val="bottom"/>
          </w:tcPr>
          <w:p>
            <w:pPr>
              <w:ind w:left="160"/>
              <w:spacing w:after="0"/>
              <w:rPr>
                <w:sz w:val="20"/>
                <w:szCs w:val="20"/>
                <w:color w:val="auto"/>
              </w:rPr>
            </w:pPr>
            <w:r>
              <w:rPr>
                <w:rFonts w:ascii="Arial" w:cs="Arial" w:eastAsia="Arial" w:hAnsi="Arial"/>
                <w:sz w:val="14"/>
                <w:szCs w:val="14"/>
                <w:color w:val="auto"/>
              </w:rPr>
              <w:t>Sandstone Holdings Sàrl</w:t>
            </w:r>
          </w:p>
        </w:tc>
        <w:tc>
          <w:tcPr>
            <w:tcW w:w="7060" w:type="dxa"/>
            <w:vAlign w:val="bottom"/>
          </w:tcPr>
          <w:p>
            <w:pPr>
              <w:jc w:val="center"/>
              <w:ind w:left="5069"/>
              <w:spacing w:after="0"/>
              <w:rPr>
                <w:sz w:val="20"/>
                <w:szCs w:val="20"/>
                <w:color w:val="auto"/>
              </w:rPr>
            </w:pPr>
            <w:r>
              <w:rPr>
                <w:rFonts w:ascii="Arial" w:cs="Arial" w:eastAsia="Arial" w:hAnsi="Arial"/>
                <w:sz w:val="14"/>
                <w:szCs w:val="14"/>
                <w:color w:val="auto"/>
                <w:w w:val="92"/>
              </w:rPr>
              <w:t>Luxembourg</w:t>
            </w:r>
          </w:p>
        </w:tc>
        <w:tc>
          <w:tcPr>
            <w:tcW w:w="0" w:type="dxa"/>
            <w:vAlign w:val="bottom"/>
          </w:tcPr>
          <w:p>
            <w:pPr>
              <w:spacing w:after="0"/>
              <w:rPr>
                <w:sz w:val="1"/>
                <w:szCs w:val="1"/>
                <w:color w:val="auto"/>
              </w:rPr>
            </w:pPr>
          </w:p>
        </w:tc>
      </w:tr>
      <w:tr>
        <w:trPr>
          <w:trHeight w:val="180"/>
        </w:trPr>
        <w:tc>
          <w:tcPr>
            <w:tcW w:w="3960" w:type="dxa"/>
            <w:vAlign w:val="bottom"/>
          </w:tcPr>
          <w:p>
            <w:pPr>
              <w:ind w:left="160"/>
              <w:spacing w:after="0"/>
              <w:rPr>
                <w:sz w:val="20"/>
                <w:szCs w:val="20"/>
                <w:color w:val="auto"/>
              </w:rPr>
            </w:pPr>
            <w:r>
              <w:rPr>
                <w:rFonts w:ascii="Arial" w:cs="Arial" w:eastAsia="Arial" w:hAnsi="Arial"/>
                <w:sz w:val="14"/>
                <w:szCs w:val="14"/>
                <w:color w:val="auto"/>
              </w:rPr>
              <w:t>Pilgrim's Pride Malta Finance Limited</w:t>
            </w:r>
          </w:p>
        </w:tc>
        <w:tc>
          <w:tcPr>
            <w:tcW w:w="7060" w:type="dxa"/>
            <w:vAlign w:val="bottom"/>
          </w:tcPr>
          <w:p>
            <w:pPr>
              <w:jc w:val="center"/>
              <w:ind w:left="5089"/>
              <w:spacing w:after="0"/>
              <w:rPr>
                <w:sz w:val="20"/>
                <w:szCs w:val="20"/>
                <w:color w:val="auto"/>
              </w:rPr>
            </w:pPr>
            <w:r>
              <w:rPr>
                <w:rFonts w:ascii="Arial" w:cs="Arial" w:eastAsia="Arial" w:hAnsi="Arial"/>
                <w:sz w:val="14"/>
                <w:szCs w:val="14"/>
                <w:color w:val="auto"/>
                <w:w w:val="99"/>
              </w:rPr>
              <w:t>Malta</w:t>
            </w:r>
          </w:p>
        </w:tc>
        <w:tc>
          <w:tcPr>
            <w:tcW w:w="0" w:type="dxa"/>
            <w:vAlign w:val="bottom"/>
          </w:tcPr>
          <w:p>
            <w:pPr>
              <w:spacing w:after="0"/>
              <w:rPr>
                <w:sz w:val="1"/>
                <w:szCs w:val="1"/>
                <w:color w:val="auto"/>
              </w:rPr>
            </w:pPr>
          </w:p>
        </w:tc>
      </w:tr>
      <w:tr>
        <w:trPr>
          <w:trHeight w:val="180"/>
        </w:trPr>
        <w:tc>
          <w:tcPr>
            <w:tcW w:w="3960" w:type="dxa"/>
            <w:vAlign w:val="bottom"/>
          </w:tcPr>
          <w:p>
            <w:pPr>
              <w:ind w:left="160"/>
              <w:spacing w:after="0"/>
              <w:rPr>
                <w:sz w:val="20"/>
                <w:szCs w:val="20"/>
                <w:color w:val="auto"/>
              </w:rPr>
            </w:pPr>
            <w:r>
              <w:rPr>
                <w:rFonts w:ascii="Arial" w:cs="Arial" w:eastAsia="Arial" w:hAnsi="Arial"/>
                <w:sz w:val="14"/>
                <w:szCs w:val="14"/>
                <w:color w:val="auto"/>
              </w:rPr>
              <w:t>Avícola Pilgrim's Pride de Mexico, S. A. de C.V.</w:t>
            </w:r>
          </w:p>
        </w:tc>
        <w:tc>
          <w:tcPr>
            <w:tcW w:w="7060" w:type="dxa"/>
            <w:vAlign w:val="bottom"/>
          </w:tcPr>
          <w:p>
            <w:pPr>
              <w:jc w:val="center"/>
              <w:ind w:left="5069"/>
              <w:spacing w:after="0"/>
              <w:rPr>
                <w:sz w:val="20"/>
                <w:szCs w:val="20"/>
                <w:color w:val="auto"/>
              </w:rPr>
            </w:pPr>
            <w:r>
              <w:rPr>
                <w:rFonts w:ascii="Arial" w:cs="Arial" w:eastAsia="Arial" w:hAnsi="Arial"/>
                <w:sz w:val="14"/>
                <w:szCs w:val="14"/>
                <w:color w:val="auto"/>
                <w:w w:val="99"/>
              </w:rPr>
              <w:t>Mexico</w:t>
            </w:r>
          </w:p>
        </w:tc>
        <w:tc>
          <w:tcPr>
            <w:tcW w:w="0" w:type="dxa"/>
            <w:vAlign w:val="bottom"/>
          </w:tcPr>
          <w:p>
            <w:pPr>
              <w:spacing w:after="0"/>
              <w:rPr>
                <w:sz w:val="1"/>
                <w:szCs w:val="1"/>
                <w:color w:val="auto"/>
              </w:rPr>
            </w:pPr>
          </w:p>
        </w:tc>
      </w:tr>
      <w:tr>
        <w:trPr>
          <w:trHeight w:val="180"/>
        </w:trPr>
        <w:tc>
          <w:tcPr>
            <w:tcW w:w="3960" w:type="dxa"/>
            <w:vAlign w:val="bottom"/>
          </w:tcPr>
          <w:p>
            <w:pPr>
              <w:ind w:left="160"/>
              <w:spacing w:after="0"/>
              <w:rPr>
                <w:sz w:val="20"/>
                <w:szCs w:val="20"/>
                <w:color w:val="auto"/>
              </w:rPr>
            </w:pPr>
            <w:r>
              <w:rPr>
                <w:rFonts w:ascii="Arial" w:cs="Arial" w:eastAsia="Arial" w:hAnsi="Arial"/>
                <w:sz w:val="14"/>
                <w:szCs w:val="14"/>
                <w:color w:val="auto"/>
              </w:rPr>
              <w:t>Gallina Pesada S.A.P.I. de C.V.</w:t>
            </w:r>
          </w:p>
        </w:tc>
        <w:tc>
          <w:tcPr>
            <w:tcW w:w="7060" w:type="dxa"/>
            <w:vAlign w:val="bottom"/>
          </w:tcPr>
          <w:p>
            <w:pPr>
              <w:jc w:val="center"/>
              <w:ind w:left="5069"/>
              <w:spacing w:after="0"/>
              <w:rPr>
                <w:sz w:val="20"/>
                <w:szCs w:val="20"/>
                <w:color w:val="auto"/>
              </w:rPr>
            </w:pPr>
            <w:r>
              <w:rPr>
                <w:rFonts w:ascii="Arial" w:cs="Arial" w:eastAsia="Arial" w:hAnsi="Arial"/>
                <w:sz w:val="14"/>
                <w:szCs w:val="14"/>
                <w:color w:val="auto"/>
                <w:w w:val="99"/>
              </w:rPr>
              <w:t>Mexico</w:t>
            </w:r>
          </w:p>
        </w:tc>
        <w:tc>
          <w:tcPr>
            <w:tcW w:w="0" w:type="dxa"/>
            <w:vAlign w:val="bottom"/>
          </w:tcPr>
          <w:p>
            <w:pPr>
              <w:spacing w:after="0"/>
              <w:rPr>
                <w:sz w:val="1"/>
                <w:szCs w:val="1"/>
                <w:color w:val="auto"/>
              </w:rPr>
            </w:pPr>
          </w:p>
        </w:tc>
      </w:tr>
      <w:tr>
        <w:trPr>
          <w:trHeight w:val="180"/>
        </w:trPr>
        <w:tc>
          <w:tcPr>
            <w:tcW w:w="3960" w:type="dxa"/>
            <w:vAlign w:val="bottom"/>
          </w:tcPr>
          <w:p>
            <w:pPr>
              <w:ind w:left="160"/>
              <w:spacing w:after="0"/>
              <w:rPr>
                <w:sz w:val="20"/>
                <w:szCs w:val="20"/>
                <w:color w:val="auto"/>
              </w:rPr>
            </w:pPr>
            <w:r>
              <w:rPr>
                <w:rFonts w:ascii="Arial" w:cs="Arial" w:eastAsia="Arial" w:hAnsi="Arial"/>
                <w:sz w:val="14"/>
                <w:szCs w:val="14"/>
                <w:color w:val="auto"/>
              </w:rPr>
              <w:t>Pilgrim's Pride S. de R.L. de C.V.</w:t>
            </w:r>
          </w:p>
        </w:tc>
        <w:tc>
          <w:tcPr>
            <w:tcW w:w="7060" w:type="dxa"/>
            <w:vAlign w:val="bottom"/>
          </w:tcPr>
          <w:p>
            <w:pPr>
              <w:jc w:val="center"/>
              <w:ind w:left="5069"/>
              <w:spacing w:after="0"/>
              <w:rPr>
                <w:sz w:val="20"/>
                <w:szCs w:val="20"/>
                <w:color w:val="auto"/>
              </w:rPr>
            </w:pPr>
            <w:r>
              <w:rPr>
                <w:rFonts w:ascii="Arial" w:cs="Arial" w:eastAsia="Arial" w:hAnsi="Arial"/>
                <w:sz w:val="14"/>
                <w:szCs w:val="14"/>
                <w:color w:val="auto"/>
                <w:w w:val="99"/>
              </w:rPr>
              <w:t>Mexico</w:t>
            </w:r>
          </w:p>
        </w:tc>
        <w:tc>
          <w:tcPr>
            <w:tcW w:w="0" w:type="dxa"/>
            <w:vAlign w:val="bottom"/>
          </w:tcPr>
          <w:p>
            <w:pPr>
              <w:spacing w:after="0"/>
              <w:rPr>
                <w:sz w:val="1"/>
                <w:szCs w:val="1"/>
                <w:color w:val="auto"/>
              </w:rPr>
            </w:pPr>
          </w:p>
        </w:tc>
      </w:tr>
      <w:tr>
        <w:trPr>
          <w:trHeight w:val="180"/>
        </w:trPr>
        <w:tc>
          <w:tcPr>
            <w:tcW w:w="3960" w:type="dxa"/>
            <w:vAlign w:val="bottom"/>
          </w:tcPr>
          <w:p>
            <w:pPr>
              <w:ind w:left="160"/>
              <w:spacing w:after="0"/>
              <w:rPr>
                <w:sz w:val="20"/>
                <w:szCs w:val="20"/>
                <w:color w:val="auto"/>
              </w:rPr>
            </w:pPr>
            <w:r>
              <w:rPr>
                <w:rFonts w:ascii="Arial" w:cs="Arial" w:eastAsia="Arial" w:hAnsi="Arial"/>
                <w:sz w:val="14"/>
                <w:szCs w:val="14"/>
                <w:color w:val="auto"/>
              </w:rPr>
              <w:t>Servicios Administrativos Pilgrim's Pride S. de R.L. de C.V.</w:t>
            </w:r>
          </w:p>
        </w:tc>
        <w:tc>
          <w:tcPr>
            <w:tcW w:w="7060" w:type="dxa"/>
            <w:vAlign w:val="bottom"/>
          </w:tcPr>
          <w:p>
            <w:pPr>
              <w:jc w:val="center"/>
              <w:ind w:left="5069"/>
              <w:spacing w:after="0"/>
              <w:rPr>
                <w:sz w:val="20"/>
                <w:szCs w:val="20"/>
                <w:color w:val="auto"/>
              </w:rPr>
            </w:pPr>
            <w:r>
              <w:rPr>
                <w:rFonts w:ascii="Arial" w:cs="Arial" w:eastAsia="Arial" w:hAnsi="Arial"/>
                <w:sz w:val="14"/>
                <w:szCs w:val="14"/>
                <w:color w:val="auto"/>
                <w:w w:val="99"/>
              </w:rPr>
              <w:t>Mexico</w:t>
            </w:r>
          </w:p>
        </w:tc>
        <w:tc>
          <w:tcPr>
            <w:tcW w:w="0" w:type="dxa"/>
            <w:vAlign w:val="bottom"/>
          </w:tcPr>
          <w:p>
            <w:pPr>
              <w:spacing w:after="0"/>
              <w:rPr>
                <w:sz w:val="1"/>
                <w:szCs w:val="1"/>
                <w:color w:val="auto"/>
              </w:rPr>
            </w:pPr>
          </w:p>
        </w:tc>
      </w:tr>
      <w:tr>
        <w:trPr>
          <w:trHeight w:val="180"/>
        </w:trPr>
        <w:tc>
          <w:tcPr>
            <w:tcW w:w="3960" w:type="dxa"/>
            <w:vAlign w:val="bottom"/>
          </w:tcPr>
          <w:p>
            <w:pPr>
              <w:ind w:left="160"/>
              <w:spacing w:after="0"/>
              <w:rPr>
                <w:sz w:val="20"/>
                <w:szCs w:val="20"/>
                <w:color w:val="auto"/>
              </w:rPr>
            </w:pPr>
            <w:r>
              <w:rPr>
                <w:rFonts w:ascii="Arial" w:cs="Arial" w:eastAsia="Arial" w:hAnsi="Arial"/>
                <w:sz w:val="14"/>
                <w:szCs w:val="14"/>
                <w:color w:val="auto"/>
              </w:rPr>
              <w:t>Albert van Zoonen B.V.</w:t>
            </w:r>
          </w:p>
        </w:tc>
        <w:tc>
          <w:tcPr>
            <w:tcW w:w="7060" w:type="dxa"/>
            <w:vAlign w:val="bottom"/>
          </w:tcPr>
          <w:p>
            <w:pPr>
              <w:jc w:val="center"/>
              <w:ind w:left="5069"/>
              <w:spacing w:after="0"/>
              <w:rPr>
                <w:sz w:val="20"/>
                <w:szCs w:val="20"/>
                <w:color w:val="auto"/>
              </w:rPr>
            </w:pPr>
            <w:r>
              <w:rPr>
                <w:rFonts w:ascii="Arial" w:cs="Arial" w:eastAsia="Arial" w:hAnsi="Arial"/>
                <w:sz w:val="14"/>
                <w:szCs w:val="14"/>
                <w:color w:val="auto"/>
                <w:w w:val="90"/>
              </w:rPr>
              <w:t>Netherlands</w:t>
            </w:r>
          </w:p>
        </w:tc>
        <w:tc>
          <w:tcPr>
            <w:tcW w:w="0" w:type="dxa"/>
            <w:vAlign w:val="bottom"/>
          </w:tcPr>
          <w:p>
            <w:pPr>
              <w:spacing w:after="0"/>
              <w:rPr>
                <w:sz w:val="1"/>
                <w:szCs w:val="1"/>
                <w:color w:val="auto"/>
              </w:rPr>
            </w:pPr>
          </w:p>
        </w:tc>
      </w:tr>
      <w:tr>
        <w:trPr>
          <w:trHeight w:val="180"/>
        </w:trPr>
        <w:tc>
          <w:tcPr>
            <w:tcW w:w="3960" w:type="dxa"/>
            <w:vAlign w:val="bottom"/>
          </w:tcPr>
          <w:p>
            <w:pPr>
              <w:ind w:left="160"/>
              <w:spacing w:after="0"/>
              <w:rPr>
                <w:sz w:val="20"/>
                <w:szCs w:val="20"/>
                <w:color w:val="auto"/>
              </w:rPr>
            </w:pPr>
            <w:r>
              <w:rPr>
                <w:rFonts w:ascii="Arial" w:cs="Arial" w:eastAsia="Arial" w:hAnsi="Arial"/>
                <w:sz w:val="14"/>
                <w:szCs w:val="14"/>
                <w:color w:val="auto"/>
              </w:rPr>
              <w:t>Arkose Investments ULC</w:t>
            </w:r>
          </w:p>
        </w:tc>
        <w:tc>
          <w:tcPr>
            <w:tcW w:w="7060" w:type="dxa"/>
            <w:vAlign w:val="bottom"/>
          </w:tcPr>
          <w:p>
            <w:pPr>
              <w:jc w:val="center"/>
              <w:ind w:left="5089"/>
              <w:spacing w:after="0"/>
              <w:rPr>
                <w:sz w:val="20"/>
                <w:szCs w:val="20"/>
                <w:color w:val="auto"/>
              </w:rPr>
            </w:pPr>
            <w:r>
              <w:rPr>
                <w:rFonts w:ascii="Arial" w:cs="Arial" w:eastAsia="Arial" w:hAnsi="Arial"/>
                <w:sz w:val="14"/>
                <w:szCs w:val="14"/>
                <w:color w:val="auto"/>
                <w:w w:val="94"/>
              </w:rPr>
              <w:t>Republic of Ireland</w:t>
            </w:r>
          </w:p>
        </w:tc>
        <w:tc>
          <w:tcPr>
            <w:tcW w:w="0" w:type="dxa"/>
            <w:vAlign w:val="bottom"/>
          </w:tcPr>
          <w:p>
            <w:pPr>
              <w:spacing w:after="0"/>
              <w:rPr>
                <w:sz w:val="1"/>
                <w:szCs w:val="1"/>
                <w:color w:val="auto"/>
              </w:rPr>
            </w:pPr>
          </w:p>
        </w:tc>
      </w:tr>
      <w:tr>
        <w:trPr>
          <w:trHeight w:val="180"/>
        </w:trPr>
        <w:tc>
          <w:tcPr>
            <w:tcW w:w="3960" w:type="dxa"/>
            <w:vAlign w:val="bottom"/>
          </w:tcPr>
          <w:p>
            <w:pPr>
              <w:ind w:left="160"/>
              <w:spacing w:after="0"/>
              <w:rPr>
                <w:sz w:val="20"/>
                <w:szCs w:val="20"/>
                <w:color w:val="auto"/>
              </w:rPr>
            </w:pPr>
            <w:r>
              <w:rPr>
                <w:rFonts w:ascii="Arial" w:cs="Arial" w:eastAsia="Arial" w:hAnsi="Arial"/>
                <w:sz w:val="14"/>
                <w:szCs w:val="14"/>
                <w:color w:val="auto"/>
              </w:rPr>
              <w:t>Consumer Foods Van Sales (Ireland) Ltd.</w:t>
            </w:r>
          </w:p>
        </w:tc>
        <w:tc>
          <w:tcPr>
            <w:tcW w:w="7060" w:type="dxa"/>
            <w:vAlign w:val="bottom"/>
          </w:tcPr>
          <w:p>
            <w:pPr>
              <w:jc w:val="center"/>
              <w:ind w:left="5089"/>
              <w:spacing w:after="0"/>
              <w:rPr>
                <w:sz w:val="20"/>
                <w:szCs w:val="20"/>
                <w:color w:val="auto"/>
              </w:rPr>
            </w:pPr>
            <w:r>
              <w:rPr>
                <w:rFonts w:ascii="Arial" w:cs="Arial" w:eastAsia="Arial" w:hAnsi="Arial"/>
                <w:sz w:val="14"/>
                <w:szCs w:val="14"/>
                <w:color w:val="auto"/>
                <w:w w:val="94"/>
              </w:rPr>
              <w:t>Republic of Ireland</w:t>
            </w:r>
          </w:p>
        </w:tc>
        <w:tc>
          <w:tcPr>
            <w:tcW w:w="0" w:type="dxa"/>
            <w:vAlign w:val="bottom"/>
          </w:tcPr>
          <w:p>
            <w:pPr>
              <w:spacing w:after="0"/>
              <w:rPr>
                <w:sz w:val="1"/>
                <w:szCs w:val="1"/>
                <w:color w:val="auto"/>
              </w:rPr>
            </w:pPr>
          </w:p>
        </w:tc>
      </w:tr>
      <w:tr>
        <w:trPr>
          <w:trHeight w:val="180"/>
        </w:trPr>
        <w:tc>
          <w:tcPr>
            <w:tcW w:w="3960" w:type="dxa"/>
            <w:vAlign w:val="bottom"/>
          </w:tcPr>
          <w:p>
            <w:pPr>
              <w:ind w:left="160"/>
              <w:spacing w:after="0"/>
              <w:rPr>
                <w:sz w:val="20"/>
                <w:szCs w:val="20"/>
                <w:color w:val="auto"/>
              </w:rPr>
            </w:pPr>
            <w:r>
              <w:rPr>
                <w:rFonts w:ascii="Arial" w:cs="Arial" w:eastAsia="Arial" w:hAnsi="Arial"/>
                <w:sz w:val="14"/>
                <w:szCs w:val="14"/>
                <w:color w:val="auto"/>
              </w:rPr>
              <w:t>Duffy Meats Ltd.</w:t>
            </w:r>
          </w:p>
        </w:tc>
        <w:tc>
          <w:tcPr>
            <w:tcW w:w="7060" w:type="dxa"/>
            <w:vAlign w:val="bottom"/>
          </w:tcPr>
          <w:p>
            <w:pPr>
              <w:jc w:val="center"/>
              <w:ind w:left="5089"/>
              <w:spacing w:after="0"/>
              <w:rPr>
                <w:sz w:val="20"/>
                <w:szCs w:val="20"/>
                <w:color w:val="auto"/>
              </w:rPr>
            </w:pPr>
            <w:r>
              <w:rPr>
                <w:rFonts w:ascii="Arial" w:cs="Arial" w:eastAsia="Arial" w:hAnsi="Arial"/>
                <w:sz w:val="14"/>
                <w:szCs w:val="14"/>
                <w:color w:val="auto"/>
                <w:w w:val="94"/>
              </w:rPr>
              <w:t>Republic of Ireland</w:t>
            </w:r>
          </w:p>
        </w:tc>
        <w:tc>
          <w:tcPr>
            <w:tcW w:w="0" w:type="dxa"/>
            <w:vAlign w:val="bottom"/>
          </w:tcPr>
          <w:p>
            <w:pPr>
              <w:spacing w:after="0"/>
              <w:rPr>
                <w:sz w:val="1"/>
                <w:szCs w:val="1"/>
                <w:color w:val="auto"/>
              </w:rPr>
            </w:pPr>
          </w:p>
        </w:tc>
      </w:tr>
      <w:tr>
        <w:trPr>
          <w:trHeight w:val="180"/>
        </w:trPr>
        <w:tc>
          <w:tcPr>
            <w:tcW w:w="3960" w:type="dxa"/>
            <w:vAlign w:val="bottom"/>
          </w:tcPr>
          <w:p>
            <w:pPr>
              <w:ind w:left="160"/>
              <w:spacing w:after="0"/>
              <w:rPr>
                <w:sz w:val="20"/>
                <w:szCs w:val="20"/>
                <w:color w:val="auto"/>
              </w:rPr>
            </w:pPr>
            <w:r>
              <w:rPr>
                <w:rFonts w:ascii="Arial" w:cs="Arial" w:eastAsia="Arial" w:hAnsi="Arial"/>
                <w:sz w:val="14"/>
                <w:szCs w:val="14"/>
                <w:color w:val="auto"/>
              </w:rPr>
              <w:t>Rye Valley Foods Ltd.</w:t>
            </w:r>
          </w:p>
        </w:tc>
        <w:tc>
          <w:tcPr>
            <w:tcW w:w="7060" w:type="dxa"/>
            <w:vAlign w:val="bottom"/>
          </w:tcPr>
          <w:p>
            <w:pPr>
              <w:jc w:val="center"/>
              <w:ind w:left="5089"/>
              <w:spacing w:after="0"/>
              <w:rPr>
                <w:sz w:val="20"/>
                <w:szCs w:val="20"/>
                <w:color w:val="auto"/>
              </w:rPr>
            </w:pPr>
            <w:r>
              <w:rPr>
                <w:rFonts w:ascii="Arial" w:cs="Arial" w:eastAsia="Arial" w:hAnsi="Arial"/>
                <w:sz w:val="14"/>
                <w:szCs w:val="14"/>
                <w:color w:val="auto"/>
                <w:w w:val="94"/>
              </w:rPr>
              <w:t>Republic of Ireland</w:t>
            </w:r>
          </w:p>
        </w:tc>
        <w:tc>
          <w:tcPr>
            <w:tcW w:w="0" w:type="dxa"/>
            <w:vAlign w:val="bottom"/>
          </w:tcPr>
          <w:p>
            <w:pPr>
              <w:spacing w:after="0"/>
              <w:rPr>
                <w:sz w:val="1"/>
                <w:szCs w:val="1"/>
                <w:color w:val="auto"/>
              </w:rPr>
            </w:pPr>
          </w:p>
        </w:tc>
      </w:tr>
    </w:tbl>
    <w:p>
      <w:pPr>
        <w:sectPr>
          <w:pgSz w:w="11900" w:h="16838" w:orient="portrait"/>
          <w:cols w:equalWidth="0" w:num="1">
            <w:col w:w="11020"/>
          </w:cols>
          <w:pgMar w:left="420" w:top="729" w:right="459" w:bottom="1440" w:gutter="0" w:footer="0" w:header="0"/>
        </w:sectPr>
      </w:pPr>
    </w:p>
    <w:bookmarkStart w:id="112" w:name="page113"/>
    <w:bookmarkEnd w:id="112"/>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20" w:type="dxa"/>
            <w:vAlign w:val="bottom"/>
          </w:tcPr>
          <w:p>
            <w:pPr>
              <w:spacing w:after="0"/>
              <w:rPr>
                <w:sz w:val="14"/>
                <w:szCs w:val="14"/>
                <w:color w:val="auto"/>
              </w:rPr>
            </w:pPr>
          </w:p>
        </w:tc>
        <w:tc>
          <w:tcPr>
            <w:tcW w:w="7760" w:type="dxa"/>
            <w:vAlign w:val="bottom"/>
          </w:tcPr>
          <w:p>
            <w:pPr>
              <w:jc w:val="center"/>
              <w:ind w:right="3309"/>
              <w:spacing w:after="0"/>
              <w:rPr>
                <w:sz w:val="20"/>
                <w:szCs w:val="20"/>
                <w:color w:val="auto"/>
              </w:rPr>
            </w:pPr>
            <w:r>
              <w:rPr>
                <w:rFonts w:ascii="Arial" w:cs="Arial" w:eastAsia="Arial" w:hAnsi="Arial"/>
                <w:sz w:val="14"/>
                <w:szCs w:val="14"/>
                <w:b w:val="1"/>
                <w:bCs w:val="1"/>
                <w:color w:val="auto"/>
              </w:rPr>
              <w:t>EXHIBIT 21</w:t>
            </w:r>
          </w:p>
        </w:tc>
      </w:tr>
      <w:tr>
        <w:trPr>
          <w:trHeight w:val="170"/>
        </w:trPr>
        <w:tc>
          <w:tcPr>
            <w:tcW w:w="3420" w:type="dxa"/>
            <w:vAlign w:val="bottom"/>
          </w:tcPr>
          <w:p>
            <w:pPr>
              <w:spacing w:after="0"/>
              <w:rPr>
                <w:sz w:val="14"/>
                <w:szCs w:val="14"/>
                <w:color w:val="auto"/>
              </w:rPr>
            </w:pPr>
          </w:p>
        </w:tc>
        <w:tc>
          <w:tcPr>
            <w:tcW w:w="7760" w:type="dxa"/>
            <w:vAlign w:val="bottom"/>
          </w:tcPr>
          <w:p>
            <w:pPr>
              <w:jc w:val="center"/>
              <w:ind w:right="3329"/>
              <w:spacing w:after="0"/>
              <w:rPr>
                <w:sz w:val="20"/>
                <w:szCs w:val="20"/>
                <w:color w:val="auto"/>
              </w:rPr>
            </w:pPr>
            <w:r>
              <w:rPr>
                <w:rFonts w:ascii="Arial" w:cs="Arial" w:eastAsia="Arial" w:hAnsi="Arial"/>
                <w:sz w:val="14"/>
                <w:szCs w:val="14"/>
                <w:b w:val="1"/>
                <w:bCs w:val="1"/>
                <w:color w:val="auto"/>
              </w:rPr>
              <w:t>PILGRIM'S PRIDE CORPORATION</w:t>
            </w:r>
          </w:p>
        </w:tc>
      </w:tr>
      <w:tr>
        <w:trPr>
          <w:trHeight w:val="184"/>
        </w:trPr>
        <w:tc>
          <w:tcPr>
            <w:tcW w:w="3420" w:type="dxa"/>
            <w:vAlign w:val="bottom"/>
          </w:tcPr>
          <w:p>
            <w:pPr>
              <w:spacing w:after="0"/>
              <w:rPr>
                <w:sz w:val="16"/>
                <w:szCs w:val="16"/>
                <w:color w:val="auto"/>
              </w:rPr>
            </w:pPr>
          </w:p>
        </w:tc>
        <w:tc>
          <w:tcPr>
            <w:tcW w:w="7760" w:type="dxa"/>
            <w:vAlign w:val="bottom"/>
          </w:tcPr>
          <w:p>
            <w:pPr>
              <w:jc w:val="center"/>
              <w:ind w:right="3329"/>
              <w:spacing w:after="0"/>
              <w:rPr>
                <w:sz w:val="20"/>
                <w:szCs w:val="20"/>
                <w:color w:val="auto"/>
              </w:rPr>
            </w:pPr>
            <w:r>
              <w:rPr>
                <w:rFonts w:ascii="Arial" w:cs="Arial" w:eastAsia="Arial" w:hAnsi="Arial"/>
                <w:sz w:val="14"/>
                <w:szCs w:val="14"/>
                <w:b w:val="1"/>
                <w:bCs w:val="1"/>
                <w:color w:val="auto"/>
              </w:rPr>
              <w:t>SUBSIDIARIES OF REGISTRANT</w:t>
            </w:r>
          </w:p>
        </w:tc>
      </w:tr>
      <w:tr>
        <w:trPr>
          <w:trHeight w:val="234"/>
        </w:trPr>
        <w:tc>
          <w:tcPr>
            <w:tcW w:w="3420" w:type="dxa"/>
            <w:vAlign w:val="bottom"/>
          </w:tcPr>
          <w:p>
            <w:pPr>
              <w:spacing w:after="0"/>
              <w:rPr>
                <w:sz w:val="20"/>
                <w:szCs w:val="20"/>
                <w:color w:val="auto"/>
              </w:rPr>
            </w:pPr>
          </w:p>
        </w:tc>
        <w:tc>
          <w:tcPr>
            <w:tcW w:w="7760" w:type="dxa"/>
            <w:vAlign w:val="bottom"/>
          </w:tcPr>
          <w:p>
            <w:pPr>
              <w:jc w:val="center"/>
              <w:ind w:left="5769"/>
              <w:spacing w:after="0"/>
              <w:rPr>
                <w:sz w:val="20"/>
                <w:szCs w:val="20"/>
                <w:color w:val="auto"/>
              </w:rPr>
            </w:pPr>
            <w:r>
              <w:rPr>
                <w:rFonts w:ascii="Arial" w:cs="Arial" w:eastAsia="Arial" w:hAnsi="Arial"/>
                <w:sz w:val="14"/>
                <w:szCs w:val="14"/>
                <w:b w:val="1"/>
                <w:bCs w:val="1"/>
                <w:color w:val="auto"/>
                <w:w w:val="92"/>
              </w:rPr>
              <w:t>Jurisdiction of Incorporation or</w:t>
            </w:r>
          </w:p>
        </w:tc>
      </w:tr>
      <w:tr>
        <w:trPr>
          <w:trHeight w:val="184"/>
        </w:trPr>
        <w:tc>
          <w:tcPr>
            <w:tcW w:w="3420" w:type="dxa"/>
            <w:vAlign w:val="bottom"/>
          </w:tcPr>
          <w:p>
            <w:pPr>
              <w:spacing w:after="0"/>
              <w:rPr>
                <w:sz w:val="16"/>
                <w:szCs w:val="16"/>
                <w:color w:val="auto"/>
              </w:rPr>
            </w:pPr>
          </w:p>
        </w:tc>
        <w:tc>
          <w:tcPr>
            <w:tcW w:w="7760" w:type="dxa"/>
            <w:vAlign w:val="bottom"/>
          </w:tcPr>
          <w:p>
            <w:pPr>
              <w:jc w:val="center"/>
              <w:ind w:left="5769"/>
              <w:spacing w:after="0"/>
              <w:rPr>
                <w:sz w:val="20"/>
                <w:szCs w:val="20"/>
                <w:color w:val="auto"/>
              </w:rPr>
            </w:pPr>
            <w:r>
              <w:rPr>
                <w:rFonts w:ascii="Arial" w:cs="Arial" w:eastAsia="Arial" w:hAnsi="Arial"/>
                <w:sz w:val="14"/>
                <w:szCs w:val="14"/>
                <w:b w:val="1"/>
                <w:bCs w:val="1"/>
                <w:color w:val="auto"/>
                <w:w w:val="93"/>
              </w:rPr>
              <w:t>Organization</w:t>
            </w:r>
          </w:p>
        </w:tc>
      </w:tr>
      <w:tr>
        <w:trPr>
          <w:trHeight w:val="251"/>
        </w:trPr>
        <w:tc>
          <w:tcPr>
            <w:tcW w:w="3420" w:type="dxa"/>
            <w:vAlign w:val="bottom"/>
          </w:tcPr>
          <w:p>
            <w:pPr>
              <w:spacing w:after="0"/>
              <w:rPr>
                <w:sz w:val="20"/>
                <w:szCs w:val="20"/>
                <w:color w:val="auto"/>
              </w:rPr>
            </w:pPr>
            <w:r>
              <w:rPr>
                <w:rFonts w:ascii="Arial" w:cs="Arial" w:eastAsia="Arial" w:hAnsi="Arial"/>
                <w:sz w:val="14"/>
                <w:szCs w:val="14"/>
                <w:b w:val="1"/>
                <w:bCs w:val="1"/>
                <w:color w:val="auto"/>
              </w:rPr>
              <w:t>Foreign Subsidiaries (Continued)</w:t>
            </w:r>
          </w:p>
        </w:tc>
        <w:tc>
          <w:tcPr>
            <w:tcW w:w="7760" w:type="dxa"/>
            <w:vAlign w:val="bottom"/>
          </w:tcPr>
          <w:p>
            <w:pPr>
              <w:spacing w:after="0"/>
              <w:rPr>
                <w:sz w:val="21"/>
                <w:szCs w:val="21"/>
                <w:color w:val="auto"/>
              </w:rPr>
            </w:pPr>
          </w:p>
        </w:tc>
      </w:tr>
      <w:tr>
        <w:trPr>
          <w:trHeight w:val="180"/>
        </w:trPr>
        <w:tc>
          <w:tcPr>
            <w:tcW w:w="3420" w:type="dxa"/>
            <w:vAlign w:val="bottom"/>
          </w:tcPr>
          <w:p>
            <w:pPr>
              <w:ind w:left="260"/>
              <w:spacing w:after="0"/>
              <w:rPr>
                <w:sz w:val="20"/>
                <w:szCs w:val="20"/>
                <w:color w:val="auto"/>
              </w:rPr>
            </w:pPr>
            <w:r>
              <w:rPr>
                <w:rFonts w:ascii="Arial" w:cs="Arial" w:eastAsia="Arial" w:hAnsi="Arial"/>
                <w:sz w:val="14"/>
                <w:szCs w:val="14"/>
                <w:color w:val="auto"/>
              </w:rPr>
              <w:t>Attleborough Foods Ltd.</w:t>
            </w:r>
          </w:p>
        </w:tc>
        <w:tc>
          <w:tcPr>
            <w:tcW w:w="7760" w:type="dxa"/>
            <w:vAlign w:val="bottom"/>
          </w:tcPr>
          <w:p>
            <w:pPr>
              <w:jc w:val="center"/>
              <w:ind w:left="5769"/>
              <w:spacing w:after="0"/>
              <w:rPr>
                <w:sz w:val="20"/>
                <w:szCs w:val="20"/>
                <w:color w:val="auto"/>
              </w:rPr>
            </w:pPr>
            <w:r>
              <w:rPr>
                <w:rFonts w:ascii="Arial" w:cs="Arial" w:eastAsia="Arial" w:hAnsi="Arial"/>
                <w:sz w:val="14"/>
                <w:szCs w:val="14"/>
                <w:color w:val="auto"/>
                <w:w w:val="96"/>
              </w:rPr>
              <w:t>United Kingdom</w:t>
            </w:r>
          </w:p>
        </w:tc>
      </w:tr>
      <w:tr>
        <w:trPr>
          <w:trHeight w:val="180"/>
        </w:trPr>
        <w:tc>
          <w:tcPr>
            <w:tcW w:w="3420" w:type="dxa"/>
            <w:vAlign w:val="bottom"/>
          </w:tcPr>
          <w:p>
            <w:pPr>
              <w:ind w:left="260"/>
              <w:spacing w:after="0"/>
              <w:rPr>
                <w:sz w:val="20"/>
                <w:szCs w:val="20"/>
                <w:color w:val="auto"/>
              </w:rPr>
            </w:pPr>
            <w:r>
              <w:rPr>
                <w:rFonts w:ascii="Arial" w:cs="Arial" w:eastAsia="Arial" w:hAnsi="Arial"/>
                <w:sz w:val="14"/>
                <w:szCs w:val="14"/>
                <w:color w:val="auto"/>
              </w:rPr>
              <w:t>Bakewell Foods Ltd.</w:t>
            </w:r>
          </w:p>
        </w:tc>
        <w:tc>
          <w:tcPr>
            <w:tcW w:w="7760" w:type="dxa"/>
            <w:vAlign w:val="bottom"/>
          </w:tcPr>
          <w:p>
            <w:pPr>
              <w:jc w:val="center"/>
              <w:ind w:left="5769"/>
              <w:spacing w:after="0"/>
              <w:rPr>
                <w:sz w:val="20"/>
                <w:szCs w:val="20"/>
                <w:color w:val="auto"/>
              </w:rPr>
            </w:pPr>
            <w:r>
              <w:rPr>
                <w:rFonts w:ascii="Arial" w:cs="Arial" w:eastAsia="Arial" w:hAnsi="Arial"/>
                <w:sz w:val="14"/>
                <w:szCs w:val="14"/>
                <w:color w:val="auto"/>
                <w:w w:val="96"/>
              </w:rPr>
              <w:t>United Kingdom</w:t>
            </w:r>
          </w:p>
        </w:tc>
      </w:tr>
      <w:tr>
        <w:trPr>
          <w:trHeight w:val="180"/>
        </w:trPr>
        <w:tc>
          <w:tcPr>
            <w:tcW w:w="3420" w:type="dxa"/>
            <w:vAlign w:val="bottom"/>
          </w:tcPr>
          <w:p>
            <w:pPr>
              <w:ind w:left="260"/>
              <w:spacing w:after="0"/>
              <w:rPr>
                <w:sz w:val="20"/>
                <w:szCs w:val="20"/>
                <w:color w:val="auto"/>
              </w:rPr>
            </w:pPr>
            <w:r>
              <w:rPr>
                <w:rFonts w:ascii="Arial" w:cs="Arial" w:eastAsia="Arial" w:hAnsi="Arial"/>
                <w:sz w:val="14"/>
                <w:szCs w:val="14"/>
                <w:color w:val="auto"/>
              </w:rPr>
              <w:t>Consumer Foods Van Sales (UK) Ltd.</w:t>
            </w:r>
          </w:p>
        </w:tc>
        <w:tc>
          <w:tcPr>
            <w:tcW w:w="7760" w:type="dxa"/>
            <w:vAlign w:val="bottom"/>
          </w:tcPr>
          <w:p>
            <w:pPr>
              <w:jc w:val="center"/>
              <w:ind w:left="5769"/>
              <w:spacing w:after="0"/>
              <w:rPr>
                <w:sz w:val="20"/>
                <w:szCs w:val="20"/>
                <w:color w:val="auto"/>
              </w:rPr>
            </w:pPr>
            <w:r>
              <w:rPr>
                <w:rFonts w:ascii="Arial" w:cs="Arial" w:eastAsia="Arial" w:hAnsi="Arial"/>
                <w:sz w:val="14"/>
                <w:szCs w:val="14"/>
                <w:color w:val="auto"/>
                <w:w w:val="96"/>
              </w:rPr>
              <w:t>United Kingdom</w:t>
            </w:r>
          </w:p>
        </w:tc>
      </w:tr>
      <w:tr>
        <w:trPr>
          <w:trHeight w:val="180"/>
        </w:trPr>
        <w:tc>
          <w:tcPr>
            <w:tcW w:w="3420" w:type="dxa"/>
            <w:vAlign w:val="bottom"/>
          </w:tcPr>
          <w:p>
            <w:pPr>
              <w:ind w:left="260"/>
              <w:spacing w:after="0"/>
              <w:rPr>
                <w:sz w:val="20"/>
                <w:szCs w:val="20"/>
                <w:color w:val="auto"/>
              </w:rPr>
            </w:pPr>
            <w:r>
              <w:rPr>
                <w:rFonts w:ascii="Arial" w:cs="Arial" w:eastAsia="Arial" w:hAnsi="Arial"/>
                <w:sz w:val="14"/>
                <w:szCs w:val="14"/>
                <w:color w:val="auto"/>
              </w:rPr>
              <w:t>Dungannon Proteins Ltd.</w:t>
            </w:r>
          </w:p>
        </w:tc>
        <w:tc>
          <w:tcPr>
            <w:tcW w:w="7760" w:type="dxa"/>
            <w:vAlign w:val="bottom"/>
          </w:tcPr>
          <w:p>
            <w:pPr>
              <w:jc w:val="center"/>
              <w:ind w:left="5769"/>
              <w:spacing w:after="0"/>
              <w:rPr>
                <w:sz w:val="20"/>
                <w:szCs w:val="20"/>
                <w:color w:val="auto"/>
              </w:rPr>
            </w:pPr>
            <w:r>
              <w:rPr>
                <w:rFonts w:ascii="Arial" w:cs="Arial" w:eastAsia="Arial" w:hAnsi="Arial"/>
                <w:sz w:val="14"/>
                <w:szCs w:val="14"/>
                <w:color w:val="auto"/>
                <w:w w:val="96"/>
              </w:rPr>
              <w:t>United Kingdom</w:t>
            </w:r>
          </w:p>
        </w:tc>
      </w:tr>
      <w:tr>
        <w:trPr>
          <w:trHeight w:val="180"/>
        </w:trPr>
        <w:tc>
          <w:tcPr>
            <w:tcW w:w="3420" w:type="dxa"/>
            <w:vAlign w:val="bottom"/>
          </w:tcPr>
          <w:p>
            <w:pPr>
              <w:ind w:left="260"/>
              <w:spacing w:after="0"/>
              <w:rPr>
                <w:sz w:val="20"/>
                <w:szCs w:val="20"/>
                <w:color w:val="auto"/>
              </w:rPr>
            </w:pPr>
            <w:r>
              <w:rPr>
                <w:rFonts w:ascii="Arial" w:cs="Arial" w:eastAsia="Arial" w:hAnsi="Arial"/>
                <w:sz w:val="14"/>
                <w:szCs w:val="14"/>
                <w:color w:val="auto"/>
              </w:rPr>
              <w:t>Hamer International Ltd.</w:t>
            </w:r>
          </w:p>
        </w:tc>
        <w:tc>
          <w:tcPr>
            <w:tcW w:w="7760" w:type="dxa"/>
            <w:vAlign w:val="bottom"/>
          </w:tcPr>
          <w:p>
            <w:pPr>
              <w:jc w:val="center"/>
              <w:ind w:left="5769"/>
              <w:spacing w:after="0"/>
              <w:rPr>
                <w:sz w:val="20"/>
                <w:szCs w:val="20"/>
                <w:color w:val="auto"/>
              </w:rPr>
            </w:pPr>
            <w:r>
              <w:rPr>
                <w:rFonts w:ascii="Arial" w:cs="Arial" w:eastAsia="Arial" w:hAnsi="Arial"/>
                <w:sz w:val="14"/>
                <w:szCs w:val="14"/>
                <w:color w:val="auto"/>
                <w:w w:val="96"/>
              </w:rPr>
              <w:t>United Kingdom</w:t>
            </w:r>
          </w:p>
        </w:tc>
      </w:tr>
      <w:tr>
        <w:trPr>
          <w:trHeight w:val="180"/>
        </w:trPr>
        <w:tc>
          <w:tcPr>
            <w:tcW w:w="3420" w:type="dxa"/>
            <w:vAlign w:val="bottom"/>
          </w:tcPr>
          <w:p>
            <w:pPr>
              <w:ind w:left="260"/>
              <w:spacing w:after="0"/>
              <w:rPr>
                <w:sz w:val="20"/>
                <w:szCs w:val="20"/>
                <w:color w:val="auto"/>
              </w:rPr>
            </w:pPr>
            <w:r>
              <w:rPr>
                <w:rFonts w:ascii="Arial" w:cs="Arial" w:eastAsia="Arial" w:hAnsi="Arial"/>
                <w:sz w:val="14"/>
                <w:szCs w:val="14"/>
                <w:color w:val="auto"/>
              </w:rPr>
              <w:t>Kitchen Range Foods Ltd.</w:t>
            </w:r>
          </w:p>
        </w:tc>
        <w:tc>
          <w:tcPr>
            <w:tcW w:w="7760" w:type="dxa"/>
            <w:vAlign w:val="bottom"/>
          </w:tcPr>
          <w:p>
            <w:pPr>
              <w:jc w:val="center"/>
              <w:ind w:left="5769"/>
              <w:spacing w:after="0"/>
              <w:rPr>
                <w:sz w:val="20"/>
                <w:szCs w:val="20"/>
                <w:color w:val="auto"/>
              </w:rPr>
            </w:pPr>
            <w:r>
              <w:rPr>
                <w:rFonts w:ascii="Arial" w:cs="Arial" w:eastAsia="Arial" w:hAnsi="Arial"/>
                <w:sz w:val="14"/>
                <w:szCs w:val="14"/>
                <w:color w:val="auto"/>
                <w:w w:val="96"/>
              </w:rPr>
              <w:t>United Kingdom</w:t>
            </w:r>
          </w:p>
        </w:tc>
      </w:tr>
      <w:tr>
        <w:trPr>
          <w:trHeight w:val="180"/>
        </w:trPr>
        <w:tc>
          <w:tcPr>
            <w:tcW w:w="3420" w:type="dxa"/>
            <w:vAlign w:val="bottom"/>
          </w:tcPr>
          <w:p>
            <w:pPr>
              <w:ind w:left="260"/>
              <w:spacing w:after="0"/>
              <w:rPr>
                <w:sz w:val="20"/>
                <w:szCs w:val="20"/>
                <w:color w:val="auto"/>
              </w:rPr>
            </w:pPr>
            <w:r>
              <w:rPr>
                <w:rFonts w:ascii="Arial" w:cs="Arial" w:eastAsia="Arial" w:hAnsi="Arial"/>
                <w:sz w:val="14"/>
                <w:szCs w:val="14"/>
                <w:color w:val="auto"/>
              </w:rPr>
              <w:t>Moy Park (Bondco) Plc</w:t>
            </w:r>
          </w:p>
        </w:tc>
        <w:tc>
          <w:tcPr>
            <w:tcW w:w="7760" w:type="dxa"/>
            <w:vAlign w:val="bottom"/>
          </w:tcPr>
          <w:p>
            <w:pPr>
              <w:jc w:val="center"/>
              <w:ind w:left="5769"/>
              <w:spacing w:after="0"/>
              <w:rPr>
                <w:sz w:val="20"/>
                <w:szCs w:val="20"/>
                <w:color w:val="auto"/>
              </w:rPr>
            </w:pPr>
            <w:r>
              <w:rPr>
                <w:rFonts w:ascii="Arial" w:cs="Arial" w:eastAsia="Arial" w:hAnsi="Arial"/>
                <w:sz w:val="14"/>
                <w:szCs w:val="14"/>
                <w:color w:val="auto"/>
                <w:w w:val="96"/>
              </w:rPr>
              <w:t>United Kingdom</w:t>
            </w:r>
          </w:p>
        </w:tc>
      </w:tr>
      <w:tr>
        <w:trPr>
          <w:trHeight w:val="180"/>
        </w:trPr>
        <w:tc>
          <w:tcPr>
            <w:tcW w:w="3420" w:type="dxa"/>
            <w:vAlign w:val="bottom"/>
          </w:tcPr>
          <w:p>
            <w:pPr>
              <w:ind w:left="260"/>
              <w:spacing w:after="0"/>
              <w:rPr>
                <w:sz w:val="20"/>
                <w:szCs w:val="20"/>
                <w:color w:val="auto"/>
              </w:rPr>
            </w:pPr>
            <w:r>
              <w:rPr>
                <w:rFonts w:ascii="Arial" w:cs="Arial" w:eastAsia="Arial" w:hAnsi="Arial"/>
                <w:sz w:val="14"/>
                <w:szCs w:val="14"/>
                <w:color w:val="auto"/>
              </w:rPr>
              <w:t>Moy Park Holdings (Europe) Ltd.</w:t>
            </w:r>
          </w:p>
        </w:tc>
        <w:tc>
          <w:tcPr>
            <w:tcW w:w="7760" w:type="dxa"/>
            <w:vAlign w:val="bottom"/>
          </w:tcPr>
          <w:p>
            <w:pPr>
              <w:jc w:val="center"/>
              <w:ind w:left="5769"/>
              <w:spacing w:after="0"/>
              <w:rPr>
                <w:sz w:val="20"/>
                <w:szCs w:val="20"/>
                <w:color w:val="auto"/>
              </w:rPr>
            </w:pPr>
            <w:r>
              <w:rPr>
                <w:rFonts w:ascii="Arial" w:cs="Arial" w:eastAsia="Arial" w:hAnsi="Arial"/>
                <w:sz w:val="14"/>
                <w:szCs w:val="14"/>
                <w:color w:val="auto"/>
                <w:w w:val="96"/>
              </w:rPr>
              <w:t>United Kingdom</w:t>
            </w:r>
          </w:p>
        </w:tc>
      </w:tr>
      <w:tr>
        <w:trPr>
          <w:trHeight w:val="180"/>
        </w:trPr>
        <w:tc>
          <w:tcPr>
            <w:tcW w:w="3420" w:type="dxa"/>
            <w:vAlign w:val="bottom"/>
          </w:tcPr>
          <w:p>
            <w:pPr>
              <w:ind w:left="260"/>
              <w:spacing w:after="0"/>
              <w:rPr>
                <w:sz w:val="20"/>
                <w:szCs w:val="20"/>
                <w:color w:val="auto"/>
              </w:rPr>
            </w:pPr>
            <w:r>
              <w:rPr>
                <w:rFonts w:ascii="Arial" w:cs="Arial" w:eastAsia="Arial" w:hAnsi="Arial"/>
                <w:sz w:val="14"/>
                <w:szCs w:val="14"/>
                <w:color w:val="auto"/>
              </w:rPr>
              <w:t>Moy Park Ltd.</w:t>
            </w:r>
          </w:p>
        </w:tc>
        <w:tc>
          <w:tcPr>
            <w:tcW w:w="7760" w:type="dxa"/>
            <w:vAlign w:val="bottom"/>
          </w:tcPr>
          <w:p>
            <w:pPr>
              <w:jc w:val="center"/>
              <w:ind w:left="5769"/>
              <w:spacing w:after="0"/>
              <w:rPr>
                <w:sz w:val="20"/>
                <w:szCs w:val="20"/>
                <w:color w:val="auto"/>
              </w:rPr>
            </w:pPr>
            <w:r>
              <w:rPr>
                <w:rFonts w:ascii="Arial" w:cs="Arial" w:eastAsia="Arial" w:hAnsi="Arial"/>
                <w:sz w:val="14"/>
                <w:szCs w:val="14"/>
                <w:color w:val="auto"/>
                <w:w w:val="96"/>
              </w:rPr>
              <w:t>United Kingdom</w:t>
            </w:r>
          </w:p>
        </w:tc>
      </w:tr>
      <w:tr>
        <w:trPr>
          <w:trHeight w:val="180"/>
        </w:trPr>
        <w:tc>
          <w:tcPr>
            <w:tcW w:w="3420" w:type="dxa"/>
            <w:vAlign w:val="bottom"/>
          </w:tcPr>
          <w:p>
            <w:pPr>
              <w:ind w:left="260"/>
              <w:spacing w:after="0"/>
              <w:rPr>
                <w:sz w:val="20"/>
                <w:szCs w:val="20"/>
                <w:color w:val="auto"/>
              </w:rPr>
            </w:pPr>
            <w:r>
              <w:rPr>
                <w:rFonts w:ascii="Arial" w:cs="Arial" w:eastAsia="Arial" w:hAnsi="Arial"/>
                <w:sz w:val="14"/>
                <w:szCs w:val="14"/>
                <w:color w:val="auto"/>
              </w:rPr>
              <w:t>Moy Park Newco Ltd.</w:t>
            </w:r>
          </w:p>
        </w:tc>
        <w:tc>
          <w:tcPr>
            <w:tcW w:w="7760" w:type="dxa"/>
            <w:vAlign w:val="bottom"/>
          </w:tcPr>
          <w:p>
            <w:pPr>
              <w:jc w:val="center"/>
              <w:ind w:left="5769"/>
              <w:spacing w:after="0"/>
              <w:rPr>
                <w:sz w:val="20"/>
                <w:szCs w:val="20"/>
                <w:color w:val="auto"/>
              </w:rPr>
            </w:pPr>
            <w:r>
              <w:rPr>
                <w:rFonts w:ascii="Arial" w:cs="Arial" w:eastAsia="Arial" w:hAnsi="Arial"/>
                <w:sz w:val="14"/>
                <w:szCs w:val="14"/>
                <w:color w:val="auto"/>
                <w:w w:val="96"/>
              </w:rPr>
              <w:t>United Kingdom</w:t>
            </w:r>
          </w:p>
        </w:tc>
      </w:tr>
      <w:tr>
        <w:trPr>
          <w:trHeight w:val="180"/>
        </w:trPr>
        <w:tc>
          <w:tcPr>
            <w:tcW w:w="3420" w:type="dxa"/>
            <w:vAlign w:val="bottom"/>
          </w:tcPr>
          <w:p>
            <w:pPr>
              <w:ind w:left="260"/>
              <w:spacing w:after="0"/>
              <w:rPr>
                <w:sz w:val="20"/>
                <w:szCs w:val="20"/>
                <w:color w:val="auto"/>
              </w:rPr>
            </w:pPr>
            <w:r>
              <w:rPr>
                <w:rFonts w:ascii="Arial" w:cs="Arial" w:eastAsia="Arial" w:hAnsi="Arial"/>
                <w:sz w:val="14"/>
                <w:szCs w:val="14"/>
                <w:color w:val="auto"/>
              </w:rPr>
              <w:t>Noon Products Ltd.</w:t>
            </w:r>
          </w:p>
        </w:tc>
        <w:tc>
          <w:tcPr>
            <w:tcW w:w="7760" w:type="dxa"/>
            <w:vAlign w:val="bottom"/>
          </w:tcPr>
          <w:p>
            <w:pPr>
              <w:jc w:val="center"/>
              <w:ind w:left="5769"/>
              <w:spacing w:after="0"/>
              <w:rPr>
                <w:sz w:val="20"/>
                <w:szCs w:val="20"/>
                <w:color w:val="auto"/>
              </w:rPr>
            </w:pPr>
            <w:r>
              <w:rPr>
                <w:rFonts w:ascii="Arial" w:cs="Arial" w:eastAsia="Arial" w:hAnsi="Arial"/>
                <w:sz w:val="14"/>
                <w:szCs w:val="14"/>
                <w:color w:val="auto"/>
                <w:w w:val="96"/>
              </w:rPr>
              <w:t>United Kingdom</w:t>
            </w:r>
          </w:p>
        </w:tc>
      </w:tr>
      <w:tr>
        <w:trPr>
          <w:trHeight w:val="180"/>
        </w:trPr>
        <w:tc>
          <w:tcPr>
            <w:tcW w:w="3420" w:type="dxa"/>
            <w:vAlign w:val="bottom"/>
          </w:tcPr>
          <w:p>
            <w:pPr>
              <w:ind w:left="260"/>
              <w:spacing w:after="0"/>
              <w:rPr>
                <w:sz w:val="20"/>
                <w:szCs w:val="20"/>
                <w:color w:val="auto"/>
              </w:rPr>
            </w:pPr>
            <w:r>
              <w:rPr>
                <w:rFonts w:ascii="Arial" w:cs="Arial" w:eastAsia="Arial" w:hAnsi="Arial"/>
                <w:sz w:val="14"/>
                <w:szCs w:val="14"/>
                <w:color w:val="auto"/>
              </w:rPr>
              <w:t>Northfield Foods Ltd.</w:t>
            </w:r>
          </w:p>
        </w:tc>
        <w:tc>
          <w:tcPr>
            <w:tcW w:w="7760" w:type="dxa"/>
            <w:vAlign w:val="bottom"/>
          </w:tcPr>
          <w:p>
            <w:pPr>
              <w:jc w:val="center"/>
              <w:ind w:left="5769"/>
              <w:spacing w:after="0"/>
              <w:rPr>
                <w:sz w:val="20"/>
                <w:szCs w:val="20"/>
                <w:color w:val="auto"/>
              </w:rPr>
            </w:pPr>
            <w:r>
              <w:rPr>
                <w:rFonts w:ascii="Arial" w:cs="Arial" w:eastAsia="Arial" w:hAnsi="Arial"/>
                <w:sz w:val="14"/>
                <w:szCs w:val="14"/>
                <w:color w:val="auto"/>
                <w:w w:val="96"/>
              </w:rPr>
              <w:t>United Kingdom</w:t>
            </w:r>
          </w:p>
        </w:tc>
      </w:tr>
      <w:tr>
        <w:trPr>
          <w:trHeight w:val="180"/>
        </w:trPr>
        <w:tc>
          <w:tcPr>
            <w:tcW w:w="3420" w:type="dxa"/>
            <w:vAlign w:val="bottom"/>
          </w:tcPr>
          <w:p>
            <w:pPr>
              <w:ind w:left="260"/>
              <w:spacing w:after="0"/>
              <w:rPr>
                <w:sz w:val="20"/>
                <w:szCs w:val="20"/>
                <w:color w:val="auto"/>
              </w:rPr>
            </w:pPr>
            <w:r>
              <w:rPr>
                <w:rFonts w:ascii="Arial" w:cs="Arial" w:eastAsia="Arial" w:hAnsi="Arial"/>
                <w:sz w:val="14"/>
                <w:szCs w:val="14"/>
                <w:color w:val="auto"/>
              </w:rPr>
              <w:t>Oakhouse Foods Ltd.</w:t>
            </w:r>
          </w:p>
        </w:tc>
        <w:tc>
          <w:tcPr>
            <w:tcW w:w="7760" w:type="dxa"/>
            <w:vAlign w:val="bottom"/>
          </w:tcPr>
          <w:p>
            <w:pPr>
              <w:jc w:val="center"/>
              <w:ind w:left="5769"/>
              <w:spacing w:after="0"/>
              <w:rPr>
                <w:sz w:val="20"/>
                <w:szCs w:val="20"/>
                <w:color w:val="auto"/>
              </w:rPr>
            </w:pPr>
            <w:r>
              <w:rPr>
                <w:rFonts w:ascii="Arial" w:cs="Arial" w:eastAsia="Arial" w:hAnsi="Arial"/>
                <w:sz w:val="14"/>
                <w:szCs w:val="14"/>
                <w:color w:val="auto"/>
                <w:w w:val="96"/>
              </w:rPr>
              <w:t>United Kingdom</w:t>
            </w:r>
          </w:p>
        </w:tc>
      </w:tr>
      <w:tr>
        <w:trPr>
          <w:trHeight w:val="180"/>
        </w:trPr>
        <w:tc>
          <w:tcPr>
            <w:tcW w:w="3420" w:type="dxa"/>
            <w:vAlign w:val="bottom"/>
          </w:tcPr>
          <w:p>
            <w:pPr>
              <w:ind w:left="260"/>
              <w:spacing w:after="0"/>
              <w:rPr>
                <w:sz w:val="20"/>
                <w:szCs w:val="20"/>
                <w:color w:val="auto"/>
              </w:rPr>
            </w:pPr>
            <w:r>
              <w:rPr>
                <w:rFonts w:ascii="Arial" w:cs="Arial" w:eastAsia="Arial" w:hAnsi="Arial"/>
                <w:sz w:val="14"/>
                <w:szCs w:val="14"/>
                <w:color w:val="auto"/>
              </w:rPr>
              <w:t>O'Kane Blue Rose (Newco 1) Ltd.</w:t>
            </w:r>
          </w:p>
        </w:tc>
        <w:tc>
          <w:tcPr>
            <w:tcW w:w="7760" w:type="dxa"/>
            <w:vAlign w:val="bottom"/>
          </w:tcPr>
          <w:p>
            <w:pPr>
              <w:jc w:val="center"/>
              <w:ind w:left="5769"/>
              <w:spacing w:after="0"/>
              <w:rPr>
                <w:sz w:val="20"/>
                <w:szCs w:val="20"/>
                <w:color w:val="auto"/>
              </w:rPr>
            </w:pPr>
            <w:r>
              <w:rPr>
                <w:rFonts w:ascii="Arial" w:cs="Arial" w:eastAsia="Arial" w:hAnsi="Arial"/>
                <w:sz w:val="14"/>
                <w:szCs w:val="14"/>
                <w:color w:val="auto"/>
                <w:w w:val="96"/>
              </w:rPr>
              <w:t>United Kingdom</w:t>
            </w:r>
          </w:p>
        </w:tc>
      </w:tr>
      <w:tr>
        <w:trPr>
          <w:trHeight w:val="180"/>
        </w:trPr>
        <w:tc>
          <w:tcPr>
            <w:tcW w:w="3420" w:type="dxa"/>
            <w:vAlign w:val="bottom"/>
          </w:tcPr>
          <w:p>
            <w:pPr>
              <w:ind w:left="260"/>
              <w:spacing w:after="0"/>
              <w:rPr>
                <w:sz w:val="20"/>
                <w:szCs w:val="20"/>
                <w:color w:val="auto"/>
              </w:rPr>
            </w:pPr>
            <w:r>
              <w:rPr>
                <w:rFonts w:ascii="Arial" w:cs="Arial" w:eastAsia="Arial" w:hAnsi="Arial"/>
                <w:sz w:val="14"/>
                <w:szCs w:val="14"/>
                <w:color w:val="auto"/>
              </w:rPr>
              <w:t>O'Kane Poultry Ltd.</w:t>
            </w:r>
          </w:p>
        </w:tc>
        <w:tc>
          <w:tcPr>
            <w:tcW w:w="7760" w:type="dxa"/>
            <w:vAlign w:val="bottom"/>
          </w:tcPr>
          <w:p>
            <w:pPr>
              <w:jc w:val="center"/>
              <w:ind w:left="5769"/>
              <w:spacing w:after="0"/>
              <w:rPr>
                <w:sz w:val="20"/>
                <w:szCs w:val="20"/>
                <w:color w:val="auto"/>
              </w:rPr>
            </w:pPr>
            <w:r>
              <w:rPr>
                <w:rFonts w:ascii="Arial" w:cs="Arial" w:eastAsia="Arial" w:hAnsi="Arial"/>
                <w:sz w:val="14"/>
                <w:szCs w:val="14"/>
                <w:color w:val="auto"/>
                <w:w w:val="96"/>
              </w:rPr>
              <w:t>United Kingdom</w:t>
            </w:r>
          </w:p>
        </w:tc>
      </w:tr>
      <w:tr>
        <w:trPr>
          <w:trHeight w:val="180"/>
        </w:trPr>
        <w:tc>
          <w:tcPr>
            <w:tcW w:w="3420" w:type="dxa"/>
            <w:vAlign w:val="bottom"/>
          </w:tcPr>
          <w:p>
            <w:pPr>
              <w:ind w:left="260"/>
              <w:spacing w:after="0"/>
              <w:rPr>
                <w:sz w:val="20"/>
                <w:szCs w:val="20"/>
                <w:color w:val="auto"/>
              </w:rPr>
            </w:pPr>
            <w:r>
              <w:rPr>
                <w:rFonts w:ascii="Arial" w:cs="Arial" w:eastAsia="Arial" w:hAnsi="Arial"/>
                <w:sz w:val="14"/>
                <w:szCs w:val="14"/>
                <w:color w:val="auto"/>
              </w:rPr>
              <w:t>Onix Investments UK Ltd.</w:t>
            </w:r>
          </w:p>
        </w:tc>
        <w:tc>
          <w:tcPr>
            <w:tcW w:w="7760" w:type="dxa"/>
            <w:vAlign w:val="bottom"/>
          </w:tcPr>
          <w:p>
            <w:pPr>
              <w:jc w:val="center"/>
              <w:ind w:left="5769"/>
              <w:spacing w:after="0"/>
              <w:rPr>
                <w:sz w:val="20"/>
                <w:szCs w:val="20"/>
                <w:color w:val="auto"/>
              </w:rPr>
            </w:pPr>
            <w:r>
              <w:rPr>
                <w:rFonts w:ascii="Arial" w:cs="Arial" w:eastAsia="Arial" w:hAnsi="Arial"/>
                <w:sz w:val="14"/>
                <w:szCs w:val="14"/>
                <w:color w:val="auto"/>
                <w:w w:val="96"/>
              </w:rPr>
              <w:t>United Kingdom</w:t>
            </w:r>
          </w:p>
        </w:tc>
      </w:tr>
      <w:tr>
        <w:trPr>
          <w:trHeight w:val="180"/>
        </w:trPr>
        <w:tc>
          <w:tcPr>
            <w:tcW w:w="3420" w:type="dxa"/>
            <w:vAlign w:val="bottom"/>
          </w:tcPr>
          <w:p>
            <w:pPr>
              <w:ind w:left="260"/>
              <w:spacing w:after="0"/>
              <w:rPr>
                <w:sz w:val="20"/>
                <w:szCs w:val="20"/>
                <w:color w:val="auto"/>
              </w:rPr>
            </w:pPr>
            <w:r>
              <w:rPr>
                <w:rFonts w:ascii="Arial" w:cs="Arial" w:eastAsia="Arial" w:hAnsi="Arial"/>
                <w:sz w:val="14"/>
                <w:szCs w:val="14"/>
                <w:color w:val="auto"/>
              </w:rPr>
              <w:t>Pilgrim's Pride, Ltd.</w:t>
            </w:r>
          </w:p>
        </w:tc>
        <w:tc>
          <w:tcPr>
            <w:tcW w:w="7760" w:type="dxa"/>
            <w:vAlign w:val="bottom"/>
          </w:tcPr>
          <w:p>
            <w:pPr>
              <w:jc w:val="center"/>
              <w:ind w:left="5769"/>
              <w:spacing w:after="0"/>
              <w:rPr>
                <w:sz w:val="20"/>
                <w:szCs w:val="20"/>
                <w:color w:val="auto"/>
              </w:rPr>
            </w:pPr>
            <w:r>
              <w:rPr>
                <w:rFonts w:ascii="Arial" w:cs="Arial" w:eastAsia="Arial" w:hAnsi="Arial"/>
                <w:sz w:val="14"/>
                <w:szCs w:val="14"/>
                <w:color w:val="auto"/>
                <w:w w:val="96"/>
              </w:rPr>
              <w:t>United Kingdom</w:t>
            </w:r>
          </w:p>
        </w:tc>
      </w:tr>
      <w:tr>
        <w:trPr>
          <w:trHeight w:val="180"/>
        </w:trPr>
        <w:tc>
          <w:tcPr>
            <w:tcW w:w="3420" w:type="dxa"/>
            <w:vAlign w:val="bottom"/>
          </w:tcPr>
          <w:p>
            <w:pPr>
              <w:ind w:left="260"/>
              <w:spacing w:after="0"/>
              <w:rPr>
                <w:sz w:val="20"/>
                <w:szCs w:val="20"/>
                <w:color w:val="auto"/>
              </w:rPr>
            </w:pPr>
            <w:r>
              <w:rPr>
                <w:rFonts w:ascii="Arial" w:cs="Arial" w:eastAsia="Arial" w:hAnsi="Arial"/>
                <w:sz w:val="14"/>
                <w:szCs w:val="14"/>
                <w:color w:val="auto"/>
              </w:rPr>
              <w:t>Pilgrim's Food Masters Holdings Ltd.</w:t>
            </w:r>
          </w:p>
        </w:tc>
        <w:tc>
          <w:tcPr>
            <w:tcW w:w="7760" w:type="dxa"/>
            <w:vAlign w:val="bottom"/>
          </w:tcPr>
          <w:p>
            <w:pPr>
              <w:jc w:val="center"/>
              <w:ind w:left="5769"/>
              <w:spacing w:after="0"/>
              <w:rPr>
                <w:sz w:val="20"/>
                <w:szCs w:val="20"/>
                <w:color w:val="auto"/>
              </w:rPr>
            </w:pPr>
            <w:r>
              <w:rPr>
                <w:rFonts w:ascii="Arial" w:cs="Arial" w:eastAsia="Arial" w:hAnsi="Arial"/>
                <w:sz w:val="14"/>
                <w:szCs w:val="14"/>
                <w:color w:val="auto"/>
                <w:w w:val="96"/>
              </w:rPr>
              <w:t>United Kingdom</w:t>
            </w:r>
          </w:p>
        </w:tc>
      </w:tr>
      <w:tr>
        <w:trPr>
          <w:trHeight w:val="180"/>
        </w:trPr>
        <w:tc>
          <w:tcPr>
            <w:tcW w:w="3420" w:type="dxa"/>
            <w:vAlign w:val="bottom"/>
          </w:tcPr>
          <w:p>
            <w:pPr>
              <w:ind w:left="260"/>
              <w:spacing w:after="0"/>
              <w:rPr>
                <w:sz w:val="20"/>
                <w:szCs w:val="20"/>
                <w:color w:val="auto"/>
              </w:rPr>
            </w:pPr>
            <w:r>
              <w:rPr>
                <w:rFonts w:ascii="Arial" w:cs="Arial" w:eastAsia="Arial" w:hAnsi="Arial"/>
                <w:sz w:val="14"/>
                <w:szCs w:val="14"/>
                <w:color w:val="auto"/>
              </w:rPr>
              <w:t>Pioneer Brands Ltd.</w:t>
            </w:r>
          </w:p>
        </w:tc>
        <w:tc>
          <w:tcPr>
            <w:tcW w:w="7760" w:type="dxa"/>
            <w:vAlign w:val="bottom"/>
          </w:tcPr>
          <w:p>
            <w:pPr>
              <w:jc w:val="center"/>
              <w:ind w:left="5769"/>
              <w:spacing w:after="0"/>
              <w:rPr>
                <w:sz w:val="20"/>
                <w:szCs w:val="20"/>
                <w:color w:val="auto"/>
              </w:rPr>
            </w:pPr>
            <w:r>
              <w:rPr>
                <w:rFonts w:ascii="Arial" w:cs="Arial" w:eastAsia="Arial" w:hAnsi="Arial"/>
                <w:sz w:val="14"/>
                <w:szCs w:val="14"/>
                <w:color w:val="auto"/>
                <w:w w:val="96"/>
              </w:rPr>
              <w:t>United Kingdom</w:t>
            </w:r>
          </w:p>
        </w:tc>
      </w:tr>
      <w:tr>
        <w:trPr>
          <w:trHeight w:val="180"/>
        </w:trPr>
        <w:tc>
          <w:tcPr>
            <w:tcW w:w="3420" w:type="dxa"/>
            <w:vAlign w:val="bottom"/>
          </w:tcPr>
          <w:p>
            <w:pPr>
              <w:ind w:left="260"/>
              <w:spacing w:after="0"/>
              <w:rPr>
                <w:sz w:val="20"/>
                <w:szCs w:val="20"/>
                <w:color w:val="auto"/>
              </w:rPr>
            </w:pPr>
            <w:r>
              <w:rPr>
                <w:rFonts w:ascii="Arial" w:cs="Arial" w:eastAsia="Arial" w:hAnsi="Arial"/>
                <w:sz w:val="14"/>
                <w:szCs w:val="14"/>
                <w:color w:val="auto"/>
              </w:rPr>
              <w:t>Randall Parker Foods Ltd.</w:t>
            </w:r>
          </w:p>
        </w:tc>
        <w:tc>
          <w:tcPr>
            <w:tcW w:w="7760" w:type="dxa"/>
            <w:vAlign w:val="bottom"/>
          </w:tcPr>
          <w:p>
            <w:pPr>
              <w:jc w:val="center"/>
              <w:ind w:left="5769"/>
              <w:spacing w:after="0"/>
              <w:rPr>
                <w:sz w:val="20"/>
                <w:szCs w:val="20"/>
                <w:color w:val="auto"/>
              </w:rPr>
            </w:pPr>
            <w:r>
              <w:rPr>
                <w:rFonts w:ascii="Arial" w:cs="Arial" w:eastAsia="Arial" w:hAnsi="Arial"/>
                <w:sz w:val="14"/>
                <w:szCs w:val="14"/>
                <w:color w:val="auto"/>
                <w:w w:val="96"/>
              </w:rPr>
              <w:t>United Kingdom</w:t>
            </w:r>
          </w:p>
        </w:tc>
      </w:tr>
      <w:tr>
        <w:trPr>
          <w:trHeight w:val="180"/>
        </w:trPr>
        <w:tc>
          <w:tcPr>
            <w:tcW w:w="3420" w:type="dxa"/>
            <w:vAlign w:val="bottom"/>
          </w:tcPr>
          <w:p>
            <w:pPr>
              <w:ind w:left="260"/>
              <w:spacing w:after="0"/>
              <w:rPr>
                <w:sz w:val="20"/>
                <w:szCs w:val="20"/>
                <w:color w:val="auto"/>
              </w:rPr>
            </w:pPr>
            <w:r>
              <w:rPr>
                <w:rFonts w:ascii="Arial" w:cs="Arial" w:eastAsia="Arial" w:hAnsi="Arial"/>
                <w:sz w:val="14"/>
                <w:szCs w:val="14"/>
                <w:color w:val="auto"/>
              </w:rPr>
              <w:t>Rollover Ltd.</w:t>
            </w:r>
          </w:p>
        </w:tc>
        <w:tc>
          <w:tcPr>
            <w:tcW w:w="7760" w:type="dxa"/>
            <w:vAlign w:val="bottom"/>
          </w:tcPr>
          <w:p>
            <w:pPr>
              <w:jc w:val="center"/>
              <w:ind w:left="5769"/>
              <w:spacing w:after="0"/>
              <w:rPr>
                <w:sz w:val="20"/>
                <w:szCs w:val="20"/>
                <w:color w:val="auto"/>
              </w:rPr>
            </w:pPr>
            <w:r>
              <w:rPr>
                <w:rFonts w:ascii="Arial" w:cs="Arial" w:eastAsia="Arial" w:hAnsi="Arial"/>
                <w:sz w:val="14"/>
                <w:szCs w:val="14"/>
                <w:color w:val="auto"/>
                <w:w w:val="96"/>
              </w:rPr>
              <w:t>United Kingdom</w:t>
            </w:r>
          </w:p>
        </w:tc>
      </w:tr>
      <w:tr>
        <w:trPr>
          <w:trHeight w:val="180"/>
        </w:trPr>
        <w:tc>
          <w:tcPr>
            <w:tcW w:w="3420" w:type="dxa"/>
            <w:vAlign w:val="bottom"/>
          </w:tcPr>
          <w:p>
            <w:pPr>
              <w:ind w:left="260"/>
              <w:spacing w:after="0"/>
              <w:rPr>
                <w:sz w:val="20"/>
                <w:szCs w:val="20"/>
                <w:color w:val="auto"/>
              </w:rPr>
            </w:pPr>
            <w:r>
              <w:rPr>
                <w:rFonts w:ascii="Arial" w:cs="Arial" w:eastAsia="Arial" w:hAnsi="Arial"/>
                <w:sz w:val="14"/>
                <w:szCs w:val="14"/>
                <w:color w:val="auto"/>
              </w:rPr>
              <w:t>Spurway Foods Ltd.</w:t>
            </w:r>
          </w:p>
        </w:tc>
        <w:tc>
          <w:tcPr>
            <w:tcW w:w="7760" w:type="dxa"/>
            <w:vAlign w:val="bottom"/>
          </w:tcPr>
          <w:p>
            <w:pPr>
              <w:jc w:val="center"/>
              <w:ind w:left="5769"/>
              <w:spacing w:after="0"/>
              <w:rPr>
                <w:sz w:val="20"/>
                <w:szCs w:val="20"/>
                <w:color w:val="auto"/>
              </w:rPr>
            </w:pPr>
            <w:r>
              <w:rPr>
                <w:rFonts w:ascii="Arial" w:cs="Arial" w:eastAsia="Arial" w:hAnsi="Arial"/>
                <w:sz w:val="14"/>
                <w:szCs w:val="14"/>
                <w:color w:val="auto"/>
                <w:w w:val="96"/>
              </w:rPr>
              <w:t>United Kingdom</w:t>
            </w:r>
          </w:p>
        </w:tc>
      </w:tr>
      <w:tr>
        <w:trPr>
          <w:trHeight w:val="180"/>
        </w:trPr>
        <w:tc>
          <w:tcPr>
            <w:tcW w:w="3420" w:type="dxa"/>
            <w:vAlign w:val="bottom"/>
          </w:tcPr>
          <w:p>
            <w:pPr>
              <w:ind w:left="260"/>
              <w:spacing w:after="0"/>
              <w:rPr>
                <w:sz w:val="20"/>
                <w:szCs w:val="20"/>
                <w:color w:val="auto"/>
              </w:rPr>
            </w:pPr>
            <w:r>
              <w:rPr>
                <w:rFonts w:ascii="Arial" w:cs="Arial" w:eastAsia="Arial" w:hAnsi="Arial"/>
                <w:sz w:val="14"/>
                <w:szCs w:val="14"/>
                <w:color w:val="auto"/>
              </w:rPr>
              <w:t>W. &amp; J. Parker (Wholesale) Ltd.</w:t>
            </w:r>
          </w:p>
        </w:tc>
        <w:tc>
          <w:tcPr>
            <w:tcW w:w="7760" w:type="dxa"/>
            <w:vAlign w:val="bottom"/>
          </w:tcPr>
          <w:p>
            <w:pPr>
              <w:jc w:val="center"/>
              <w:ind w:left="5769"/>
              <w:spacing w:after="0"/>
              <w:rPr>
                <w:sz w:val="20"/>
                <w:szCs w:val="20"/>
                <w:color w:val="auto"/>
              </w:rPr>
            </w:pPr>
            <w:r>
              <w:rPr>
                <w:rFonts w:ascii="Arial" w:cs="Arial" w:eastAsia="Arial" w:hAnsi="Arial"/>
                <w:sz w:val="14"/>
                <w:szCs w:val="14"/>
                <w:color w:val="auto"/>
                <w:w w:val="96"/>
              </w:rPr>
              <w:t>United Kingdom</w:t>
            </w:r>
          </w:p>
        </w:tc>
      </w:tr>
    </w:tbl>
    <w:p>
      <w:pPr>
        <w:sectPr>
          <w:pgSz w:w="11900" w:h="16838" w:orient="portrait"/>
          <w:cols w:equalWidth="0" w:num="1">
            <w:col w:w="11180"/>
          </w:cols>
          <w:pgMar w:left="340" w:top="1440" w:right="379" w:bottom="1440" w:gutter="0" w:footer="0" w:header="0"/>
        </w:sectPr>
      </w:pPr>
    </w:p>
    <w:bookmarkStart w:id="113" w:name="page114"/>
    <w:bookmarkEnd w:id="113"/>
    <w:p>
      <w:pPr>
        <w:jc w:val="center"/>
        <w:ind w:right="-179"/>
        <w:spacing w:after="0"/>
        <w:rPr>
          <w:sz w:val="20"/>
          <w:szCs w:val="20"/>
          <w:color w:val="auto"/>
        </w:rPr>
      </w:pPr>
      <w:r>
        <w:rPr>
          <w:rFonts w:ascii="Arial" w:cs="Arial" w:eastAsia="Arial" w:hAnsi="Arial"/>
          <w:sz w:val="14"/>
          <w:szCs w:val="14"/>
          <w:b w:val="1"/>
          <w:bCs w:val="1"/>
          <w:color w:val="auto"/>
        </w:rPr>
        <w:t>EXHIBIT 23.1</w:t>
      </w:r>
    </w:p>
    <w:p>
      <w:pPr>
        <w:spacing w:after="0" w:line="23" w:lineRule="exact"/>
        <w:rPr>
          <w:sz w:val="20"/>
          <w:szCs w:val="20"/>
          <w:color w:val="auto"/>
        </w:rPr>
      </w:pPr>
    </w:p>
    <w:p>
      <w:pPr>
        <w:jc w:val="center"/>
        <w:ind w:right="-179"/>
        <w:spacing w:after="0"/>
        <w:rPr>
          <w:sz w:val="20"/>
          <w:szCs w:val="20"/>
          <w:color w:val="auto"/>
        </w:rPr>
      </w:pPr>
      <w:r>
        <w:rPr>
          <w:rFonts w:ascii="Arial" w:cs="Arial" w:eastAsia="Arial" w:hAnsi="Arial"/>
          <w:sz w:val="14"/>
          <w:szCs w:val="14"/>
          <w:b w:val="1"/>
          <w:bCs w:val="1"/>
          <w:color w:val="auto"/>
        </w:rPr>
        <w:t>CONSENT OF INDEPENDENT REGISTERED PUBLIC ACCOUNTING FIRM</w:t>
      </w:r>
    </w:p>
    <w:p>
      <w:pPr>
        <w:spacing w:after="0" w:line="253" w:lineRule="exact"/>
        <w:rPr>
          <w:sz w:val="20"/>
          <w:szCs w:val="20"/>
          <w:color w:val="auto"/>
        </w:rPr>
      </w:pPr>
    </w:p>
    <w:p>
      <w:pPr>
        <w:spacing w:after="0" w:line="321" w:lineRule="auto"/>
        <w:rPr>
          <w:sz w:val="20"/>
          <w:szCs w:val="20"/>
          <w:color w:val="auto"/>
        </w:rPr>
      </w:pPr>
      <w:r>
        <w:rPr>
          <w:rFonts w:ascii="Arial" w:cs="Arial" w:eastAsia="Arial" w:hAnsi="Arial"/>
          <w:sz w:val="13"/>
          <w:szCs w:val="13"/>
          <w:color w:val="auto"/>
        </w:rPr>
        <w:t>We consent to the incorporation by reference in the registration statements (Nos. 333-179563, 333-182586, and 333-237154) on Form S-8 of our report dated February 18, 2022, with respect to the consolidated financial statements and financial statement schedule II of Pilgrim’s Pride Corporation and the effectiveness of internal control over financial reporting.</w:t>
      </w:r>
    </w:p>
    <w:p>
      <w:pPr>
        <w:spacing w:after="0" w:line="67" w:lineRule="exact"/>
        <w:rPr>
          <w:sz w:val="20"/>
          <w:szCs w:val="20"/>
          <w:color w:val="auto"/>
        </w:rPr>
      </w:pPr>
    </w:p>
    <w:p>
      <w:pPr>
        <w:jc w:val="center"/>
        <w:ind w:right="-179"/>
        <w:spacing w:after="0"/>
        <w:rPr>
          <w:sz w:val="20"/>
          <w:szCs w:val="20"/>
          <w:color w:val="auto"/>
        </w:rPr>
      </w:pPr>
      <w:r>
        <w:rPr>
          <w:rFonts w:ascii="Arial" w:cs="Arial" w:eastAsia="Arial" w:hAnsi="Arial"/>
          <w:sz w:val="14"/>
          <w:szCs w:val="14"/>
          <w:color w:val="auto"/>
        </w:rPr>
        <w:t>/s/ KPMG LLP</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Denver, Colorado</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February 18, 2022</w:t>
      </w:r>
    </w:p>
    <w:p>
      <w:pPr>
        <w:sectPr>
          <w:pgSz w:w="11900" w:h="16838" w:orient="portrait"/>
          <w:cols w:equalWidth="0" w:num="1">
            <w:col w:w="11100"/>
          </w:cols>
          <w:pgMar w:left="300" w:top="729" w:right="499" w:bottom="1440" w:gutter="0" w:footer="0" w:header="0"/>
        </w:sectPr>
      </w:pPr>
    </w:p>
    <w:bookmarkStart w:id="114" w:name="page115"/>
    <w:bookmarkEnd w:id="114"/>
    <w:p>
      <w:pPr>
        <w:ind w:left="5200"/>
        <w:spacing w:after="0"/>
        <w:rPr>
          <w:sz w:val="20"/>
          <w:szCs w:val="20"/>
          <w:color w:val="auto"/>
        </w:rPr>
      </w:pPr>
      <w:r>
        <w:rPr>
          <w:rFonts w:ascii="Arial" w:cs="Arial" w:eastAsia="Arial" w:hAnsi="Arial"/>
          <w:sz w:val="14"/>
          <w:szCs w:val="14"/>
          <w:b w:val="1"/>
          <w:bCs w:val="1"/>
          <w:color w:val="auto"/>
        </w:rPr>
        <w:t>EXHIBIT 31.1</w:t>
      </w:r>
    </w:p>
    <w:p>
      <w:pPr>
        <w:spacing w:after="0" w:line="136" w:lineRule="exact"/>
        <w:rPr>
          <w:sz w:val="20"/>
          <w:szCs w:val="20"/>
          <w:color w:val="auto"/>
        </w:rPr>
      </w:pPr>
    </w:p>
    <w:p>
      <w:pPr>
        <w:ind w:left="3780"/>
        <w:spacing w:after="0"/>
        <w:rPr>
          <w:sz w:val="20"/>
          <w:szCs w:val="20"/>
          <w:color w:val="auto"/>
        </w:rPr>
      </w:pPr>
      <w:r>
        <w:rPr>
          <w:rFonts w:ascii="Arial" w:cs="Arial" w:eastAsia="Arial" w:hAnsi="Arial"/>
          <w:sz w:val="14"/>
          <w:szCs w:val="14"/>
          <w:b w:val="1"/>
          <w:bCs w:val="1"/>
          <w:color w:val="auto"/>
        </w:rPr>
        <w:t>CERTIFICATION BY PRINCIPAL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AS ADOPTED PURSUANT TO SECTION 302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OF THE SARBANES-OXLEY ACT OF 2002</w:t>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color w:val="auto"/>
        </w:rPr>
        <w:t>I, Fabio Sandri, certify that:</w:t>
      </w:r>
    </w:p>
    <w:p>
      <w:pPr>
        <w:spacing w:after="0" w:line="136" w:lineRule="exact"/>
        <w:rPr>
          <w:sz w:val="20"/>
          <w:szCs w:val="20"/>
          <w:color w:val="auto"/>
        </w:rPr>
      </w:pPr>
    </w:p>
    <w:p>
      <w:pPr>
        <w:ind w:left="260" w:hanging="255"/>
        <w:spacing w:after="0"/>
        <w:tabs>
          <w:tab w:leader="none" w:pos="260" w:val="left"/>
        </w:tabs>
        <w:numPr>
          <w:ilvl w:val="0"/>
          <w:numId w:val="49"/>
        </w:numPr>
        <w:rPr>
          <w:rFonts w:ascii="Arial" w:cs="Arial" w:eastAsia="Arial" w:hAnsi="Arial"/>
          <w:sz w:val="14"/>
          <w:szCs w:val="14"/>
          <w:color w:val="auto"/>
        </w:rPr>
      </w:pPr>
      <w:r>
        <w:rPr>
          <w:rFonts w:ascii="Arial" w:cs="Arial" w:eastAsia="Arial" w:hAnsi="Arial"/>
          <w:sz w:val="14"/>
          <w:szCs w:val="14"/>
          <w:color w:val="auto"/>
        </w:rPr>
        <w:t>I have reviewed this annual report on Form 10-K for the year ended December 26, 2021, of Pilgrim's Pride Corporation;</w:t>
      </w:r>
    </w:p>
    <w:p>
      <w:pPr>
        <w:spacing w:after="0" w:line="136" w:lineRule="exact"/>
        <w:rPr>
          <w:rFonts w:ascii="Arial" w:cs="Arial" w:eastAsia="Arial" w:hAnsi="Arial"/>
          <w:sz w:val="14"/>
          <w:szCs w:val="14"/>
          <w:color w:val="auto"/>
        </w:rPr>
      </w:pPr>
    </w:p>
    <w:p>
      <w:pPr>
        <w:ind w:left="260" w:hanging="255"/>
        <w:spacing w:after="0" w:line="281" w:lineRule="auto"/>
        <w:tabs>
          <w:tab w:leader="none" w:pos="260" w:val="left"/>
        </w:tabs>
        <w:numPr>
          <w:ilvl w:val="0"/>
          <w:numId w:val="49"/>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4"/>
          <w:szCs w:val="14"/>
          <w:color w:val="auto"/>
        </w:rPr>
      </w:pPr>
    </w:p>
    <w:p>
      <w:pPr>
        <w:ind w:left="260" w:hanging="255"/>
        <w:spacing w:after="0" w:line="281" w:lineRule="auto"/>
        <w:tabs>
          <w:tab w:leader="none" w:pos="260" w:val="left"/>
        </w:tabs>
        <w:numPr>
          <w:ilvl w:val="0"/>
          <w:numId w:val="49"/>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9" w:lineRule="exact"/>
        <w:rPr>
          <w:rFonts w:ascii="Arial" w:cs="Arial" w:eastAsia="Arial" w:hAnsi="Arial"/>
          <w:sz w:val="14"/>
          <w:szCs w:val="14"/>
          <w:color w:val="auto"/>
        </w:rPr>
      </w:pPr>
    </w:p>
    <w:p>
      <w:pPr>
        <w:ind w:left="260" w:hanging="255"/>
        <w:spacing w:after="0" w:line="281" w:lineRule="auto"/>
        <w:tabs>
          <w:tab w:leader="none" w:pos="26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9" w:lineRule="exact"/>
        <w:rPr>
          <w:rFonts w:ascii="Arial" w:cs="Arial" w:eastAsia="Arial" w:hAnsi="Arial"/>
          <w:sz w:val="14"/>
          <w:szCs w:val="14"/>
          <w:color w:val="auto"/>
        </w:rPr>
      </w:pPr>
    </w:p>
    <w:p>
      <w:pPr>
        <w:ind w:left="760" w:hanging="246"/>
        <w:spacing w:after="0" w:line="321" w:lineRule="auto"/>
        <w:tabs>
          <w:tab w:leader="none" w:pos="752" w:val="left"/>
        </w:tabs>
        <w:numPr>
          <w:ilvl w:val="1"/>
          <w:numId w:val="49"/>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6" w:lineRule="exact"/>
        <w:rPr>
          <w:rFonts w:ascii="Arial" w:cs="Arial" w:eastAsia="Arial" w:hAnsi="Arial"/>
          <w:sz w:val="13"/>
          <w:szCs w:val="13"/>
          <w:color w:val="auto"/>
        </w:rPr>
      </w:pPr>
    </w:p>
    <w:p>
      <w:pPr>
        <w:ind w:left="760" w:hanging="246"/>
        <w:spacing w:after="0" w:line="321" w:lineRule="auto"/>
        <w:tabs>
          <w:tab w:leader="none" w:pos="760" w:val="left"/>
        </w:tabs>
        <w:numPr>
          <w:ilvl w:val="1"/>
          <w:numId w:val="49"/>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6" w:lineRule="exact"/>
        <w:rPr>
          <w:rFonts w:ascii="Arial" w:cs="Arial" w:eastAsia="Arial" w:hAnsi="Arial"/>
          <w:sz w:val="13"/>
          <w:szCs w:val="13"/>
          <w:color w:val="auto"/>
        </w:rPr>
      </w:pPr>
    </w:p>
    <w:p>
      <w:pPr>
        <w:ind w:left="760" w:hanging="246"/>
        <w:spacing w:after="0" w:line="281" w:lineRule="auto"/>
        <w:tabs>
          <w:tab w:leader="none" w:pos="752" w:val="left"/>
        </w:tabs>
        <w:numPr>
          <w:ilvl w:val="1"/>
          <w:numId w:val="49"/>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9" w:lineRule="exact"/>
        <w:rPr>
          <w:rFonts w:ascii="Arial" w:cs="Arial" w:eastAsia="Arial" w:hAnsi="Arial"/>
          <w:sz w:val="14"/>
          <w:szCs w:val="14"/>
          <w:color w:val="auto"/>
        </w:rPr>
      </w:pPr>
    </w:p>
    <w:p>
      <w:pPr>
        <w:ind w:left="760" w:hanging="246"/>
        <w:spacing w:after="0" w:line="321" w:lineRule="auto"/>
        <w:tabs>
          <w:tab w:leader="none" w:pos="760" w:val="left"/>
        </w:tabs>
        <w:numPr>
          <w:ilvl w:val="1"/>
          <w:numId w:val="49"/>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6" w:lineRule="exact"/>
        <w:rPr>
          <w:rFonts w:ascii="Arial" w:cs="Arial" w:eastAsia="Arial" w:hAnsi="Arial"/>
          <w:sz w:val="13"/>
          <w:szCs w:val="13"/>
          <w:color w:val="auto"/>
        </w:rPr>
      </w:pPr>
    </w:p>
    <w:p>
      <w:pPr>
        <w:ind w:left="260" w:hanging="255"/>
        <w:spacing w:after="0" w:line="281" w:lineRule="auto"/>
        <w:tabs>
          <w:tab w:leader="none" w:pos="26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9" w:lineRule="exact"/>
        <w:rPr>
          <w:rFonts w:ascii="Arial" w:cs="Arial" w:eastAsia="Arial" w:hAnsi="Arial"/>
          <w:sz w:val="14"/>
          <w:szCs w:val="14"/>
          <w:color w:val="auto"/>
        </w:rPr>
      </w:pPr>
    </w:p>
    <w:p>
      <w:pPr>
        <w:ind w:left="760" w:hanging="246"/>
        <w:spacing w:after="0" w:line="281" w:lineRule="auto"/>
        <w:tabs>
          <w:tab w:leader="none" w:pos="752" w:val="left"/>
        </w:tabs>
        <w:numPr>
          <w:ilvl w:val="1"/>
          <w:numId w:val="49"/>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Arial" w:cs="Arial" w:eastAsia="Arial" w:hAnsi="Arial"/>
          <w:sz w:val="14"/>
          <w:szCs w:val="14"/>
          <w:color w:val="auto"/>
        </w:rPr>
      </w:pPr>
    </w:p>
    <w:p>
      <w:pPr>
        <w:ind w:left="760" w:hanging="246"/>
        <w:spacing w:after="0"/>
        <w:tabs>
          <w:tab w:leader="none" w:pos="760" w:val="left"/>
        </w:tabs>
        <w:numPr>
          <w:ilvl w:val="1"/>
          <w:numId w:val="49"/>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168"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5600" w:type="dxa"/>
            <w:vAlign w:val="bottom"/>
          </w:tcPr>
          <w:p>
            <w:pPr>
              <w:spacing w:after="0"/>
              <w:rPr>
                <w:sz w:val="20"/>
                <w:szCs w:val="20"/>
                <w:color w:val="auto"/>
              </w:rPr>
            </w:pPr>
            <w:r>
              <w:rPr>
                <w:rFonts w:ascii="Arial" w:cs="Arial" w:eastAsia="Arial" w:hAnsi="Arial"/>
                <w:sz w:val="14"/>
                <w:szCs w:val="14"/>
                <w:color w:val="auto"/>
              </w:rPr>
              <w:t>Date: February 18, 2022</w:t>
            </w:r>
          </w:p>
        </w:tc>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Fabio Sandri</w:t>
            </w:r>
          </w:p>
        </w:tc>
      </w:tr>
      <w:tr>
        <w:trPr>
          <w:trHeight w:val="171"/>
        </w:trPr>
        <w:tc>
          <w:tcPr>
            <w:tcW w:w="5600" w:type="dxa"/>
            <w:vAlign w:val="bottom"/>
          </w:tcPr>
          <w:p>
            <w:pPr>
              <w:spacing w:after="0"/>
              <w:rPr>
                <w:sz w:val="14"/>
                <w:szCs w:val="14"/>
                <w:color w:val="auto"/>
              </w:rPr>
            </w:pPr>
          </w:p>
        </w:tc>
        <w:tc>
          <w:tcPr>
            <w:tcW w:w="5620" w:type="dxa"/>
            <w:vAlign w:val="bottom"/>
          </w:tcPr>
          <w:p>
            <w:pPr>
              <w:ind w:left="20"/>
              <w:spacing w:after="0"/>
              <w:rPr>
                <w:sz w:val="20"/>
                <w:szCs w:val="20"/>
                <w:color w:val="auto"/>
              </w:rPr>
            </w:pPr>
            <w:r>
              <w:rPr>
                <w:rFonts w:ascii="Arial" w:cs="Arial" w:eastAsia="Arial" w:hAnsi="Arial"/>
                <w:sz w:val="14"/>
                <w:szCs w:val="14"/>
                <w:color w:val="auto"/>
              </w:rPr>
              <w:t>Fabio Sandri</w:t>
            </w:r>
          </w:p>
        </w:tc>
      </w:tr>
      <w:tr>
        <w:trPr>
          <w:trHeight w:val="180"/>
        </w:trPr>
        <w:tc>
          <w:tcPr>
            <w:tcW w:w="5600" w:type="dxa"/>
            <w:vAlign w:val="bottom"/>
          </w:tcPr>
          <w:p>
            <w:pPr>
              <w:spacing w:after="0"/>
              <w:rPr>
                <w:sz w:val="15"/>
                <w:szCs w:val="15"/>
                <w:color w:val="auto"/>
              </w:rPr>
            </w:pPr>
          </w:p>
        </w:tc>
        <w:tc>
          <w:tcPr>
            <w:tcW w:w="5620" w:type="dxa"/>
            <w:vAlign w:val="bottom"/>
          </w:tcPr>
          <w:p>
            <w:pPr>
              <w:ind w:left="20"/>
              <w:spacing w:after="0"/>
              <w:rPr>
                <w:sz w:val="20"/>
                <w:szCs w:val="20"/>
                <w:color w:val="auto"/>
              </w:rPr>
            </w:pPr>
            <w:r>
              <w:rPr>
                <w:rFonts w:ascii="Arial" w:cs="Arial" w:eastAsia="Arial" w:hAnsi="Arial"/>
                <w:sz w:val="14"/>
                <w:szCs w:val="14"/>
                <w:color w:val="auto"/>
              </w:rPr>
              <w:t>Principal Executive Officer</w:t>
            </w:r>
          </w:p>
        </w:tc>
      </w:tr>
    </w:tbl>
    <w:p>
      <w:pPr>
        <w:sectPr>
          <w:pgSz w:w="11900" w:h="16838" w:orient="portrait"/>
          <w:cols w:equalWidth="0" w:num="1">
            <w:col w:w="11280"/>
          </w:cols>
          <w:pgMar w:left="300" w:top="729" w:right="319" w:bottom="1440" w:gutter="0" w:footer="0" w:header="0"/>
        </w:sectPr>
      </w:pPr>
    </w:p>
    <w:bookmarkStart w:id="115" w:name="page116"/>
    <w:bookmarkEnd w:id="115"/>
    <w:p>
      <w:pPr>
        <w:ind w:left="5200"/>
        <w:spacing w:after="0"/>
        <w:rPr>
          <w:sz w:val="20"/>
          <w:szCs w:val="20"/>
          <w:color w:val="auto"/>
        </w:rPr>
      </w:pPr>
      <w:r>
        <w:rPr>
          <w:rFonts w:ascii="Arial" w:cs="Arial" w:eastAsia="Arial" w:hAnsi="Arial"/>
          <w:sz w:val="14"/>
          <w:szCs w:val="14"/>
          <w:b w:val="1"/>
          <w:bCs w:val="1"/>
          <w:color w:val="auto"/>
        </w:rPr>
        <w:t>EXHIBIT 31.2</w:t>
      </w:r>
    </w:p>
    <w:p>
      <w:pPr>
        <w:spacing w:after="0" w:line="136" w:lineRule="exact"/>
        <w:rPr>
          <w:sz w:val="20"/>
          <w:szCs w:val="20"/>
          <w:color w:val="auto"/>
        </w:rPr>
      </w:pPr>
    </w:p>
    <w:p>
      <w:pPr>
        <w:ind w:left="3780"/>
        <w:spacing w:after="0"/>
        <w:rPr>
          <w:sz w:val="20"/>
          <w:szCs w:val="20"/>
          <w:color w:val="auto"/>
        </w:rPr>
      </w:pPr>
      <w:r>
        <w:rPr>
          <w:rFonts w:ascii="Arial" w:cs="Arial" w:eastAsia="Arial" w:hAnsi="Arial"/>
          <w:sz w:val="14"/>
          <w:szCs w:val="14"/>
          <w:b w:val="1"/>
          <w:bCs w:val="1"/>
          <w:color w:val="auto"/>
        </w:rPr>
        <w:t>CERTIFICATION BY PRINCIPAL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AS ADOPTED PURSUANT TO SECTION 302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OF THE SARBANES-OXLEY ACT OF 2002</w:t>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color w:val="auto"/>
        </w:rPr>
        <w:t>I, Matthew Galvanoni, certify that:</w:t>
      </w:r>
    </w:p>
    <w:p>
      <w:pPr>
        <w:spacing w:after="0" w:line="136" w:lineRule="exact"/>
        <w:rPr>
          <w:sz w:val="20"/>
          <w:szCs w:val="20"/>
          <w:color w:val="auto"/>
        </w:rPr>
      </w:pPr>
    </w:p>
    <w:p>
      <w:pPr>
        <w:ind w:left="260" w:hanging="255"/>
        <w:spacing w:after="0"/>
        <w:tabs>
          <w:tab w:leader="none" w:pos="260" w:val="left"/>
        </w:tabs>
        <w:numPr>
          <w:ilvl w:val="0"/>
          <w:numId w:val="50"/>
        </w:numPr>
        <w:rPr>
          <w:rFonts w:ascii="Arial" w:cs="Arial" w:eastAsia="Arial" w:hAnsi="Arial"/>
          <w:sz w:val="14"/>
          <w:szCs w:val="14"/>
          <w:color w:val="auto"/>
        </w:rPr>
      </w:pPr>
      <w:r>
        <w:rPr>
          <w:rFonts w:ascii="Arial" w:cs="Arial" w:eastAsia="Arial" w:hAnsi="Arial"/>
          <w:sz w:val="14"/>
          <w:szCs w:val="14"/>
          <w:color w:val="auto"/>
        </w:rPr>
        <w:t>I have reviewed this annual report on Form 10-K for the year ended December 26, 2021, of Pilgrim's Pride Corporation;</w:t>
      </w:r>
    </w:p>
    <w:p>
      <w:pPr>
        <w:spacing w:after="0" w:line="136" w:lineRule="exact"/>
        <w:rPr>
          <w:rFonts w:ascii="Arial" w:cs="Arial" w:eastAsia="Arial" w:hAnsi="Arial"/>
          <w:sz w:val="14"/>
          <w:szCs w:val="14"/>
          <w:color w:val="auto"/>
        </w:rPr>
      </w:pPr>
    </w:p>
    <w:p>
      <w:pPr>
        <w:ind w:left="260" w:hanging="255"/>
        <w:spacing w:after="0" w:line="281" w:lineRule="auto"/>
        <w:tabs>
          <w:tab w:leader="none" w:pos="260" w:val="left"/>
        </w:tabs>
        <w:numPr>
          <w:ilvl w:val="0"/>
          <w:numId w:val="50"/>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4"/>
          <w:szCs w:val="14"/>
          <w:color w:val="auto"/>
        </w:rPr>
      </w:pPr>
    </w:p>
    <w:p>
      <w:pPr>
        <w:ind w:left="260" w:hanging="255"/>
        <w:spacing w:after="0" w:line="281" w:lineRule="auto"/>
        <w:tabs>
          <w:tab w:leader="none" w:pos="260" w:val="left"/>
        </w:tabs>
        <w:numPr>
          <w:ilvl w:val="0"/>
          <w:numId w:val="50"/>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9" w:lineRule="exact"/>
        <w:rPr>
          <w:rFonts w:ascii="Arial" w:cs="Arial" w:eastAsia="Arial" w:hAnsi="Arial"/>
          <w:sz w:val="14"/>
          <w:szCs w:val="14"/>
          <w:color w:val="auto"/>
        </w:rPr>
      </w:pPr>
    </w:p>
    <w:p>
      <w:pPr>
        <w:ind w:left="260" w:hanging="255"/>
        <w:spacing w:after="0" w:line="281" w:lineRule="auto"/>
        <w:tabs>
          <w:tab w:leader="none" w:pos="260"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9" w:lineRule="exact"/>
        <w:rPr>
          <w:rFonts w:ascii="Arial" w:cs="Arial" w:eastAsia="Arial" w:hAnsi="Arial"/>
          <w:sz w:val="14"/>
          <w:szCs w:val="14"/>
          <w:color w:val="auto"/>
        </w:rPr>
      </w:pPr>
    </w:p>
    <w:p>
      <w:pPr>
        <w:ind w:left="760" w:hanging="246"/>
        <w:spacing w:after="0" w:line="321" w:lineRule="auto"/>
        <w:tabs>
          <w:tab w:leader="none" w:pos="752" w:val="left"/>
        </w:tabs>
        <w:numPr>
          <w:ilvl w:val="1"/>
          <w:numId w:val="50"/>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6" w:lineRule="exact"/>
        <w:rPr>
          <w:rFonts w:ascii="Arial" w:cs="Arial" w:eastAsia="Arial" w:hAnsi="Arial"/>
          <w:sz w:val="13"/>
          <w:szCs w:val="13"/>
          <w:color w:val="auto"/>
        </w:rPr>
      </w:pPr>
    </w:p>
    <w:p>
      <w:pPr>
        <w:ind w:left="760" w:hanging="246"/>
        <w:spacing w:after="0" w:line="321" w:lineRule="auto"/>
        <w:tabs>
          <w:tab w:leader="none" w:pos="760" w:val="left"/>
        </w:tabs>
        <w:numPr>
          <w:ilvl w:val="1"/>
          <w:numId w:val="50"/>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6" w:lineRule="exact"/>
        <w:rPr>
          <w:rFonts w:ascii="Arial" w:cs="Arial" w:eastAsia="Arial" w:hAnsi="Arial"/>
          <w:sz w:val="13"/>
          <w:szCs w:val="13"/>
          <w:color w:val="auto"/>
        </w:rPr>
      </w:pPr>
    </w:p>
    <w:p>
      <w:pPr>
        <w:ind w:left="760" w:hanging="246"/>
        <w:spacing w:after="0" w:line="281" w:lineRule="auto"/>
        <w:tabs>
          <w:tab w:leader="none" w:pos="752" w:val="left"/>
        </w:tabs>
        <w:numPr>
          <w:ilvl w:val="1"/>
          <w:numId w:val="50"/>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9" w:lineRule="exact"/>
        <w:rPr>
          <w:rFonts w:ascii="Arial" w:cs="Arial" w:eastAsia="Arial" w:hAnsi="Arial"/>
          <w:sz w:val="14"/>
          <w:szCs w:val="14"/>
          <w:color w:val="auto"/>
        </w:rPr>
      </w:pPr>
    </w:p>
    <w:p>
      <w:pPr>
        <w:ind w:left="760" w:hanging="246"/>
        <w:spacing w:after="0" w:line="321" w:lineRule="auto"/>
        <w:tabs>
          <w:tab w:leader="none" w:pos="760" w:val="left"/>
        </w:tabs>
        <w:numPr>
          <w:ilvl w:val="1"/>
          <w:numId w:val="50"/>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6" w:lineRule="exact"/>
        <w:rPr>
          <w:rFonts w:ascii="Arial" w:cs="Arial" w:eastAsia="Arial" w:hAnsi="Arial"/>
          <w:sz w:val="13"/>
          <w:szCs w:val="13"/>
          <w:color w:val="auto"/>
        </w:rPr>
      </w:pPr>
    </w:p>
    <w:p>
      <w:pPr>
        <w:ind w:left="260" w:hanging="255"/>
        <w:spacing w:after="0" w:line="281" w:lineRule="auto"/>
        <w:tabs>
          <w:tab w:leader="none" w:pos="260"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9" w:lineRule="exact"/>
        <w:rPr>
          <w:rFonts w:ascii="Arial" w:cs="Arial" w:eastAsia="Arial" w:hAnsi="Arial"/>
          <w:sz w:val="14"/>
          <w:szCs w:val="14"/>
          <w:color w:val="auto"/>
        </w:rPr>
      </w:pPr>
    </w:p>
    <w:p>
      <w:pPr>
        <w:ind w:left="760" w:hanging="246"/>
        <w:spacing w:after="0" w:line="281" w:lineRule="auto"/>
        <w:tabs>
          <w:tab w:leader="none" w:pos="752" w:val="left"/>
        </w:tabs>
        <w:numPr>
          <w:ilvl w:val="1"/>
          <w:numId w:val="50"/>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Arial" w:cs="Arial" w:eastAsia="Arial" w:hAnsi="Arial"/>
          <w:sz w:val="14"/>
          <w:szCs w:val="14"/>
          <w:color w:val="auto"/>
        </w:rPr>
      </w:pPr>
    </w:p>
    <w:p>
      <w:pPr>
        <w:ind w:left="760" w:hanging="246"/>
        <w:spacing w:after="0"/>
        <w:tabs>
          <w:tab w:leader="none" w:pos="760" w:val="left"/>
        </w:tabs>
        <w:numPr>
          <w:ilvl w:val="1"/>
          <w:numId w:val="50"/>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168"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5600" w:type="dxa"/>
            <w:vAlign w:val="bottom"/>
          </w:tcPr>
          <w:p>
            <w:pPr>
              <w:spacing w:after="0"/>
              <w:rPr>
                <w:sz w:val="20"/>
                <w:szCs w:val="20"/>
                <w:color w:val="auto"/>
              </w:rPr>
            </w:pPr>
            <w:r>
              <w:rPr>
                <w:rFonts w:ascii="Arial" w:cs="Arial" w:eastAsia="Arial" w:hAnsi="Arial"/>
                <w:sz w:val="14"/>
                <w:szCs w:val="14"/>
                <w:color w:val="auto"/>
              </w:rPr>
              <w:t>Date: February 18, 2022</w:t>
            </w:r>
          </w:p>
        </w:tc>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Matthew Galvanoni</w:t>
            </w:r>
          </w:p>
        </w:tc>
      </w:tr>
      <w:tr>
        <w:trPr>
          <w:trHeight w:val="171"/>
        </w:trPr>
        <w:tc>
          <w:tcPr>
            <w:tcW w:w="5600" w:type="dxa"/>
            <w:vAlign w:val="bottom"/>
          </w:tcPr>
          <w:p>
            <w:pPr>
              <w:spacing w:after="0"/>
              <w:rPr>
                <w:sz w:val="14"/>
                <w:szCs w:val="14"/>
                <w:color w:val="auto"/>
              </w:rPr>
            </w:pPr>
          </w:p>
        </w:tc>
        <w:tc>
          <w:tcPr>
            <w:tcW w:w="5620" w:type="dxa"/>
            <w:vAlign w:val="bottom"/>
          </w:tcPr>
          <w:p>
            <w:pPr>
              <w:ind w:left="20"/>
              <w:spacing w:after="0"/>
              <w:rPr>
                <w:sz w:val="20"/>
                <w:szCs w:val="20"/>
                <w:color w:val="auto"/>
              </w:rPr>
            </w:pPr>
            <w:r>
              <w:rPr>
                <w:rFonts w:ascii="Arial" w:cs="Arial" w:eastAsia="Arial" w:hAnsi="Arial"/>
                <w:sz w:val="14"/>
                <w:szCs w:val="14"/>
                <w:color w:val="auto"/>
              </w:rPr>
              <w:t>Matthew Galvanoni</w:t>
            </w:r>
          </w:p>
        </w:tc>
      </w:tr>
      <w:tr>
        <w:trPr>
          <w:trHeight w:val="180"/>
        </w:trPr>
        <w:tc>
          <w:tcPr>
            <w:tcW w:w="5600" w:type="dxa"/>
            <w:vAlign w:val="bottom"/>
          </w:tcPr>
          <w:p>
            <w:pPr>
              <w:spacing w:after="0"/>
              <w:rPr>
                <w:sz w:val="15"/>
                <w:szCs w:val="15"/>
                <w:color w:val="auto"/>
              </w:rPr>
            </w:pPr>
          </w:p>
        </w:tc>
        <w:tc>
          <w:tcPr>
            <w:tcW w:w="5620" w:type="dxa"/>
            <w:vAlign w:val="bottom"/>
          </w:tcPr>
          <w:p>
            <w:pPr>
              <w:ind w:left="20"/>
              <w:spacing w:after="0"/>
              <w:rPr>
                <w:sz w:val="20"/>
                <w:szCs w:val="20"/>
                <w:color w:val="auto"/>
              </w:rPr>
            </w:pPr>
            <w:r>
              <w:rPr>
                <w:rFonts w:ascii="Arial" w:cs="Arial" w:eastAsia="Arial" w:hAnsi="Arial"/>
                <w:sz w:val="14"/>
                <w:szCs w:val="14"/>
                <w:color w:val="auto"/>
              </w:rPr>
              <w:t>Principal Financial Officer</w:t>
            </w:r>
          </w:p>
        </w:tc>
      </w:tr>
    </w:tbl>
    <w:p>
      <w:pPr>
        <w:sectPr>
          <w:pgSz w:w="11900" w:h="16838" w:orient="portrait"/>
          <w:cols w:equalWidth="0" w:num="1">
            <w:col w:w="11280"/>
          </w:cols>
          <w:pgMar w:left="300" w:top="729" w:right="319" w:bottom="1440" w:gutter="0" w:footer="0" w:header="0"/>
        </w:sectPr>
      </w:pPr>
    </w:p>
    <w:bookmarkStart w:id="116" w:name="page117"/>
    <w:bookmarkEnd w:id="116"/>
    <w:p>
      <w:pPr>
        <w:ind w:left="5200"/>
        <w:spacing w:after="0"/>
        <w:rPr>
          <w:sz w:val="20"/>
          <w:szCs w:val="20"/>
          <w:color w:val="auto"/>
        </w:rPr>
      </w:pPr>
      <w:r>
        <w:rPr>
          <w:rFonts w:ascii="Arial" w:cs="Arial" w:eastAsia="Arial" w:hAnsi="Arial"/>
          <w:sz w:val="14"/>
          <w:szCs w:val="14"/>
          <w:b w:val="1"/>
          <w:bCs w:val="1"/>
          <w:color w:val="auto"/>
        </w:rPr>
        <w:t>EXHIBIT 32.1</w:t>
      </w:r>
    </w:p>
    <w:p>
      <w:pPr>
        <w:spacing w:after="0" w:line="136" w:lineRule="exact"/>
        <w:rPr>
          <w:sz w:val="20"/>
          <w:szCs w:val="20"/>
          <w:color w:val="auto"/>
        </w:rPr>
      </w:pPr>
    </w:p>
    <w:p>
      <w:pPr>
        <w:ind w:left="3780"/>
        <w:spacing w:after="0"/>
        <w:rPr>
          <w:sz w:val="20"/>
          <w:szCs w:val="20"/>
          <w:color w:val="auto"/>
        </w:rPr>
      </w:pPr>
      <w:r>
        <w:rPr>
          <w:rFonts w:ascii="Arial" w:cs="Arial" w:eastAsia="Arial" w:hAnsi="Arial"/>
          <w:sz w:val="14"/>
          <w:szCs w:val="14"/>
          <w:b w:val="1"/>
          <w:bCs w:val="1"/>
          <w:color w:val="auto"/>
        </w:rPr>
        <w:t>CERTIFICATION OF PRINCIPAL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PURSUANT TO 18 U.S.C. § 1350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SECTION 906 OF THE SARBANES-OXLEY ACT OF 2002</w:t>
      </w:r>
    </w:p>
    <w:p>
      <w:pPr>
        <w:spacing w:after="0" w:line="126"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Pursuant to section 906 of the Sarbanes-Oxley Act of 2002 (subsections (a) and (b) of section 1350, chapter 63 of title 18, United States Code), the undersigned officer of Pilgrim's Pride Corporation (the “Company”), does hereby certify, to such officer's knowledge, that:</w:t>
      </w:r>
    </w:p>
    <w:p>
      <w:pPr>
        <w:spacing w:after="0" w:line="90"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The Annual Report on Form 10-K for the year ended December 26, 2021 (the “Form 10-K”) of the Company fully complies with the requirements of section 13(a) or 15(d) of the Securities Exchange Act of 1934, and information contained in the Form 10-K fairly presents, in all material respects, the financial condition and results of operations of the Company.</w:t>
      </w:r>
    </w:p>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5600" w:type="dxa"/>
            <w:vAlign w:val="bottom"/>
          </w:tcPr>
          <w:p>
            <w:pPr>
              <w:spacing w:after="0"/>
              <w:rPr>
                <w:sz w:val="20"/>
                <w:szCs w:val="20"/>
                <w:color w:val="auto"/>
              </w:rPr>
            </w:pPr>
            <w:r>
              <w:rPr>
                <w:rFonts w:ascii="Arial" w:cs="Arial" w:eastAsia="Arial" w:hAnsi="Arial"/>
                <w:sz w:val="14"/>
                <w:szCs w:val="14"/>
                <w:color w:val="auto"/>
              </w:rPr>
              <w:t>Date: February 18, 2022</w:t>
            </w:r>
          </w:p>
        </w:tc>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Fabio Sandri</w:t>
            </w:r>
          </w:p>
        </w:tc>
      </w:tr>
      <w:tr>
        <w:trPr>
          <w:trHeight w:val="171"/>
        </w:trPr>
        <w:tc>
          <w:tcPr>
            <w:tcW w:w="5600" w:type="dxa"/>
            <w:vAlign w:val="bottom"/>
          </w:tcPr>
          <w:p>
            <w:pPr>
              <w:spacing w:after="0"/>
              <w:rPr>
                <w:sz w:val="14"/>
                <w:szCs w:val="14"/>
                <w:color w:val="auto"/>
              </w:rPr>
            </w:pPr>
          </w:p>
        </w:tc>
        <w:tc>
          <w:tcPr>
            <w:tcW w:w="5620" w:type="dxa"/>
            <w:vAlign w:val="bottom"/>
          </w:tcPr>
          <w:p>
            <w:pPr>
              <w:ind w:left="20"/>
              <w:spacing w:after="0"/>
              <w:rPr>
                <w:sz w:val="20"/>
                <w:szCs w:val="20"/>
                <w:color w:val="auto"/>
              </w:rPr>
            </w:pPr>
            <w:r>
              <w:rPr>
                <w:rFonts w:ascii="Arial" w:cs="Arial" w:eastAsia="Arial" w:hAnsi="Arial"/>
                <w:sz w:val="14"/>
                <w:szCs w:val="14"/>
                <w:color w:val="auto"/>
              </w:rPr>
              <w:t>Fabio Sandri</w:t>
            </w:r>
          </w:p>
        </w:tc>
      </w:tr>
      <w:tr>
        <w:trPr>
          <w:trHeight w:val="180"/>
        </w:trPr>
        <w:tc>
          <w:tcPr>
            <w:tcW w:w="5600" w:type="dxa"/>
            <w:vAlign w:val="bottom"/>
          </w:tcPr>
          <w:p>
            <w:pPr>
              <w:spacing w:after="0"/>
              <w:rPr>
                <w:sz w:val="15"/>
                <w:szCs w:val="15"/>
                <w:color w:val="auto"/>
              </w:rPr>
            </w:pPr>
          </w:p>
        </w:tc>
        <w:tc>
          <w:tcPr>
            <w:tcW w:w="5620" w:type="dxa"/>
            <w:vAlign w:val="bottom"/>
          </w:tcPr>
          <w:p>
            <w:pPr>
              <w:ind w:left="20"/>
              <w:spacing w:after="0"/>
              <w:rPr>
                <w:sz w:val="20"/>
                <w:szCs w:val="20"/>
                <w:color w:val="auto"/>
              </w:rPr>
            </w:pPr>
            <w:r>
              <w:rPr>
                <w:rFonts w:ascii="Arial" w:cs="Arial" w:eastAsia="Arial" w:hAnsi="Arial"/>
                <w:sz w:val="14"/>
                <w:szCs w:val="14"/>
                <w:color w:val="auto"/>
              </w:rPr>
              <w:t>Principal Executive Officer</w:t>
            </w:r>
          </w:p>
        </w:tc>
      </w:tr>
    </w:tbl>
    <w:p>
      <w:pPr>
        <w:sectPr>
          <w:pgSz w:w="11900" w:h="16838" w:orient="portrait"/>
          <w:cols w:equalWidth="0" w:num="1">
            <w:col w:w="11280"/>
          </w:cols>
          <w:pgMar w:left="300" w:top="729" w:right="319" w:bottom="1440" w:gutter="0" w:footer="0" w:header="0"/>
        </w:sectPr>
      </w:pPr>
    </w:p>
    <w:bookmarkStart w:id="117" w:name="page118"/>
    <w:bookmarkEnd w:id="117"/>
    <w:p>
      <w:pPr>
        <w:ind w:left="5200"/>
        <w:spacing w:after="0"/>
        <w:rPr>
          <w:sz w:val="20"/>
          <w:szCs w:val="20"/>
          <w:color w:val="auto"/>
        </w:rPr>
      </w:pPr>
      <w:r>
        <w:rPr>
          <w:rFonts w:ascii="Arial" w:cs="Arial" w:eastAsia="Arial" w:hAnsi="Arial"/>
          <w:sz w:val="14"/>
          <w:szCs w:val="14"/>
          <w:b w:val="1"/>
          <w:bCs w:val="1"/>
          <w:color w:val="auto"/>
        </w:rPr>
        <w:t>EXHIBIT 32.2</w:t>
      </w:r>
    </w:p>
    <w:p>
      <w:pPr>
        <w:spacing w:after="0" w:line="136" w:lineRule="exact"/>
        <w:rPr>
          <w:sz w:val="20"/>
          <w:szCs w:val="20"/>
          <w:color w:val="auto"/>
        </w:rPr>
      </w:pPr>
    </w:p>
    <w:p>
      <w:pPr>
        <w:ind w:left="3780"/>
        <w:spacing w:after="0"/>
        <w:rPr>
          <w:sz w:val="20"/>
          <w:szCs w:val="20"/>
          <w:color w:val="auto"/>
        </w:rPr>
      </w:pPr>
      <w:r>
        <w:rPr>
          <w:rFonts w:ascii="Arial" w:cs="Arial" w:eastAsia="Arial" w:hAnsi="Arial"/>
          <w:sz w:val="14"/>
          <w:szCs w:val="14"/>
          <w:b w:val="1"/>
          <w:bCs w:val="1"/>
          <w:color w:val="auto"/>
        </w:rPr>
        <w:t>CERTIFICATION OF PRINCIPAL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PURSUANT TO 18 U.S.C. § 1350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SECTION 906 OF THE SARBANES-OXLEY ACT OF 2002</w:t>
      </w:r>
    </w:p>
    <w:p>
      <w:pPr>
        <w:spacing w:after="0" w:line="126"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Pursuant to section 906 of the Sarbanes-Oxley Act of 2002 (subsections (a) and (b) of section 1350, chapter 63 of title 18, United States Code), the undersigned officer of Pilgrim's Pride Corporation (the “Company”), does hereby certify, to such officer's knowledge, that:</w:t>
      </w:r>
    </w:p>
    <w:p>
      <w:pPr>
        <w:spacing w:after="0" w:line="90"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The Annual Report on Form 10-K for the year ended December 26, 2021 (the “Form 10-K”) of the Company fully complies with the requirements of section 13(a) or 15(d) of the Securities Exchange Act of 1934, and information contained in the Form 10-K fairly presents, in all material respects, the financial condition and results of operations of the Company.</w:t>
      </w:r>
    </w:p>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5600" w:type="dxa"/>
            <w:vAlign w:val="bottom"/>
          </w:tcPr>
          <w:p>
            <w:pPr>
              <w:spacing w:after="0"/>
              <w:rPr>
                <w:sz w:val="20"/>
                <w:szCs w:val="20"/>
                <w:color w:val="auto"/>
              </w:rPr>
            </w:pPr>
            <w:r>
              <w:rPr>
                <w:rFonts w:ascii="Arial" w:cs="Arial" w:eastAsia="Arial" w:hAnsi="Arial"/>
                <w:sz w:val="14"/>
                <w:szCs w:val="14"/>
                <w:color w:val="auto"/>
              </w:rPr>
              <w:t>Date: February 18, 2022</w:t>
            </w:r>
          </w:p>
        </w:tc>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Matthew Galvanoni</w:t>
            </w:r>
          </w:p>
        </w:tc>
      </w:tr>
      <w:tr>
        <w:trPr>
          <w:trHeight w:val="171"/>
        </w:trPr>
        <w:tc>
          <w:tcPr>
            <w:tcW w:w="5600" w:type="dxa"/>
            <w:vAlign w:val="bottom"/>
          </w:tcPr>
          <w:p>
            <w:pPr>
              <w:spacing w:after="0"/>
              <w:rPr>
                <w:sz w:val="14"/>
                <w:szCs w:val="14"/>
                <w:color w:val="auto"/>
              </w:rPr>
            </w:pPr>
          </w:p>
        </w:tc>
        <w:tc>
          <w:tcPr>
            <w:tcW w:w="5620" w:type="dxa"/>
            <w:vAlign w:val="bottom"/>
          </w:tcPr>
          <w:p>
            <w:pPr>
              <w:ind w:left="20"/>
              <w:spacing w:after="0"/>
              <w:rPr>
                <w:sz w:val="20"/>
                <w:szCs w:val="20"/>
                <w:color w:val="auto"/>
              </w:rPr>
            </w:pPr>
            <w:r>
              <w:rPr>
                <w:rFonts w:ascii="Arial" w:cs="Arial" w:eastAsia="Arial" w:hAnsi="Arial"/>
                <w:sz w:val="14"/>
                <w:szCs w:val="14"/>
                <w:color w:val="auto"/>
              </w:rPr>
              <w:t>Matthew Galvanoni</w:t>
            </w:r>
          </w:p>
        </w:tc>
      </w:tr>
      <w:tr>
        <w:trPr>
          <w:trHeight w:val="180"/>
        </w:trPr>
        <w:tc>
          <w:tcPr>
            <w:tcW w:w="5600" w:type="dxa"/>
            <w:vAlign w:val="bottom"/>
          </w:tcPr>
          <w:p>
            <w:pPr>
              <w:spacing w:after="0"/>
              <w:rPr>
                <w:sz w:val="15"/>
                <w:szCs w:val="15"/>
                <w:color w:val="auto"/>
              </w:rPr>
            </w:pPr>
          </w:p>
        </w:tc>
        <w:tc>
          <w:tcPr>
            <w:tcW w:w="5620" w:type="dxa"/>
            <w:vAlign w:val="bottom"/>
          </w:tcPr>
          <w:p>
            <w:pPr>
              <w:ind w:left="20"/>
              <w:spacing w:after="0"/>
              <w:rPr>
                <w:sz w:val="20"/>
                <w:szCs w:val="20"/>
                <w:color w:val="auto"/>
              </w:rPr>
            </w:pPr>
            <w:r>
              <w:rPr>
                <w:rFonts w:ascii="Arial" w:cs="Arial" w:eastAsia="Arial" w:hAnsi="Arial"/>
                <w:sz w:val="14"/>
                <w:szCs w:val="14"/>
                <w:color w:val="auto"/>
              </w:rPr>
              <w:t>Principal Financial Officer</w:t>
            </w:r>
          </w:p>
        </w:tc>
      </w:tr>
    </w:tbl>
    <w:p>
      <w:pPr>
        <w:spacing w:after="0" w:line="1" w:lineRule="exact"/>
        <w:rPr>
          <w:sz w:val="20"/>
          <w:szCs w:val="20"/>
          <w:color w:val="auto"/>
        </w:rPr>
      </w:pPr>
    </w:p>
    <w:sectPr>
      <w:pgSz w:w="11900" w:h="16838" w:orient="portrait"/>
      <w:cols w:equalWidth="0" w:num="1">
        <w:col w:w="11280"/>
      </w:cols>
      <w:pgMar w:left="300" w:top="729"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
      <w:numFmt w:val="bullet"/>
      <w:start w:val="1"/>
    </w:lvl>
  </w:abstractNum>
  <w:abstractNum w:abstractNumId="3">
    <w:nsid w:val="54E49EB4"/>
    <w:multiLevelType w:val="hybridMultilevel"/>
    <w:lvl w:ilvl="0">
      <w:lvlJc w:val="left"/>
      <w:lvlText w:val="•"/>
      <w:numFmt w:val="bullet"/>
      <w:start w:val="1"/>
    </w:lvl>
  </w:abstractNum>
  <w:abstractNum w:abstractNumId="4">
    <w:nsid w:val="71F32454"/>
    <w:multiLevelType w:val="hybridMultilevel"/>
    <w:lvl w:ilvl="0">
      <w:lvlJc w:val="left"/>
      <w:lvlText w:val="•"/>
      <w:numFmt w:val="bullet"/>
      <w:start w:val="1"/>
    </w:lvl>
  </w:abstractNum>
  <w:abstractNum w:abstractNumId="5">
    <w:nsid w:val="2CA88611"/>
    <w:multiLevelType w:val="hybridMultilevel"/>
    <w:lvl w:ilvl="0">
      <w:lvlJc w:val="left"/>
      <w:lvlText w:val="•"/>
      <w:numFmt w:val="bullet"/>
      <w:start w:val="1"/>
    </w:lvl>
  </w:abstractNum>
  <w:abstractNum w:abstractNumId="6">
    <w:nsid w:val="836C40E"/>
    <w:multiLevelType w:val="hybridMultilevel"/>
    <w:lvl w:ilvl="0">
      <w:lvlJc w:val="left"/>
      <w:lvlText w:val="•"/>
      <w:numFmt w:val="bullet"/>
      <w:start w:val="1"/>
    </w:lvl>
  </w:abstractNum>
  <w:abstractNum w:abstractNumId="7">
    <w:nsid w:val="2901D82"/>
    <w:multiLevelType w:val="hybridMultilevel"/>
    <w:lvl w:ilvl="0">
      <w:lvlJc w:val="left"/>
      <w:lvlText w:val="•"/>
      <w:numFmt w:val="bullet"/>
      <w:start w:val="1"/>
    </w:lvl>
  </w:abstractNum>
  <w:abstractNum w:abstractNumId="8">
    <w:nsid w:val="3A95F874"/>
    <w:multiLevelType w:val="hybridMultilevel"/>
    <w:lvl w:ilvl="0">
      <w:lvlJc w:val="left"/>
      <w:lvlText w:val="•"/>
      <w:numFmt w:val="bullet"/>
      <w:start w:val="1"/>
    </w:lvl>
  </w:abstractNum>
  <w:abstractNum w:abstractNumId="9">
    <w:nsid w:val="8138641"/>
    <w:multiLevelType w:val="hybridMultilevel"/>
    <w:lvl w:ilvl="0">
      <w:lvlJc w:val="left"/>
      <w:lvlText w:val="(%1)"/>
      <w:numFmt w:val="lowerLetter"/>
      <w:start w:val="1"/>
    </w:lvl>
  </w:abstractNum>
  <w:abstractNum w:abstractNumId="10">
    <w:nsid w:val="1E7FF521"/>
    <w:multiLevelType w:val="hybridMultilevel"/>
    <w:lvl w:ilvl="0">
      <w:lvlJc w:val="left"/>
      <w:lvlText w:val="•"/>
      <w:numFmt w:val="bullet"/>
      <w:start w:val="1"/>
    </w:lvl>
  </w:abstractNum>
  <w:abstractNum w:abstractNumId="11">
    <w:nsid w:val="7C3DBD3D"/>
    <w:multiLevelType w:val="hybridMultilevel"/>
    <w:lvl w:ilvl="0">
      <w:lvlJc w:val="left"/>
      <w:lvlText w:val="•"/>
      <w:numFmt w:val="bullet"/>
      <w:start w:val="1"/>
    </w:lvl>
  </w:abstractNum>
  <w:abstractNum w:abstractNumId="12">
    <w:nsid w:val="737B8DDC"/>
    <w:multiLevelType w:val="hybridMultilevel"/>
    <w:lvl w:ilvl="0">
      <w:lvlJc w:val="left"/>
      <w:lvlText w:val="(%1)"/>
      <w:numFmt w:val="lowerLetter"/>
      <w:start w:val="1"/>
    </w:lvl>
  </w:abstractNum>
  <w:abstractNum w:abstractNumId="13">
    <w:nsid w:val="6CEAF087"/>
    <w:multiLevelType w:val="hybridMultilevel"/>
    <w:lvl w:ilvl="0">
      <w:lvlJc w:val="left"/>
      <w:lvlText w:val="(%1)"/>
      <w:numFmt w:val="lowerLetter"/>
      <w:start w:val="1"/>
    </w:lvl>
  </w:abstractNum>
  <w:abstractNum w:abstractNumId="14">
    <w:nsid w:val="22221A70"/>
    <w:multiLevelType w:val="hybridMultilevel"/>
    <w:lvl w:ilvl="0">
      <w:lvlJc w:val="left"/>
      <w:lvlText w:val="(%1)"/>
      <w:numFmt w:val="lowerLetter"/>
      <w:start w:val="1"/>
    </w:lvl>
  </w:abstractNum>
  <w:abstractNum w:abstractNumId="15">
    <w:nsid w:val="4516DDE9"/>
    <w:multiLevelType w:val="hybridMultilevel"/>
    <w:lvl w:ilvl="0">
      <w:lvlJc w:val="left"/>
      <w:lvlText w:val="(%1)"/>
      <w:numFmt w:val="lowerLetter"/>
      <w:start w:val="1"/>
    </w:lvl>
  </w:abstractNum>
  <w:abstractNum w:abstractNumId="16">
    <w:nsid w:val="3006C83E"/>
    <w:multiLevelType w:val="hybridMultilevel"/>
    <w:lvl w:ilvl="0">
      <w:lvlJc w:val="left"/>
      <w:lvlText w:val="(%1)"/>
      <w:numFmt w:val="decimal"/>
      <w:start w:val="6"/>
    </w:lvl>
    <w:lvl w:ilvl="1">
      <w:lvlJc w:val="left"/>
      <w:lvlText w:val="•"/>
      <w:numFmt w:val="bullet"/>
      <w:start w:val="1"/>
    </w:lvl>
  </w:abstractNum>
  <w:abstractNum w:abstractNumId="17">
    <w:nsid w:val="614FD4A1"/>
    <w:multiLevelType w:val="hybridMultilevel"/>
    <w:lvl w:ilvl="0">
      <w:lvlJc w:val="left"/>
      <w:lvlText w:val="(%1)"/>
      <w:numFmt w:val="lowerLetter"/>
      <w:start w:val="1"/>
    </w:lvl>
  </w:abstractNum>
  <w:abstractNum w:abstractNumId="18">
    <w:nsid w:val="419AC241"/>
    <w:multiLevelType w:val="hybridMultilevel"/>
    <w:lvl w:ilvl="0">
      <w:lvlJc w:val="left"/>
      <w:lvlText w:val="(%1)"/>
      <w:numFmt w:val="lowerLetter"/>
      <w:start w:val="1"/>
    </w:lvl>
  </w:abstractNum>
  <w:abstractNum w:abstractNumId="19">
    <w:nsid w:val="5577F8E1"/>
    <w:multiLevelType w:val="hybridMultilevel"/>
    <w:lvl w:ilvl="0">
      <w:lvlJc w:val="left"/>
      <w:lvlText w:val="(%1)"/>
      <w:numFmt w:val="lowerLetter"/>
      <w:start w:val="1"/>
    </w:lvl>
  </w:abstractNum>
  <w:abstractNum w:abstractNumId="20">
    <w:nsid w:val="440BADFC"/>
    <w:multiLevelType w:val="hybridMultilevel"/>
    <w:lvl w:ilvl="0">
      <w:lvlJc w:val="left"/>
      <w:lvlText w:val="%1."/>
      <w:numFmt w:val="decimal"/>
      <w:start w:val="1"/>
    </w:lvl>
  </w:abstractNum>
  <w:abstractNum w:abstractNumId="21">
    <w:nsid w:val="5072367"/>
    <w:multiLevelType w:val="hybridMultilevel"/>
    <w:lvl w:ilvl="0">
      <w:lvlJc w:val="left"/>
      <w:lvlText w:val="(%1)"/>
      <w:numFmt w:val="decimal"/>
      <w:start w:val="3"/>
    </w:lvl>
  </w:abstractNum>
  <w:abstractNum w:abstractNumId="22">
    <w:nsid w:val="3804823E"/>
    <w:multiLevelType w:val="hybridMultilevel"/>
    <w:lvl w:ilvl="0">
      <w:lvlJc w:val="left"/>
      <w:lvlText w:val="•"/>
      <w:numFmt w:val="bullet"/>
      <w:start w:val="1"/>
    </w:lvl>
  </w:abstractNum>
  <w:abstractNum w:abstractNumId="23">
    <w:nsid w:val="77465F01"/>
    <w:multiLevelType w:val="hybridMultilevel"/>
    <w:lvl w:ilvl="0">
      <w:lvlJc w:val="left"/>
      <w:lvlText w:val="%1."/>
      <w:numFmt w:val="decimal"/>
      <w:start w:val="2"/>
    </w:lvl>
  </w:abstractNum>
  <w:abstractNum w:abstractNumId="24">
    <w:nsid w:val="7724C67E"/>
    <w:multiLevelType w:val="hybridMultilevel"/>
    <w:lvl w:ilvl="0">
      <w:lvlJc w:val="left"/>
      <w:lvlText w:val="%1."/>
      <w:numFmt w:val="decimal"/>
      <w:start w:val="3"/>
    </w:lvl>
  </w:abstractNum>
  <w:abstractNum w:abstractNumId="25">
    <w:nsid w:val="5C482A97"/>
    <w:multiLevelType w:val="hybridMultilevel"/>
    <w:lvl w:ilvl="0">
      <w:lvlJc w:val="left"/>
      <w:lvlText w:val="(%1)"/>
      <w:numFmt w:val="lowerLetter"/>
      <w:start w:val="1"/>
    </w:lvl>
  </w:abstractNum>
  <w:abstractNum w:abstractNumId="26">
    <w:nsid w:val="2463B9EA"/>
    <w:multiLevelType w:val="hybridMultilevel"/>
    <w:lvl w:ilvl="0">
      <w:lvlJc w:val="left"/>
      <w:lvlText w:val="(%1)"/>
      <w:numFmt w:val="lowerLetter"/>
      <w:start w:val="1"/>
    </w:lvl>
  </w:abstractNum>
  <w:abstractNum w:abstractNumId="27">
    <w:nsid w:val="5E884ADC"/>
    <w:multiLevelType w:val="hybridMultilevel"/>
    <w:lvl w:ilvl="0">
      <w:lvlJc w:val="left"/>
      <w:lvlText w:val="(%1)"/>
      <w:numFmt w:val="lowerLetter"/>
      <w:start w:val="1"/>
    </w:lvl>
  </w:abstractNum>
  <w:abstractNum w:abstractNumId="28">
    <w:nsid w:val="51EAD36B"/>
    <w:multiLevelType w:val="hybridMultilevel"/>
    <w:lvl w:ilvl="0">
      <w:lvlJc w:val="left"/>
      <w:lvlText w:val="(%1)"/>
      <w:numFmt w:val="lowerLetter"/>
      <w:start w:val="1"/>
    </w:lvl>
  </w:abstractNum>
  <w:abstractNum w:abstractNumId="29">
    <w:nsid w:val="2D517796"/>
    <w:multiLevelType w:val="hybridMultilevel"/>
    <w:lvl w:ilvl="0">
      <w:lvlJc w:val="left"/>
      <w:lvlText w:val="(%1)"/>
      <w:numFmt w:val="lowerLetter"/>
      <w:start w:val="1"/>
    </w:lvl>
  </w:abstractNum>
  <w:abstractNum w:abstractNumId="30">
    <w:nsid w:val="580BD78F"/>
    <w:multiLevelType w:val="hybridMultilevel"/>
    <w:lvl w:ilvl="0">
      <w:lvlJc w:val="left"/>
      <w:lvlText w:val="%1."/>
      <w:numFmt w:val="decimal"/>
      <w:start w:val="14"/>
    </w:lvl>
  </w:abstractNum>
  <w:abstractNum w:abstractNumId="31">
    <w:nsid w:val="153EA438"/>
    <w:multiLevelType w:val="hybridMultilevel"/>
    <w:lvl w:ilvl="0">
      <w:lvlJc w:val="left"/>
      <w:lvlText w:val="(%1)"/>
      <w:numFmt w:val="lowerLetter"/>
      <w:start w:val="1"/>
    </w:lvl>
  </w:abstractNum>
  <w:abstractNum w:abstractNumId="32">
    <w:nsid w:val="3855585C"/>
    <w:multiLevelType w:val="hybridMultilevel"/>
    <w:lvl w:ilvl="0">
      <w:lvlJc w:val="left"/>
      <w:lvlText w:val="(%1)"/>
      <w:numFmt w:val="lowerLetter"/>
      <w:start w:val="1"/>
    </w:lvl>
  </w:abstractNum>
  <w:abstractNum w:abstractNumId="33">
    <w:nsid w:val="70A64E2A"/>
    <w:multiLevelType w:val="hybridMultilevel"/>
    <w:lvl w:ilvl="0">
      <w:lvlJc w:val="left"/>
      <w:lvlText w:val="(%1)"/>
      <w:numFmt w:val="lowerLetter"/>
      <w:start w:val="1"/>
    </w:lvl>
  </w:abstractNum>
  <w:abstractNum w:abstractNumId="34">
    <w:nsid w:val="6A2342EC"/>
    <w:multiLevelType w:val="hybridMultilevel"/>
    <w:lvl w:ilvl="0">
      <w:lvlJc w:val="left"/>
      <w:lvlText w:val="(%1)"/>
      <w:numFmt w:val="lowerLetter"/>
      <w:start w:val="1"/>
    </w:lvl>
  </w:abstractNum>
  <w:abstractNum w:abstractNumId="35">
    <w:nsid w:val="2A487CB0"/>
    <w:multiLevelType w:val="hybridMultilevel"/>
    <w:lvl w:ilvl="0">
      <w:lvlJc w:val="left"/>
      <w:lvlText w:val="(%1)"/>
      <w:numFmt w:val="lowerLetter"/>
      <w:start w:val="7"/>
    </w:lvl>
  </w:abstractNum>
  <w:abstractNum w:abstractNumId="36">
    <w:nsid w:val="1D4ED43B"/>
    <w:multiLevelType w:val="hybridMultilevel"/>
    <w:lvl w:ilvl="0">
      <w:lvlJc w:val="left"/>
      <w:lvlText w:val="(%1)"/>
      <w:numFmt w:val="lowerLetter"/>
      <w:start w:val="1"/>
    </w:lvl>
  </w:abstractNum>
  <w:abstractNum w:abstractNumId="37">
    <w:nsid w:val="725A06FB"/>
    <w:multiLevelType w:val="hybridMultilevel"/>
    <w:lvl w:ilvl="0">
      <w:lvlJc w:val="left"/>
      <w:lvlText w:val="(%1)"/>
      <w:numFmt w:val="lowerLetter"/>
      <w:start w:val="1"/>
    </w:lvl>
  </w:abstractNum>
  <w:abstractNum w:abstractNumId="38">
    <w:nsid w:val="2CD89A32"/>
    <w:multiLevelType w:val="hybridMultilevel"/>
    <w:lvl w:ilvl="0">
      <w:lvlJc w:val="left"/>
      <w:lvlText w:val="(%1)"/>
      <w:numFmt w:val="lowerLetter"/>
      <w:start w:val="1"/>
    </w:lvl>
  </w:abstractNum>
  <w:abstractNum w:abstractNumId="39">
    <w:nsid w:val="57E4CCAF"/>
    <w:multiLevelType w:val="hybridMultilevel"/>
    <w:lvl w:ilvl="0">
      <w:lvlJc w:val="left"/>
      <w:lvlText w:val="(%1)"/>
      <w:numFmt w:val="lowerLetter"/>
      <w:start w:val="1"/>
    </w:lvl>
  </w:abstractNum>
  <w:abstractNum w:abstractNumId="40">
    <w:nsid w:val="7A6D8D3C"/>
    <w:multiLevelType w:val="hybridMultilevel"/>
    <w:lvl w:ilvl="0">
      <w:lvlJc w:val="left"/>
      <w:lvlText w:val="%1."/>
      <w:numFmt w:val="decimal"/>
      <w:start w:val="20"/>
    </w:lvl>
  </w:abstractNum>
  <w:abstractNum w:abstractNumId="41">
    <w:nsid w:val="4B588F54"/>
    <w:multiLevelType w:val="hybridMultilevel"/>
    <w:lvl w:ilvl="0">
      <w:lvlJc w:val="left"/>
      <w:lvlText w:val="(%1)"/>
      <w:numFmt w:val="lowerLetter"/>
      <w:start w:val="1"/>
    </w:lvl>
  </w:abstractNum>
  <w:abstractNum w:abstractNumId="42">
    <w:nsid w:val="542289EC"/>
    <w:multiLevelType w:val="hybridMultilevel"/>
    <w:lvl w:ilvl="0">
      <w:lvlJc w:val="left"/>
      <w:lvlText w:val="(%1)"/>
      <w:numFmt w:val="lowerLetter"/>
      <w:start w:val="1"/>
    </w:lvl>
  </w:abstractNum>
  <w:abstractNum w:abstractNumId="43">
    <w:nsid w:val="6DE91B18"/>
    <w:multiLevelType w:val="hybridMultilevel"/>
    <w:lvl w:ilvl="0">
      <w:lvlJc w:val="left"/>
      <w:lvlText w:val="(%1)"/>
      <w:numFmt w:val="lowerLetter"/>
      <w:start w:val="1"/>
    </w:lvl>
    <w:lvl w:ilvl="1">
      <w:lvlJc w:val="left"/>
      <w:lvlText w:val="(%2)"/>
      <w:numFmt w:val="lowerRoman"/>
      <w:start w:val="1"/>
    </w:lvl>
  </w:abstractNum>
  <w:abstractNum w:abstractNumId="44">
    <w:nsid w:val="38437FDB"/>
    <w:multiLevelType w:val="hybridMultilevel"/>
    <w:lvl w:ilvl="0">
      <w:lvlJc w:val="left"/>
      <w:lvlText w:val="%1"/>
      <w:numFmt w:val="decimal"/>
      <w:start w:val="21"/>
    </w:lvl>
  </w:abstractNum>
  <w:abstractNum w:abstractNumId="45">
    <w:nsid w:val="7644A45C"/>
    <w:multiLevelType w:val="hybridMultilevel"/>
    <w:lvl w:ilvl="0">
      <w:lvlJc w:val="left"/>
      <w:lvlText w:val="*"/>
      <w:numFmt w:val="bullet"/>
      <w:start w:val="1"/>
    </w:lvl>
    <w:lvl w:ilvl="1">
      <w:lvlJc w:val="left"/>
      <w:lvlText w:val="%2"/>
      <w:numFmt w:val="decimal"/>
      <w:start w:val="104"/>
    </w:lvl>
  </w:abstractNum>
  <w:abstractNum w:abstractNumId="46">
    <w:nsid w:val="32FFF902"/>
    <w:multiLevelType w:val="hybridMultilevel"/>
    <w:lvl w:ilvl="0">
      <w:lvlJc w:val="left"/>
      <w:lvlText w:val="**"/>
      <w:numFmt w:val="bullet"/>
      <w:start w:val="1"/>
    </w:lvl>
    <w:lvl w:ilvl="1">
      <w:lvlJc w:val="left"/>
      <w:lvlText w:val="%2"/>
      <w:numFmt w:val="decimal"/>
      <w:start w:val="1"/>
    </w:lvl>
  </w:abstractNum>
  <w:abstractNum w:abstractNumId="47">
    <w:nsid w:val="684A481A"/>
    <w:multiLevelType w:val="hybridMultilevel"/>
    <w:lvl w:ilvl="0">
      <w:lvlJc w:val="left"/>
      <w:lvlText w:val="†"/>
      <w:numFmt w:val="bullet"/>
      <w:start w:val="1"/>
    </w:lvl>
  </w:abstractNum>
  <w:abstractNum w:abstractNumId="48">
    <w:nsid w:val="579478FE"/>
    <w:multiLevelType w:val="hybridMultilevel"/>
    <w:lvl w:ilvl="0">
      <w:lvlJc w:val="left"/>
      <w:lvlText w:val="%1."/>
      <w:numFmt w:val="decimal"/>
      <w:start w:val="1"/>
    </w:lvl>
    <w:lvl w:ilvl="1">
      <w:lvlJc w:val="left"/>
      <w:lvlText w:val="%2."/>
      <w:numFmt w:val="lowerLetter"/>
      <w:start w:val="1"/>
    </w:lvl>
  </w:abstractNum>
  <w:abstractNum w:abstractNumId="49">
    <w:nsid w:val="749ABB43"/>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85" Type="http://schemas.openxmlformats.org/officeDocument/2006/relationships/image" Target="media/image167.png"/><Relationship Id="rId194" Type="http://schemas.openxmlformats.org/officeDocument/2006/relationships/image" Target="media/image168.png"/><Relationship Id="rId195" Type="http://schemas.openxmlformats.org/officeDocument/2006/relationships/image" Target="media/image169.png"/><Relationship Id="rId196" Type="http://schemas.openxmlformats.org/officeDocument/2006/relationships/image" Target="media/image170.png"/><Relationship Id="rId197" Type="http://schemas.openxmlformats.org/officeDocument/2006/relationships/image" Target="media/image171.png"/><Relationship Id="rId198" Type="http://schemas.openxmlformats.org/officeDocument/2006/relationships/image" Target="media/image172.png"/><Relationship Id="rId199" Type="http://schemas.openxmlformats.org/officeDocument/2006/relationships/image" Target="media/image173.png"/><Relationship Id="rId200" Type="http://schemas.openxmlformats.org/officeDocument/2006/relationships/image" Target="media/image174.png"/><Relationship Id="rId201" Type="http://schemas.openxmlformats.org/officeDocument/2006/relationships/image" Target="media/image175.png"/><Relationship Id="rId174" Type="http://schemas.openxmlformats.org/officeDocument/2006/relationships/hyperlink" Target="https://www.sec.gov/Archives/edgar/data/802481/000119312517281177/d434097dex21.htm" TargetMode="External"/><Relationship Id="rId175" Type="http://schemas.openxmlformats.org/officeDocument/2006/relationships/hyperlink" Target="https://www.sec.gov/Archives/edgar/data/802481/000080248120000009/ppc20191229exh24.htm" TargetMode="External"/><Relationship Id="rId176" Type="http://schemas.openxmlformats.org/officeDocument/2006/relationships/hyperlink" Target="https://www.sec.gov/Archives/edgar/data/802481/000080248120000009/a2exhibitstospa.htm" TargetMode="External"/><Relationship Id="rId177" Type="http://schemas.openxmlformats.org/officeDocument/2006/relationships/hyperlink" Target="https://www.sec.gov/Archives/edgar/data/802481/000080248121000077/ppc-06272021exhibit101.htm" TargetMode="External"/><Relationship Id="rId178" Type="http://schemas.openxmlformats.org/officeDocument/2006/relationships/hyperlink" Target="https://www.sec.gov/Archives/edgar/data/802481/000080248121000105/ppc-09262021exhibit102.htm" TargetMode="External"/><Relationship Id="rId179" Type="http://schemas.openxmlformats.org/officeDocument/2006/relationships/hyperlink" Target="https://www.sec.gov/Archives/edgar/data/802481/000080248121000055/ex31_ppcamendedcertifica.htm" TargetMode="External"/><Relationship Id="rId180" Type="http://schemas.openxmlformats.org/officeDocument/2006/relationships/hyperlink" Target="https://www.sec.gov/Archives/edgar/data/802481/000080248121000055/ex32_ppcamendedbylaws.htm" TargetMode="External"/><Relationship Id="rId181" Type="http://schemas.openxmlformats.org/officeDocument/2006/relationships/hyperlink" Target="http://www.sec.gov/Archives/edgar/data/802481/000120677412004988/exhibit3-3.htm" TargetMode="External"/><Relationship Id="rId182" Type="http://schemas.openxmlformats.org/officeDocument/2006/relationships/hyperlink" Target="http://www.sec.gov/Archives/edgar/data/802481/000080248109000061/ex4_1.htm" TargetMode="External"/><Relationship Id="rId183" Type="http://schemas.openxmlformats.org/officeDocument/2006/relationships/hyperlink" Target="http://www.sec.gov/Archives/edgar/data/802481/000119312517301296/d311077dex42.htm" TargetMode="External"/><Relationship Id="rId184" Type="http://schemas.openxmlformats.org/officeDocument/2006/relationships/hyperlink" Target="https://www.sec.gov/Archives/edgar/data/802481/000080248121000040/exhibit41-ppcxindenture2.htm" TargetMode="External"/><Relationship Id="rId186" Type="http://schemas.openxmlformats.org/officeDocument/2006/relationships/hyperlink" Target="https://www.sec.gov/Archives/edgar/data/802481/000080248121000082/ex41indenture2032notes.htm" TargetMode="External"/><Relationship Id="rId187" Type="http://schemas.openxmlformats.org/officeDocument/2006/relationships/hyperlink" Target="http://www.sec.gov/Archives/edgar/data/802481/000080248109000064/ex10_2.htm" TargetMode="External"/><Relationship Id="rId188" Type="http://schemas.openxmlformats.org/officeDocument/2006/relationships/hyperlink" Target="http://www.sec.gov/Archives/edgar/data/802481/000080248112000036/exhibit102formofrestricted.htm" TargetMode="External"/><Relationship Id="rId189" Type="http://schemas.openxmlformats.org/officeDocument/2006/relationships/hyperlink" Target="http://www.sec.gov/Archives/edgar/data/802481/000080248118000033/facilitiesagreementmoypa.htm" TargetMode="External"/><Relationship Id="rId190" Type="http://schemas.openxmlformats.org/officeDocument/2006/relationships/hyperlink" Target="http://www.sec.gov/Archives/edgar/data/802481/000080248118000076/a2060218cto.htm" TargetMode="External"/><Relationship Id="rId191" Type="http://schemas.openxmlformats.org/officeDocument/2006/relationships/hyperlink" Target="https://www.sec.gov/Archives/edgar/data/802481/000080248120000014/exhibit101ppc2019ltip.htm" TargetMode="External"/><Relationship Id="rId192" Type="http://schemas.openxmlformats.org/officeDocument/2006/relationships/hyperlink" Target="https://www.sec.gov/Archives/edgar/data/802481/000095012721000068/21-32_ex10_1.htm" TargetMode="External"/><Relationship Id="rId193" Type="http://schemas.openxmlformats.org/officeDocument/2006/relationships/hyperlink" Target="https://www.sec.gov/Archives/edgar/data/802481/000080248121000051/ppc-03282021exhibit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2022-02-18T11:56:57Z</dcterms:created>
  <dcterms:modified xsi:type="dcterms:W3CDTF">2022-02-18T11:56:57Z</dcterms:modified>
</cp:coreProperties>
</file>