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1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95" w:lineRule="exact"/>
        <w:rPr>
          <w:sz w:val="24"/>
          <w:szCs w:val="24"/>
          <w:color w:val="auto"/>
        </w:rPr>
      </w:pPr>
    </w:p>
    <w:p>
      <w:pPr>
        <w:jc w:val="center"/>
        <w:ind w:left="1720"/>
        <w:spacing w:after="0"/>
        <w:tabs>
          <w:tab w:leader="none" w:pos="440" w:val="left"/>
        </w:tabs>
        <w:rPr>
          <w:sz w:val="20"/>
          <w:szCs w:val="20"/>
          <w:color w:val="auto"/>
        </w:rPr>
      </w:pPr>
      <w:r>
        <w:rPr>
          <w:rFonts w:ascii="Times New Roman" w:cs="Times New Roman" w:eastAsia="Times New Roman" w:hAnsi="Times New Roman"/>
          <w:sz w:val="32"/>
          <w:szCs w:val="32"/>
          <w:b w:val="1"/>
          <w:bCs w:val="1"/>
          <w:color w:val="auto"/>
        </w:rPr>
        <w:t>FORM</w:t>
        <w:tab/>
        <w:t>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27940</wp:posOffset>
            </wp:positionV>
            <wp:extent cx="15430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3050"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-220345</wp:posOffset>
            </wp:positionV>
            <wp:extent cx="15430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1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11, 2021</w:t>
      </w:r>
    </w:p>
    <w:p>
      <w:pPr>
        <w:spacing w:after="0" w:line="1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PILGRIM'S PRIDE CORPORATION</w:t>
      </w:r>
    </w:p>
    <w:p>
      <w:pPr>
        <w:sectPr>
          <w:pgSz w:w="11900" w:h="16838" w:orient="portrait"/>
          <w:cols w:equalWidth="0" w:num="1">
            <w:col w:w="11240"/>
          </w:cols>
          <w:pgMar w:left="320" w:top="988" w:right="339" w:bottom="1440" w:gutter="0" w:footer="0" w:header="0"/>
        </w:sectPr>
      </w:pPr>
    </w:p>
    <w:p>
      <w:pPr>
        <w:spacing w:after="0" w:line="200" w:lineRule="exact"/>
        <w:rPr>
          <w:sz w:val="24"/>
          <w:szCs w:val="24"/>
          <w:color w:val="auto"/>
        </w:rPr>
      </w:pPr>
    </w:p>
    <w:p>
      <w:pPr>
        <w:spacing w:after="0" w:line="240" w:lineRule="exact"/>
        <w:rPr>
          <w:sz w:val="24"/>
          <w:szCs w:val="24"/>
          <w:color w:val="auto"/>
        </w:rPr>
      </w:pPr>
    </w:p>
    <w:p>
      <w:pPr>
        <w:jc w:val="center"/>
        <w:ind w:left="10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6"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4"/>
          <w:szCs w:val="14"/>
          <w:color w:val="auto"/>
        </w:rPr>
        <w:t>(State or other jurisdiction of</w:t>
      </w:r>
    </w:p>
    <w:p>
      <w:pPr>
        <w:ind w:left="134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188"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1770 Promontory Circle</w:t>
      </w:r>
    </w:p>
    <w:p>
      <w:pPr>
        <w:spacing w:after="0" w:line="31"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Greeley CO</w:t>
      </w:r>
    </w:p>
    <w:p>
      <w:pPr>
        <w:spacing w:after="0" w:line="23"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1" w:lineRule="exact"/>
        <w:rPr>
          <w:sz w:val="24"/>
          <w:szCs w:val="24"/>
          <w:color w:val="auto"/>
        </w:rPr>
      </w:pPr>
    </w:p>
    <w:p>
      <w:pPr>
        <w:ind w:left="1560"/>
        <w:spacing w:after="0"/>
        <w:tabs>
          <w:tab w:leader="none" w:pos="4340" w:val="left"/>
        </w:tabs>
        <w:rPr>
          <w:sz w:val="20"/>
          <w:szCs w:val="20"/>
          <w:color w:val="auto"/>
        </w:rPr>
      </w:pPr>
      <w:r>
        <w:rPr>
          <w:rFonts w:ascii="Times New Roman" w:cs="Times New Roman" w:eastAsia="Times New Roman" w:hAnsi="Times New Roman"/>
          <w:sz w:val="20"/>
          <w:szCs w:val="20"/>
          <w:b w:val="1"/>
          <w:bCs w:val="1"/>
          <w:color w:val="auto"/>
        </w:rPr>
        <w:t>1-9273</w:t>
      </w:r>
      <w:r>
        <w:rPr>
          <w:sz w:val="20"/>
          <w:szCs w:val="20"/>
          <w:color w:val="auto"/>
        </w:rPr>
        <w:tab/>
      </w:r>
      <w:r>
        <w:rPr>
          <w:rFonts w:ascii="Times New Roman" w:cs="Times New Roman" w:eastAsia="Times New Roman" w:hAnsi="Times New Roman"/>
          <w:sz w:val="19"/>
          <w:szCs w:val="19"/>
          <w:b w:val="1"/>
          <w:bCs w:val="1"/>
          <w:color w:val="auto"/>
        </w:rPr>
        <w:t>75-1285071</w:t>
      </w:r>
    </w:p>
    <w:p>
      <w:pPr>
        <w:spacing w:after="0" w:line="116" w:lineRule="exact"/>
        <w:rPr>
          <w:sz w:val="24"/>
          <w:szCs w:val="24"/>
          <w:color w:val="auto"/>
        </w:rPr>
      </w:pPr>
    </w:p>
    <w:p>
      <w:pPr>
        <w:jc w:val="right"/>
        <w:ind w:right="1420"/>
        <w:spacing w:after="0"/>
        <w:tabs>
          <w:tab w:leader="none" w:pos="2460" w:val="left"/>
        </w:tabs>
        <w:rPr>
          <w:sz w:val="20"/>
          <w:szCs w:val="20"/>
          <w:color w:val="auto"/>
        </w:rPr>
      </w:pP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 No.)</w:t>
      </w:r>
    </w:p>
    <w:p>
      <w:pPr>
        <w:spacing w:after="0" w:line="176" w:lineRule="exact"/>
        <w:rPr>
          <w:sz w:val="24"/>
          <w:szCs w:val="24"/>
          <w:color w:val="auto"/>
        </w:rPr>
      </w:pPr>
    </w:p>
    <w:p>
      <w:pPr>
        <w:jc w:val="center"/>
        <w:ind w:left="-639"/>
        <w:spacing w:after="0"/>
        <w:rPr>
          <w:sz w:val="20"/>
          <w:szCs w:val="20"/>
          <w:color w:val="auto"/>
        </w:rPr>
      </w:pPr>
      <w:r>
        <w:rPr>
          <w:rFonts w:ascii="Times New Roman" w:cs="Times New Roman" w:eastAsia="Times New Roman" w:hAnsi="Times New Roman"/>
          <w:sz w:val="20"/>
          <w:szCs w:val="20"/>
          <w:b w:val="1"/>
          <w:bCs w:val="1"/>
          <w:color w:val="auto"/>
        </w:rPr>
        <w:t>80634-9038</w:t>
      </w:r>
    </w:p>
    <w:p>
      <w:pPr>
        <w:spacing w:after="0" w:line="32"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color w:val="auto"/>
        </w:rPr>
        <w:t>(Zip Code)</w:t>
      </w:r>
    </w:p>
    <w:p>
      <w:pPr>
        <w:spacing w:after="0" w:line="345" w:lineRule="exact"/>
        <w:rPr>
          <w:sz w:val="24"/>
          <w:szCs w:val="24"/>
          <w:color w:val="auto"/>
        </w:rPr>
      </w:pPr>
    </w:p>
    <w:p>
      <w:pPr>
        <w:sectPr>
          <w:pgSz w:w="11900" w:h="16838" w:orient="portrait"/>
          <w:cols w:equalWidth="0" w:num="2">
            <w:col w:w="3340" w:space="400"/>
            <w:col w:w="7500"/>
          </w:cols>
          <w:pgMar w:left="320" w:top="988" w:right="339" w:bottom="1440" w:gutter="0" w:footer="0" w:header="0"/>
          <w:type w:val="continuous"/>
        </w:sect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(970) 506-8000</w:t>
      </w:r>
    </w:p>
    <w:p>
      <w:pPr>
        <w:spacing w:after="0" w:line="6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0" w:lineRule="exact"/>
        <w:rPr>
          <w:sz w:val="24"/>
          <w:szCs w:val="24"/>
          <w:color w:val="auto"/>
        </w:rPr>
      </w:pPr>
    </w:p>
    <w:tbl>
      <w:tblPr>
        <w:tblLayout w:type="fixed"/>
        <w:tblInd w:w="120" w:type="dxa"/>
        <w:tblCellMar>
          <w:top w:w="0" w:type="dxa"/>
          <w:left w:w="0" w:type="dxa"/>
          <w:bottom w:w="0" w:type="dxa"/>
          <w:right w:w="0" w:type="dxa"/>
        </w:tblCellMar>
      </w:tblPr>
      <w:tr>
        <w:trPr>
          <w:trHeight w:val="234"/>
        </w:trPr>
        <w:tc>
          <w:tcPr>
            <w:tcW w:w="38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Trading Symbol</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Exchange on Which Registered</w:t>
            </w:r>
          </w:p>
        </w:tc>
      </w:tr>
      <w:tr>
        <w:trPr>
          <w:trHeight w:val="184"/>
        </w:trPr>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Par Value $0.01</w:t>
            </w:r>
          </w:p>
        </w:tc>
        <w:tc>
          <w:tcPr>
            <w:tcW w:w="180" w:type="dxa"/>
            <w:vAlign w:val="bottom"/>
          </w:tcPr>
          <w:p>
            <w:pPr>
              <w:spacing w:after="0"/>
              <w:rPr>
                <w:sz w:val="15"/>
                <w:szCs w:val="15"/>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PPC</w:t>
            </w:r>
          </w:p>
        </w:tc>
        <w:tc>
          <w:tcPr>
            <w:tcW w:w="220" w:type="dxa"/>
            <w:vAlign w:val="bottom"/>
          </w:tcPr>
          <w:p>
            <w:pPr>
              <w:spacing w:after="0"/>
              <w:rPr>
                <w:sz w:val="15"/>
                <w:szCs w:val="15"/>
                <w:color w:val="auto"/>
              </w:rPr>
            </w:pPr>
          </w:p>
        </w:tc>
        <w:tc>
          <w:tcPr>
            <w:tcW w:w="3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323"/>
        </w:trPr>
        <w:tc>
          <w:tcPr>
            <w:tcW w:w="3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6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3780" w:type="dxa"/>
            <w:vAlign w:val="bottom"/>
          </w:tcPr>
          <w:p>
            <w:pPr>
              <w:spacing w:after="0"/>
              <w:rPr>
                <w:sz w:val="24"/>
                <w:szCs w:val="24"/>
                <w:color w:val="auto"/>
              </w:rPr>
            </w:pPr>
          </w:p>
        </w:tc>
      </w:tr>
    </w:tbl>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1539240</wp:posOffset>
            </wp:positionH>
            <wp:positionV relativeFrom="paragraph">
              <wp:posOffset>171450</wp:posOffset>
            </wp:positionV>
            <wp:extent cx="40716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35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79" w:lineRule="exact"/>
        <w:rPr>
          <w:sz w:val="24"/>
          <w:szCs w:val="24"/>
          <w:color w:val="auto"/>
        </w:rPr>
      </w:pPr>
    </w:p>
    <w:p>
      <w:pPr>
        <w:spacing w:after="0" w:line="207" w:lineRule="exact"/>
        <w:tabs>
          <w:tab w:leader="none" w:pos="3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Written communications pursuant to Rule 425 under the Securities Act (17 CFR 230.425)</w:t>
      </w:r>
    </w:p>
    <w:p>
      <w:pPr>
        <w:spacing w:after="0" w:line="171" w:lineRule="exact"/>
        <w:rPr>
          <w:sz w:val="24"/>
          <w:szCs w:val="24"/>
          <w:color w:val="auto"/>
        </w:rPr>
      </w:pPr>
    </w:p>
    <w:p>
      <w:pPr>
        <w:spacing w:after="0" w:line="207" w:lineRule="exact"/>
        <w:tabs>
          <w:tab w:leader="none" w:pos="3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Soliciting material pursuant to Rule 14a-12 under the Exchange Act (17 CFR 240.14a-12)</w:t>
      </w:r>
    </w:p>
    <w:p>
      <w:pPr>
        <w:spacing w:after="0" w:line="171" w:lineRule="exact"/>
        <w:rPr>
          <w:sz w:val="24"/>
          <w:szCs w:val="24"/>
          <w:color w:val="auto"/>
        </w:rPr>
      </w:pPr>
    </w:p>
    <w:p>
      <w:pPr>
        <w:spacing w:after="0" w:line="207" w:lineRule="exact"/>
        <w:tabs>
          <w:tab w:leader="none" w:pos="3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171" w:lineRule="exact"/>
        <w:rPr>
          <w:sz w:val="24"/>
          <w:szCs w:val="24"/>
          <w:color w:val="auto"/>
        </w:rPr>
      </w:pPr>
    </w:p>
    <w:p>
      <w:pPr>
        <w:spacing w:after="0" w:line="207" w:lineRule="exact"/>
        <w:tabs>
          <w:tab w:leader="none" w:pos="3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00"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(§230.405 of this chapter) or Rule 12b-2 of the Securities Exchange Act of 1934 (§240.12b-2 of this chapter).</w:t>
      </w:r>
    </w:p>
    <w:p>
      <w:pPr>
        <w:spacing w:after="0" w:line="6" w:lineRule="exact"/>
        <w:rPr>
          <w:sz w:val="24"/>
          <w:szCs w:val="24"/>
          <w:color w:val="auto"/>
        </w:rPr>
      </w:pPr>
    </w:p>
    <w:p>
      <w:pPr>
        <w:ind w:left="2060"/>
        <w:spacing w:after="0" w:line="207" w:lineRule="exact"/>
        <w:tabs>
          <w:tab w:leader="none" w:pos="47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33" w:lineRule="exact"/>
        <w:rPr>
          <w:sz w:val="24"/>
          <w:szCs w:val="24"/>
          <w:color w:val="auto"/>
        </w:rPr>
      </w:pPr>
    </w:p>
    <w:p>
      <w:pPr>
        <w:ind w:firstLine="226"/>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On January 11, 2021, Pilgrim’s Pride Corporation (“Pilgrim’s” or the “Company”) announced that it has entered into an agreement (the “Agreement”) to settle all claims made by the putative Direct Purchaser Plaintiff Class (“DPP Class”) in the </w:t>
      </w:r>
      <w:r>
        <w:rPr>
          <w:rFonts w:ascii="Times New Roman" w:cs="Times New Roman" w:eastAsia="Times New Roman" w:hAnsi="Times New Roman"/>
          <w:sz w:val="18"/>
          <w:szCs w:val="18"/>
          <w:i w:val="1"/>
          <w:iCs w:val="1"/>
          <w:color w:val="auto"/>
        </w:rPr>
        <w:t>In re Broiler Chicken Antitrust Litigation</w:t>
      </w:r>
      <w:r>
        <w:rPr>
          <w:rFonts w:ascii="Times New Roman" w:cs="Times New Roman" w:eastAsia="Times New Roman" w:hAnsi="Times New Roman"/>
          <w:sz w:val="18"/>
          <w:szCs w:val="18"/>
          <w:color w:val="auto"/>
        </w:rPr>
        <w:t xml:space="preserve"> (the “Broiler Antitrust Civil Litigation”). Pursuant to the Agreement, Pilgrim’s has agreed to pay the DPP Class $75 million, which will be reflected in Pilgrim’s fourth quarter 2020 financial statements. The Agreement is subject to court approval and does not settle claims made by plaintiffs outside of the DPP Class in the Broiler Antitrust Civil Litigation. While Pilgrim’s does not admit any liability for the claims alleged in the Broiler Antitrust Civil Litigation, it believes a settlement was in the best interests of the Company and its shareholders.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Attached as an Exhibit to this Form 8-K is the Company’s press release regarding the Agreement.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This Form 8-K contains forward-looking statements within the meaning of the “safe harbor” provisions of the Private Securities Litigation Reform Act of 1995. All statements, other than statements of historical facts, may be forward-looking statements. Words such as “subject,” “reflect,” “may,” “will,” “expects,” “believes” and similar expressions are used to identify these forward-looking statements. These forward-looking statements involve significant risks and uncertainties that could cause actual results to differ materially from expected results. Factors that could cause actual results to differ materially from those projected in such forward-looking statements include future developments related to the Agreement and the matters discussed herein, and other factors discussed in the risk factors sections of Pilgrim’s Quarterly Reports on Form 10-Q and Annual Reports on Form 10-K on file with the Securities and Exchange Commission. The forward-looking statements speak only as of the date hereof, and Pilgrim’s undertakes no obligation to update any such statement, whether as a result of new information, future developments or otherwise, except as may be required by applicable law.</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spacing w:after="0"/>
        <w:tabs>
          <w:tab w:leader="none" w:pos="1060" w:val="left"/>
        </w:tabs>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u w:val="single" w:color="auto"/>
            <w:color w:val="0000FF"/>
          </w:rPr>
          <w:t>Exhibit 99.1</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Press Release of Pilgrim's Pride Corporation dated January 11, 2021.</w:t>
      </w:r>
    </w:p>
    <w:p>
      <w:pPr>
        <w:spacing w:after="0" w:line="23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7"/>
          <w:szCs w:val="17"/>
          <w:color w:val="auto"/>
        </w:rPr>
        <w:t>Cover Page Interactive Data File formatted in iXBRL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822960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PILGRIM’S PRIDE CORPORATION</w:t>
      </w:r>
    </w:p>
    <w:p>
      <w:pPr>
        <w:spacing w:after="0" w:line="212" w:lineRule="exact"/>
        <w:rPr>
          <w:sz w:val="20"/>
          <w:szCs w:val="20"/>
          <w:color w:val="auto"/>
        </w:rPr>
      </w:pPr>
    </w:p>
    <w:p>
      <w:pPr>
        <w:ind w:left="20"/>
        <w:spacing w:after="0"/>
        <w:tabs>
          <w:tab w:leader="none" w:pos="700" w:val="left"/>
          <w:tab w:leader="none" w:pos="73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January 11, 2021</w:t>
      </w:r>
      <w:r>
        <w:rPr>
          <w:sz w:val="20"/>
          <w:szCs w:val="20"/>
          <w:color w:val="auto"/>
        </w:rPr>
        <w:tab/>
      </w:r>
      <w:r>
        <w:rPr>
          <w:rFonts w:ascii="Times New Roman" w:cs="Times New Roman" w:eastAsia="Times New Roman" w:hAnsi="Times New Roman"/>
          <w:sz w:val="17"/>
          <w:szCs w:val="17"/>
          <w:color w:val="auto"/>
        </w:rPr>
        <w:t>/s/ Fabio Sandri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17145</wp:posOffset>
            </wp:positionV>
            <wp:extent cx="24517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5173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17145</wp:posOffset>
            </wp:positionV>
            <wp:extent cx="11912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6"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Fabio Sandri</w:t>
      </w:r>
    </w:p>
    <w:p>
      <w:pPr>
        <w:spacing w:after="0" w:line="36"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President and Chief Executive Officer, Chief</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Financial Officer and Chief Accounting Officer</w:t>
      </w:r>
    </w:p>
    <w:p>
      <w:pPr>
        <w:sectPr>
          <w:pgSz w:w="11900" w:h="16838" w:orient="portrait"/>
          <w:cols w:equalWidth="0" w:num="1">
            <w:col w:w="10820"/>
          </w:cols>
          <w:pgMar w:left="320" w:top="887" w:right="7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2745740</wp:posOffset>
            </wp:positionH>
            <wp:positionV relativeFrom="page">
              <wp:posOffset>1066165</wp:posOffset>
            </wp:positionV>
            <wp:extent cx="2057400" cy="12687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057400" cy="1268730"/>
                    </a:xfrm>
                    <a:prstGeom prst="rect">
                      <a:avLst/>
                    </a:prstGeom>
                    <a:noFill/>
                  </pic:spPr>
                </pic:pic>
              </a:graphicData>
            </a:graphic>
          </wp:anchor>
        </w:drawing>
        <w:drawing>
          <wp:anchor simplePos="0" relativeHeight="251657728" behindDoc="1" locked="0" layoutInCell="0" allowOverlap="1">
            <wp:simplePos x="0" y="0"/>
            <wp:positionH relativeFrom="page">
              <wp:posOffset>2471420</wp:posOffset>
            </wp:positionH>
            <wp:positionV relativeFrom="page">
              <wp:posOffset>2549525</wp:posOffset>
            </wp:positionV>
            <wp:extent cx="2606040" cy="522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60604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Pilgrim's Announces Agreement with Direct Purchaser Plaintiff Class</w:t>
      </w:r>
    </w:p>
    <w:p>
      <w:pPr>
        <w:spacing w:after="0" w:line="24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 xml:space="preserve">GREELEY, Colo. – Jan. 11, 2021 – Pilgrim’s Pride Corporation (NASDAQ: PPC) today announced that it has entered into an agreement to settle all claims made by the putative Direct Purchaser Plaintiff Class (“DPP Class”) in the </w:t>
      </w:r>
      <w:r>
        <w:rPr>
          <w:rFonts w:ascii="Times New Roman" w:cs="Times New Roman" w:eastAsia="Times New Roman" w:hAnsi="Times New Roman"/>
          <w:sz w:val="20"/>
          <w:szCs w:val="20"/>
          <w:i w:val="1"/>
          <w:iCs w:val="1"/>
          <w:color w:val="auto"/>
        </w:rPr>
        <w:t>In re Broiler Chicken Antitrust Litigation</w:t>
      </w:r>
      <w:r>
        <w:rPr>
          <w:rFonts w:ascii="Times New Roman" w:cs="Times New Roman" w:eastAsia="Times New Roman" w:hAnsi="Times New Roman"/>
          <w:sz w:val="20"/>
          <w:szCs w:val="20"/>
          <w:color w:val="auto"/>
        </w:rPr>
        <w:t>. Under the settlement, Pilgrim’s has agreed to pay the DPP Class $75 million, which will be reflected in Pilgrim’s fourth quarter 2020 financial statements. The agreement is subject to court approval and does not settle claims made by Plaintiffs outside of the DPP Class. While Pilgrim’s does not admit any liability for the claims alleged in the Broiler Antitrust Civil Litigation, it believes a settlement was in the best interests of the Company and its shareholders.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20"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0"/>
          <w:szCs w:val="20"/>
          <w:color w:val="auto"/>
        </w:rPr>
        <w:t>This Press Release contains forward-looking statements within the meaning of the “safe harbor” provisions of the Private Securities Litigation Reform Act of 1995. All statements, other than statements of historical facts, may be forward-looking statements. Words such as “subject,” “reflect,” “may,” “will,” “expects,” “believes” and similar expressions are used to identify these forward-looking statements. These forward-looking statements involve significant risks and uncertainties that could cause actual results to differ materially from expected results. Factors that could cause actual results to differ materially from those projected in such forward-looking statements include future developments related to the Agreement and the matters discussed herein, and other factors discussed in the risk factors sections of Pilgrim’s Quarterly Reports on Form 10-Q and Annual Reports on Form 10-K on file with the Securities and Exchange Commission. The forward-looking statements speak only as of the date hereof, and Pilgrim’s undertakes no obligation to update any such statement, whether as a result of new information, future developments or otherwise, except as may be required by applicable law.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Pilgrim’s</w:t>
      </w:r>
    </w:p>
    <w:p>
      <w:pPr>
        <w:spacing w:after="0" w:line="2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a global food company with more than 58,000 team members, Pilgrim’s processes, prepares, packages and delivers fresh, frozen and value-added food products for customers in more than 100 countries. For more information, please visit www.pilgrims.com.</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color w:val="auto"/>
        </w:rPr>
        <w:t>Cameron Bruett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Corporate Affairs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cameron.bruett@jbssa.com</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970.506.7801</w:t>
      </w:r>
    </w:p>
    <w:sectPr>
      <w:pgSz w:w="11900" w:h="16838" w:orient="portrait"/>
      <w:cols w:equalWidth="0" w:num="1">
        <w:col w:w="10139"/>
      </w:cols>
      <w:pgMar w:left="320" w:top="14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2021-01-11T06:23:15Z</dcterms:created>
  <dcterms:modified xsi:type="dcterms:W3CDTF">2021-01-11T06:23:15Z</dcterms:modified>
</cp:coreProperties>
</file>