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33" w:lineRule="exact"/>
        <w:rPr>
          <w:sz w:val="24"/>
          <w:szCs w:val="24"/>
          <w:color w:val="auto"/>
        </w:rPr>
      </w:pPr>
    </w:p>
    <w:p>
      <w:pPr>
        <w:jc w:val="right"/>
        <w:ind w:right="1159"/>
        <w:spacing w:after="0"/>
        <w:rPr>
          <w:sz w:val="20"/>
          <w:szCs w:val="20"/>
          <w:color w:val="auto"/>
        </w:rPr>
      </w:pPr>
      <w:r>
        <w:rPr>
          <w:rFonts w:ascii="Times New Roman" w:cs="Times New Roman" w:eastAsia="Times New Roman" w:hAnsi="Times New Roman"/>
          <w:sz w:val="19"/>
          <w:szCs w:val="19"/>
          <w:b w:val="1"/>
          <w:bCs w:val="1"/>
          <w:color w:val="auto"/>
        </w:rPr>
        <w:t>PROXY STATEMENT PURSUANT TO SECTION 14(a) OF THE SECURITIES</w:t>
      </w:r>
    </w:p>
    <w:p>
      <w:pPr>
        <w:spacing w:after="0" w:line="3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9"/>
          <w:szCs w:val="19"/>
          <w:b w:val="1"/>
          <w:bCs w:val="1"/>
          <w:color w:val="auto"/>
        </w:rPr>
        <w:t>EXCHANGE ACT OF 1934</w:t>
      </w:r>
    </w:p>
    <w:p>
      <w:pPr>
        <w:spacing w:after="0" w:line="1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9"/>
          <w:szCs w:val="19"/>
          <w:b w:val="1"/>
          <w:bCs w:val="1"/>
          <w:color w:val="auto"/>
        </w:rPr>
        <w:t>(Amendment No. )</w:t>
      </w:r>
    </w:p>
    <w:p>
      <w:pPr>
        <w:spacing w:after="0" w:line="1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8" w:lineRule="exact"/>
        <w:rPr>
          <w:sz w:val="24"/>
          <w:szCs w:val="24"/>
          <w:color w:val="auto"/>
        </w:rPr>
      </w:pPr>
    </w:p>
    <w:p>
      <w:pPr>
        <w:ind w:left="360" w:hanging="355"/>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1" w:lineRule="exact"/>
        <w:rPr>
          <w:rFonts w:ascii="Wingdings" w:cs="Wingdings" w:eastAsia="Wingdings" w:hAnsi="Wingdings"/>
          <w:sz w:val="18"/>
          <w:szCs w:val="18"/>
          <w:b w:val="1"/>
          <w:bCs w:val="1"/>
          <w:color w:val="auto"/>
        </w:rPr>
      </w:pPr>
    </w:p>
    <w:p>
      <w:pPr>
        <w:ind w:right="4079" w:firstLine="5"/>
        <w:spacing w:after="0" w:line="212" w:lineRule="exact"/>
        <w:tabs>
          <w:tab w:leader="none" w:pos="351"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40" w:hanging="335"/>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 w:lineRule="exact"/>
        <w:rPr>
          <w:rFonts w:ascii="Wingdings" w:cs="Wingdings" w:eastAsia="Wingdings" w:hAnsi="Wingdings"/>
          <w:sz w:val="18"/>
          <w:szCs w:val="18"/>
          <w:b w:val="1"/>
          <w:bCs w:val="1"/>
          <w:color w:val="auto"/>
        </w:rPr>
      </w:pPr>
    </w:p>
    <w:p>
      <w:pPr>
        <w:ind w:left="360" w:hanging="355"/>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22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1"/>
          <w:szCs w:val="21"/>
          <w:color w:val="auto"/>
        </w:rPr>
        <w:t>PILGRIM’S PRIDE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8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361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1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08" w:lineRule="exact"/>
        <w:rPr>
          <w:sz w:val="24"/>
          <w:szCs w:val="24"/>
          <w:color w:val="auto"/>
        </w:rPr>
      </w:pPr>
    </w:p>
    <w:p>
      <w:pPr>
        <w:ind w:left="360" w:hanging="355"/>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08" w:lineRule="exact"/>
        <w:rPr>
          <w:sz w:val="24"/>
          <w:szCs w:val="24"/>
          <w:color w:val="auto"/>
        </w:rPr>
      </w:pPr>
    </w:p>
    <w:p>
      <w:pPr>
        <w:ind w:left="360" w:hanging="355"/>
        <w:spacing w:after="0"/>
        <w:tabs>
          <w:tab w:leader="none" w:pos="3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08" w:lineRule="exact"/>
        <w:rPr>
          <w:rFonts w:ascii="Wingdings" w:cs="Wingdings" w:eastAsia="Wingdings" w:hAnsi="Wingdings"/>
          <w:sz w:val="18"/>
          <w:szCs w:val="18"/>
          <w:b w:val="1"/>
          <w:bCs w:val="1"/>
          <w:color w:val="auto"/>
        </w:rPr>
      </w:pPr>
    </w:p>
    <w:p>
      <w:pPr>
        <w:ind w:left="360" w:hanging="355"/>
        <w:spacing w:after="0"/>
        <w:tabs>
          <w:tab w:leader="none" w:pos="3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543560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97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color w:val="auto"/>
        </w:rPr>
        <w:t>Dear Fellow Pilgrim’s Shareholders:</w:t>
      </w:r>
    </w:p>
    <w:p>
      <w:pPr>
        <w:spacing w:after="0" w:line="22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During 2023, we were very proud of our ability to succeed in the face of volatile market conditions. The year began with exceptionally challenging commodity values, elevated input costs, and persistent consumer inflation. Nonetheless, we maintained a leadership mindset and</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continued to emphasize team member safety and well-being, consistent execution of our strategies, and controllables in our business. As market conditions evolved, we became increasingly well positioned to accelerate profitable growth.</w:t>
      </w:r>
    </w:p>
    <w:p>
      <w:pPr>
        <w:spacing w:after="0" w:line="1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In the U.S., our diversified portfolio across bird sizes and value-added product offerings mitigated challenging fundamentals of the pure commodity markets. Case Ready and Small Bird strengthened relationships with Key Customers through increased distribution and promotional activity, whereas Big Bird improved production efficiencies through operational excellence efforts. In Prepared Foods, momentum for our</w:t>
      </w:r>
    </w:p>
    <w:p>
      <w:pPr>
        <w:spacing w:after="0" w:line="1" w:lineRule="exact"/>
        <w:rPr>
          <w:sz w:val="20"/>
          <w:szCs w:val="20"/>
          <w:color w:val="auto"/>
        </w:rPr>
      </w:pPr>
    </w:p>
    <w:p>
      <w:pPr>
        <w:jc w:val="both"/>
        <w:spacing w:after="0" w:line="202" w:lineRule="auto"/>
        <w:rPr>
          <w:sz w:val="20"/>
          <w:szCs w:val="20"/>
          <w:color w:val="auto"/>
        </w:rPr>
      </w:pPr>
      <w:r>
        <w:rPr>
          <w:rFonts w:ascii="Times New Roman" w:cs="Times New Roman" w:eastAsia="Times New Roman" w:hAnsi="Times New Roman"/>
          <w:sz w:val="19"/>
          <w:szCs w:val="19"/>
          <w:color w:val="auto"/>
        </w:rPr>
        <w:t xml:space="preserve">branded, fully cooked offerings of </w:t>
      </w:r>
      <w:r>
        <w:rPr>
          <w:rFonts w:ascii="Times New Roman" w:cs="Times New Roman" w:eastAsia="Times New Roman" w:hAnsi="Times New Roman"/>
          <w:sz w:val="19"/>
          <w:szCs w:val="19"/>
          <w:i w:val="1"/>
          <w:iCs w:val="1"/>
          <w:color w:val="auto"/>
        </w:rPr>
        <w:t>Just Bare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Pilgrim’s</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9"/>
          <w:szCs w:val="19"/>
          <w:color w:val="auto"/>
        </w:rPr>
        <w:t xml:space="preserve"> continued as sales grew nearly 60% year over year further diversifying our portfolio. Our efforts to further connect with the consumer through e-commerce became increasingly effective as digitally-influenced sales more</w:t>
      </w:r>
    </w:p>
    <w:p>
      <w:pPr>
        <w:spacing w:after="0"/>
        <w:rPr>
          <w:sz w:val="20"/>
          <w:szCs w:val="20"/>
          <w:color w:val="auto"/>
        </w:rPr>
      </w:pPr>
      <w:r>
        <w:rPr>
          <w:rFonts w:ascii="Times New Roman" w:cs="Times New Roman" w:eastAsia="Times New Roman" w:hAnsi="Times New Roman"/>
          <w:sz w:val="19"/>
          <w:szCs w:val="19"/>
          <w:color w:val="auto"/>
        </w:rPr>
        <w:t>than doubled.</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In Europe, we reinforced our foundation to scale profitable growth through operational excellence. To that end, we continued to optimize our manufacturing network and further integrate our back-office support activities. Equally important, our portfolio diversification efforts through</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 xml:space="preserve">branded offerings strengthened as sales increased over 10% year over year. Both </w:t>
      </w:r>
      <w:r>
        <w:rPr>
          <w:rFonts w:ascii="Times New Roman" w:cs="Times New Roman" w:eastAsia="Times New Roman" w:hAnsi="Times New Roman"/>
          <w:sz w:val="19"/>
          <w:szCs w:val="19"/>
          <w:i w:val="1"/>
          <w:iCs w:val="1"/>
          <w:color w:val="auto"/>
        </w:rPr>
        <w:t>Richmond</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Rollover</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9"/>
          <w:szCs w:val="19"/>
          <w:color w:val="auto"/>
        </w:rPr>
        <w:t xml:space="preserve"> were well-received as sales grew 17% and 31% year over year, respectively.</w:t>
      </w:r>
    </w:p>
    <w:p>
      <w:pPr>
        <w:spacing w:after="0" w:line="18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9"/>
          <w:szCs w:val="19"/>
          <w:color w:val="auto"/>
        </w:rPr>
        <w:t xml:space="preserve">In Mexico, we enhanced our operational excellence through investments in live operations and capacity expansion. Efforts to further diversify our portfolio through brands continued to gain momentum as </w:t>
      </w:r>
      <w:r>
        <w:rPr>
          <w:rFonts w:ascii="Times New Roman" w:cs="Times New Roman" w:eastAsia="Times New Roman" w:hAnsi="Times New Roman"/>
          <w:sz w:val="19"/>
          <w:szCs w:val="19"/>
          <w:i w:val="1"/>
          <w:iCs w:val="1"/>
          <w:color w:val="auto"/>
        </w:rPr>
        <w:t>Favoritos</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Unique Taste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9"/>
          <w:szCs w:val="19"/>
          <w:color w:val="auto"/>
        </w:rPr>
        <w:t xml:space="preserve"> branded sales increased significantly since the beginning of 2023.</w:t>
      </w:r>
    </w:p>
    <w:p>
      <w:pPr>
        <w:spacing w:after="0" w:line="18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Our efforts to drive sustainability throughout our business continue to progress. We achieved reductions in energy usage intensity in all regions. In addition, 490 team members and their children have enrolled in our tuition-free higher education through our Better Futures program. Our</w:t>
      </w:r>
    </w:p>
    <w:p>
      <w:pPr>
        <w:jc w:val="both"/>
        <w:spacing w:after="0" w:line="234" w:lineRule="auto"/>
        <w:rPr>
          <w:sz w:val="20"/>
          <w:szCs w:val="20"/>
          <w:color w:val="auto"/>
        </w:rPr>
      </w:pPr>
      <w:r>
        <w:rPr>
          <w:rFonts w:ascii="Times New Roman" w:cs="Times New Roman" w:eastAsia="Times New Roman" w:hAnsi="Times New Roman"/>
          <w:sz w:val="19"/>
          <w:szCs w:val="19"/>
          <w:color w:val="auto"/>
        </w:rPr>
        <w:t xml:space="preserve">Hometown Strong program has approved investments for 150 community projects to date. Recently, </w:t>
      </w:r>
      <w:r>
        <w:rPr>
          <w:rFonts w:ascii="Times New Roman" w:cs="Times New Roman" w:eastAsia="Times New Roman" w:hAnsi="Times New Roman"/>
          <w:sz w:val="19"/>
          <w:szCs w:val="19"/>
          <w:i w:val="1"/>
          <w:iCs w:val="1"/>
          <w:color w:val="auto"/>
        </w:rPr>
        <w:t>Newsweek</w:t>
      </w:r>
      <w:r>
        <w:rPr>
          <w:rFonts w:ascii="Times New Roman" w:cs="Times New Roman" w:eastAsia="Times New Roman" w:hAnsi="Times New Roman"/>
          <w:sz w:val="19"/>
          <w:szCs w:val="19"/>
          <w:color w:val="auto"/>
        </w:rPr>
        <w:t xml:space="preserve"> recognized Pilgrim’s as one of America’s Greatest Workplaces for Women and one of America’s Greatest Places for Diversity.</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Our trajectory of profitable growth with Key Customers and portfolio differentiation continue to accelerate, with the successful completion of our Athens, Georgia expansion and with the construction of our protein conversion plant in South Georgia.</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For fiscal year 2023, we realized net sales of $17.4 billion, generated net income of $321.6 million, and attained GAAP EPS of $1.36. Our adjusted EBITDA* (Earnings Before Interest, Taxes, Depreciation and Amortization) was $1.0 billion, or a 6.0% margin.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Moving forward, we will maintain our focus on our values, unwavering commitment to team member safety and well-being, and relentless</w:t>
      </w:r>
    </w:p>
    <w:p>
      <w:pPr>
        <w:spacing w:after="0" w:line="1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9"/>
          <w:szCs w:val="19"/>
          <w:color w:val="auto"/>
        </w:rPr>
        <w:t>execution of our strategy. Based on these efforts, we can elevate our performance and amplify our competitive advantage, creating the opportunity of a better future for our team members and taking another step forward in our vision to become the best and most respected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in our industry.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Thank you for your continued support.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Fabio Sandri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Fabio Sandri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President and Chief Executive Officer, Pilgrim’s Pride Corporation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 a reconciliation of this non-GAAP financial measure to the comparable GAAP measure, please see Annex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468630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5"/>
          <w:szCs w:val="25"/>
          <w:b w:val="1"/>
          <w:bCs w:val="1"/>
          <w:color w:val="auto"/>
        </w:rPr>
        <w:t>Pilgrim’s Pride Corporation</w:t>
      </w:r>
    </w:p>
    <w:p>
      <w:pPr>
        <w:spacing w:after="0" w:line="3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1770 Promontory Circle</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Greeley, Colorado 80634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NOTICE OF ANNUAL MEETING OF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Be Held May 1, 2024</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annual meeting of stockholders of Pilgrim’s Pride Corporation will be held at Pilgrim’s Pride corporate headquarters, at 1770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Promontory Circle, Greeley, Colorado, on Wednesday, May 1, 2024, at 8:00 a.m., local time, to consider and vote on the following matters:</w:t>
      </w:r>
    </w:p>
    <w:p>
      <w:pPr>
        <w:spacing w:after="0" w:line="154" w:lineRule="exact"/>
        <w:rPr>
          <w:sz w:val="20"/>
          <w:szCs w:val="20"/>
          <w:color w:val="auto"/>
        </w:rPr>
      </w:pPr>
    </w:p>
    <w:p>
      <w:pPr>
        <w:ind w:left="1260" w:hanging="624"/>
        <w:spacing w:after="0" w:line="281"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To elect Gilberto Tomazoni, Wesley Mendonça Batista, Joesley Mendonça Batista, Andre Nogueira de Souza, Farha Aslam, and Raul Padilla as the six JBS Directors;</w:t>
      </w:r>
    </w:p>
    <w:p>
      <w:pPr>
        <w:spacing w:after="0" w:line="106"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To elect Wallim Cruz de Vasconcellos Junior, Arquimedes A. Celis and Ajay Menon as the three Equity Directors;</w:t>
      </w:r>
    </w:p>
    <w:p>
      <w:pPr>
        <w:spacing w:after="0" w:line="175"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To conduct a stockholder advisory vote on executive compensation;</w:t>
      </w:r>
    </w:p>
    <w:p>
      <w:pPr>
        <w:spacing w:after="0" w:line="162"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ratify the appointment of KPMG LLP as our independent registered public accounting firm for 2024;</w:t>
      </w:r>
    </w:p>
    <w:p>
      <w:pPr>
        <w:spacing w:after="0" w:line="175" w:lineRule="exact"/>
        <w:rPr>
          <w:rFonts w:ascii="Times New Roman" w:cs="Times New Roman" w:eastAsia="Times New Roman" w:hAnsi="Times New Roman"/>
          <w:sz w:val="19"/>
          <w:szCs w:val="19"/>
          <w:color w:val="auto"/>
        </w:rPr>
      </w:pPr>
    </w:p>
    <w:p>
      <w:pPr>
        <w:ind w:left="1260" w:hanging="624"/>
        <w:spacing w:after="0"/>
        <w:tabs>
          <w:tab w:leader="none" w:pos="12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transact such other business as may properly be brought before the meeting or any adjournment thereof.</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No other matters are expected to be voted on at the annual meeting.</w:t>
      </w:r>
    </w:p>
    <w:p>
      <w:pPr>
        <w:spacing w:after="0" w:line="176"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The Board of Directors has fixed the close of business on March 12, 2024, as the record date for determining stockholders entitled to notice of, and to vote at, the annual meeting. If you owned shares of our common stock at the close of business on that date, you are cordially invited to attend the annual meeting. Whether or not you plan to attend the annual meeting, please vote at your earliest convenience. Most stockholders have three options for submitting their votes prior to the meeting:</w:t>
      </w:r>
    </w:p>
    <w:p>
      <w:pPr>
        <w:spacing w:after="0" w:line="106" w:lineRule="exact"/>
        <w:rPr>
          <w:sz w:val="20"/>
          <w:szCs w:val="20"/>
          <w:color w:val="auto"/>
        </w:rPr>
      </w:pPr>
    </w:p>
    <w:p>
      <w:pPr>
        <w:ind w:left="1040" w:hanging="404"/>
        <w:spacing w:after="0"/>
        <w:tabs>
          <w:tab w:leader="none" w:pos="10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via the internet;</w:t>
      </w:r>
    </w:p>
    <w:p>
      <w:pPr>
        <w:spacing w:after="0" w:line="175" w:lineRule="exact"/>
        <w:rPr>
          <w:rFonts w:ascii="Times New Roman" w:cs="Times New Roman" w:eastAsia="Times New Roman" w:hAnsi="Times New Roman"/>
          <w:sz w:val="19"/>
          <w:szCs w:val="19"/>
          <w:color w:val="auto"/>
        </w:rPr>
      </w:pPr>
    </w:p>
    <w:p>
      <w:pPr>
        <w:ind w:left="1040" w:hanging="404"/>
        <w:spacing w:after="0"/>
        <w:tabs>
          <w:tab w:leader="none" w:pos="10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telephone; or</w:t>
      </w:r>
    </w:p>
    <w:p>
      <w:pPr>
        <w:spacing w:after="0" w:line="162" w:lineRule="exact"/>
        <w:rPr>
          <w:rFonts w:ascii="Times New Roman" w:cs="Times New Roman" w:eastAsia="Times New Roman" w:hAnsi="Times New Roman"/>
          <w:sz w:val="19"/>
          <w:szCs w:val="19"/>
          <w:color w:val="auto"/>
        </w:rPr>
      </w:pPr>
    </w:p>
    <w:p>
      <w:pPr>
        <w:ind w:left="1040" w:hanging="404"/>
        <w:spacing w:after="0"/>
        <w:tabs>
          <w:tab w:leader="none" w:pos="10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mail.</w:t>
      </w:r>
    </w:p>
    <w:p>
      <w:pPr>
        <w:spacing w:after="0" w:line="172" w:lineRule="exact"/>
        <w:rPr>
          <w:sz w:val="20"/>
          <w:szCs w:val="20"/>
          <w:color w:val="auto"/>
        </w:rPr>
      </w:pPr>
    </w:p>
    <w:p>
      <w:pPr>
        <w:jc w:val="both"/>
        <w:ind w:firstLine="631"/>
        <w:spacing w:after="0" w:line="273" w:lineRule="auto"/>
        <w:rPr>
          <w:sz w:val="20"/>
          <w:szCs w:val="20"/>
          <w:color w:val="auto"/>
        </w:rPr>
      </w:pPr>
      <w:r>
        <w:rPr>
          <w:rFonts w:ascii="Times New Roman" w:cs="Times New Roman" w:eastAsia="Times New Roman" w:hAnsi="Times New Roman"/>
          <w:sz w:val="19"/>
          <w:szCs w:val="19"/>
          <w:b w:val="1"/>
          <w:bCs w:val="1"/>
          <w:color w:val="auto"/>
        </w:rPr>
        <w:t>The health and well-being of our employees and stockholders are paramount and there is a possibility that we may need to change the format of our meeting to allow stockholder participation by means of remote communication. If we determine it necessary to make changes to our annual meeting, we will announce the decision to do so in advance.</w:t>
      </w:r>
    </w:p>
    <w:p>
      <w:pPr>
        <w:spacing w:after="0" w:line="113"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Please refer to the specific instructions set forth on the enclosed proxy card (if you are a stockholder of record) or voting instruction form (if you hold shares through a bank, broker or other nominee). Admission to the annual meeting will be limited to our stockholders, proxy holders and invited guests. We reserve the right to implement safety measures as we deem prudent or as required by any applicable laws or government orders. If you are a stockholder of record, please bring a form of government-issued photo identification to the annual meeting. If you hold shares through a bank, broker or other nominee, please bring a form of government-issued photo identification and proof of beneficial ownership (such as a brokerage statement), and, if you wish to vote your shares in person, a signed legal proxy from the stockholder of record.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60" w:type="dxa"/>
            <w:vAlign w:val="bottom"/>
          </w:tcPr>
          <w:p>
            <w:pPr>
              <w:spacing w:after="0"/>
              <w:rPr>
                <w:sz w:val="19"/>
                <w:szCs w:val="19"/>
                <w:color w:val="auto"/>
              </w:rPr>
            </w:pPr>
          </w:p>
        </w:tc>
        <w:tc>
          <w:tcPr>
            <w:tcW w:w="6080" w:type="dxa"/>
            <w:vAlign w:val="bottom"/>
          </w:tcPr>
          <w:p>
            <w:pPr>
              <w:jc w:val="center"/>
              <w:ind w:left="3192"/>
              <w:spacing w:after="0"/>
              <w:rPr>
                <w:sz w:val="20"/>
                <w:szCs w:val="20"/>
                <w:color w:val="auto"/>
              </w:rPr>
            </w:pPr>
            <w:r>
              <w:rPr>
                <w:rFonts w:ascii="Times New Roman" w:cs="Times New Roman" w:eastAsia="Times New Roman" w:hAnsi="Times New Roman"/>
                <w:sz w:val="18"/>
                <w:szCs w:val="18"/>
                <w:color w:val="auto"/>
                <w:w w:val="95"/>
              </w:rPr>
              <w:t>FABIO SANDRI</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Greeley, Colorado</w:t>
            </w:r>
          </w:p>
        </w:tc>
        <w:tc>
          <w:tcPr>
            <w:tcW w:w="6080" w:type="dxa"/>
            <w:vAlign w:val="bottom"/>
          </w:tcPr>
          <w:p>
            <w:pPr>
              <w:jc w:val="center"/>
              <w:ind w:left="3192"/>
              <w:spacing w:after="0"/>
              <w:rPr>
                <w:sz w:val="20"/>
                <w:szCs w:val="20"/>
                <w:color w:val="auto"/>
              </w:rPr>
            </w:pPr>
            <w:r>
              <w:rPr>
                <w:rFonts w:ascii="Times New Roman" w:cs="Times New Roman" w:eastAsia="Times New Roman" w:hAnsi="Times New Roman"/>
                <w:sz w:val="18"/>
                <w:szCs w:val="18"/>
                <w:i w:val="1"/>
                <w:iCs w:val="1"/>
                <w:color w:val="auto"/>
                <w:w w:val="95"/>
              </w:rPr>
              <w:t>President and</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 2024</w:t>
            </w:r>
          </w:p>
        </w:tc>
        <w:tc>
          <w:tcPr>
            <w:tcW w:w="6080" w:type="dxa"/>
            <w:vAlign w:val="bottom"/>
          </w:tcPr>
          <w:p>
            <w:pPr>
              <w:jc w:val="center"/>
              <w:ind w:left="3192"/>
              <w:spacing w:after="0"/>
              <w:rPr>
                <w:sz w:val="20"/>
                <w:szCs w:val="20"/>
                <w:color w:val="auto"/>
              </w:rPr>
            </w:pPr>
            <w:r>
              <w:rPr>
                <w:rFonts w:ascii="Times New Roman" w:cs="Times New Roman" w:eastAsia="Times New Roman" w:hAnsi="Times New Roman"/>
                <w:sz w:val="18"/>
                <w:szCs w:val="18"/>
                <w:i w:val="1"/>
                <w:iCs w:val="1"/>
                <w:color w:val="auto"/>
                <w:w w:val="97"/>
              </w:rPr>
              <w:t>Chief Executive Officer</w:t>
            </w:r>
          </w:p>
        </w:tc>
      </w:tr>
      <w:tr>
        <w:trPr>
          <w:trHeight w:val="835"/>
        </w:trPr>
        <w:tc>
          <w:tcPr>
            <w:tcW w:w="516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YOUR VOTE IS IMPORTANT!</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PLEASE SIGN AND RETURN THE ACCOMPANYING PROXY CARD OR VOTING INSTRUCTION FORM OR VOTE YOUR SHARES ON THE INTERNET OR BY TELEPHONE BY FOLLOWING THE INSTRUCTIONS ON THE PROXY CARD OR VOTING INSTRUCTION FORM.</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b w:val="1"/>
          <w:bCs w:val="1"/>
          <w:color w:val="auto"/>
        </w:rPr>
        <w:t>IMPORTANT NOTICE REGARDING THE AVAILABILITY OF PROXY MATERIALS FOR THE STOCKHOLDER MEETING TO BE HELD ON May 1, 2024</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The Proxy Statement and the 2023 Annual Report on Form 10-K are available at </w:t>
      </w:r>
      <w:r>
        <w:rPr>
          <w:rFonts w:ascii="Times New Roman" w:cs="Times New Roman" w:eastAsia="Times New Roman" w:hAnsi="Times New Roman"/>
          <w:sz w:val="19"/>
          <w:szCs w:val="19"/>
          <w:b w:val="1"/>
          <w:bCs w:val="1"/>
          <w:u w:val="single" w:color="auto"/>
          <w:color w:val="0000FF"/>
        </w:rPr>
        <w:t>www.proxyvote.com</w:t>
      </w:r>
      <w:r>
        <w:rPr>
          <w:rFonts w:ascii="Times New Roman" w:cs="Times New Roman" w:eastAsia="Times New Roman" w:hAnsi="Times New Roman"/>
          <w:sz w:val="19"/>
          <w:szCs w:val="19"/>
          <w:color w:val="auto"/>
        </w:rPr>
        <w:t>.</w:t>
      </w:r>
    </w:p>
    <w:p>
      <w:pPr>
        <w:spacing w:after="0"/>
        <w:rPr>
          <w:sz w:val="20"/>
          <w:szCs w:val="20"/>
          <w:color w:val="auto"/>
        </w:rPr>
      </w:pPr>
      <w:r>
        <w:rPr>
          <w:rFonts w:ascii="Times New Roman" w:cs="Times New Roman" w:eastAsia="Times New Roman" w:hAnsi="Times New Roman"/>
          <w:sz w:val="19"/>
          <w:szCs w:val="19"/>
          <w:b w:val="1"/>
          <w:bCs w:val="1"/>
          <w:color w:val="auto"/>
        </w:rPr>
        <w:t>Enter the 16-digit control number located on the proxy card and click “Continue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462915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2"/>
        </w:trPr>
        <w:tc>
          <w:tcPr>
            <w:tcW w:w="9260" w:type="dxa"/>
            <w:vAlign w:val="bottom"/>
          </w:tcPr>
          <w:p>
            <w:pPr>
              <w:ind w:left="4640"/>
              <w:spacing w:after="0"/>
              <w:rPr>
                <w:sz w:val="20"/>
                <w:szCs w:val="20"/>
                <w:color w:val="auto"/>
              </w:rPr>
            </w:pPr>
            <w:r>
              <w:rPr>
                <w:rFonts w:ascii="Times New Roman" w:cs="Times New Roman" w:eastAsia="Times New Roman" w:hAnsi="Times New Roman"/>
                <w:sz w:val="19"/>
                <w:szCs w:val="19"/>
                <w:color w:val="auto"/>
              </w:rPr>
              <w:t>TABLE OF CONTENTS</w:t>
            </w: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9260" w:type="dxa"/>
            <w:vAlign w:val="bottom"/>
          </w:tcPr>
          <w:p>
            <w:pPr>
              <w:spacing w:after="0"/>
              <w:rPr>
                <w:sz w:val="22"/>
                <w:szCs w:val="22"/>
                <w:color w:val="auto"/>
              </w:rPr>
            </w:pPr>
          </w:p>
        </w:tc>
        <w:tc>
          <w:tcPr>
            <w:tcW w:w="1980" w:type="dxa"/>
            <w:vAlign w:val="bottom"/>
            <w:gridSpan w:val="5"/>
          </w:tcPr>
          <w:p>
            <w:pPr>
              <w:ind w:left="1260"/>
              <w:spacing w:after="0"/>
              <w:rPr>
                <w:sz w:val="20"/>
                <w:szCs w:val="20"/>
                <w:color w:val="auto"/>
              </w:rPr>
            </w:pPr>
            <w:r>
              <w:rPr>
                <w:rFonts w:ascii="Times New Roman" w:cs="Times New Roman" w:eastAsia="Times New Roman" w:hAnsi="Times New Roman"/>
                <w:sz w:val="19"/>
                <w:szCs w:val="19"/>
                <w:color w:val="auto"/>
              </w:rPr>
              <w:t>Page</w:t>
            </w:r>
          </w:p>
        </w:tc>
        <w:tc>
          <w:tcPr>
            <w:tcW w:w="0" w:type="dxa"/>
            <w:vAlign w:val="bottom"/>
          </w:tcPr>
          <w:p>
            <w:pPr>
              <w:spacing w:after="0"/>
              <w:rPr>
                <w:sz w:val="1"/>
                <w:szCs w:val="1"/>
                <w:color w:val="auto"/>
              </w:rPr>
            </w:pPr>
          </w:p>
        </w:tc>
      </w:tr>
      <w:tr>
        <w:trPr>
          <w:trHeight w:val="207"/>
        </w:trPr>
        <w:tc>
          <w:tcPr>
            <w:tcW w:w="9260" w:type="dxa"/>
            <w:vAlign w:val="bottom"/>
          </w:tcPr>
          <w:p>
            <w:pPr>
              <w:ind w:left="40"/>
              <w:spacing w:after="0" w:line="207" w:lineRule="exact"/>
              <w:rPr>
                <w:sz w:val="20"/>
                <w:szCs w:val="20"/>
                <w:color w:val="auto"/>
              </w:rPr>
            </w:pPr>
            <w:r>
              <w:rPr>
                <w:rFonts w:ascii="Times New Roman" w:cs="Times New Roman" w:eastAsia="Times New Roman" w:hAnsi="Times New Roman"/>
                <w:sz w:val="19"/>
                <w:szCs w:val="19"/>
                <w:color w:val="auto"/>
              </w:rPr>
              <w:t>General Information</w:t>
            </w:r>
          </w:p>
        </w:tc>
        <w:tc>
          <w:tcPr>
            <w:tcW w:w="1500" w:type="dxa"/>
            <w:vAlign w:val="bottom"/>
            <w:gridSpan w:val="3"/>
          </w:tcPr>
          <w:p>
            <w:pPr>
              <w:jc w:val="center"/>
              <w:ind w:left="1304"/>
              <w:spacing w:after="0" w:line="207" w:lineRule="exact"/>
              <w:rPr>
                <w:sz w:val="20"/>
                <w:szCs w:val="20"/>
                <w:color w:val="auto"/>
              </w:rPr>
            </w:pPr>
            <w:r>
              <w:rPr>
                <w:rFonts w:ascii="Times New Roman" w:cs="Times New Roman" w:eastAsia="Times New Roman" w:hAnsi="Times New Roman"/>
                <w:sz w:val="19"/>
                <w:szCs w:val="19"/>
                <w:color w:val="0000FF"/>
              </w:rPr>
              <w:t>1</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Proposal 1. Election of JBS Directors</w:t>
            </w:r>
          </w:p>
        </w:tc>
        <w:tc>
          <w:tcPr>
            <w:tcW w:w="1500" w:type="dxa"/>
            <w:vAlign w:val="bottom"/>
            <w:gridSpan w:val="3"/>
          </w:tcPr>
          <w:p>
            <w:pPr>
              <w:jc w:val="center"/>
              <w:ind w:left="1304"/>
              <w:spacing w:after="0"/>
              <w:rPr>
                <w:sz w:val="20"/>
                <w:szCs w:val="20"/>
                <w:color w:val="auto"/>
              </w:rPr>
            </w:pPr>
            <w:r>
              <w:rPr>
                <w:rFonts w:ascii="Times New Roman" w:cs="Times New Roman" w:eastAsia="Times New Roman" w:hAnsi="Times New Roman"/>
                <w:sz w:val="19"/>
                <w:szCs w:val="19"/>
                <w:color w:val="0000FF"/>
              </w:rPr>
              <w:t>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Proposal 2. Election of Equity Directors</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10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Corporate Governance</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12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2023 Director Compensation</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17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Proposal 3. Approval of the Advisory Vote on Executive Compensation</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18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Report of the Compensation Committee</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Compensation Discussion and Analysis</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20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Executive Compensation</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29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Compensation Risks</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38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Compensation Committee Interlocks and Insider Participation</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38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Delinquent Section 16(a) Reports</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38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Security Ownership</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39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Related Party Transactions</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39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Proposal 4. Ratification of the Appointment of Independent Registered Public Accounting Firm</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41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Report of the Audit Committee</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42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Independent Registered Public Accounting Firm Fee Information</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43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Householding of Stockholder Materials</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45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Stockholder Proposals for 2025 Annual Meeting of Stockholders</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45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Important Notice Regarding the Availability of Proxy Materials for the Stockholder Meeting to be Held</w:t>
            </w:r>
          </w:p>
        </w:tc>
        <w:tc>
          <w:tcPr>
            <w:tcW w:w="1340" w:type="dxa"/>
            <w:vAlign w:val="bottom"/>
            <w:vMerge w:val="restart"/>
          </w:tcPr>
          <w:p>
            <w:pPr>
              <w:spacing w:after="0"/>
              <w:rPr>
                <w:sz w:val="19"/>
                <w:szCs w:val="19"/>
                <w:color w:val="auto"/>
              </w:rPr>
            </w:pPr>
          </w:p>
        </w:tc>
        <w:tc>
          <w:tcPr>
            <w:tcW w:w="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9"/>
                <w:szCs w:val="19"/>
                <w:color w:val="0000FF"/>
              </w:rPr>
              <w:t>45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9260" w:type="dxa"/>
            <w:vAlign w:val="bottom"/>
          </w:tcPr>
          <w:p>
            <w:pPr>
              <w:ind w:left="280"/>
              <w:spacing w:after="0" w:line="173" w:lineRule="exact"/>
              <w:rPr>
                <w:sz w:val="20"/>
                <w:szCs w:val="20"/>
                <w:color w:val="auto"/>
              </w:rPr>
            </w:pPr>
            <w:r>
              <w:rPr>
                <w:rFonts w:ascii="Times New Roman" w:cs="Times New Roman" w:eastAsia="Times New Roman" w:hAnsi="Times New Roman"/>
                <w:sz w:val="19"/>
                <w:szCs w:val="19"/>
                <w:color w:val="auto"/>
              </w:rPr>
              <w:t>on May 1, 2024</w:t>
            </w:r>
          </w:p>
        </w:tc>
        <w:tc>
          <w:tcPr>
            <w:tcW w:w="1340" w:type="dxa"/>
            <w:vAlign w:val="bottom"/>
            <w:vMerge w:val="continue"/>
          </w:tcPr>
          <w:p>
            <w:pPr>
              <w:spacing w:after="0"/>
              <w:rPr>
                <w:sz w:val="16"/>
                <w:szCs w:val="16"/>
                <w:color w:val="auto"/>
              </w:rPr>
            </w:pPr>
          </w:p>
        </w:tc>
        <w:tc>
          <w:tcPr>
            <w:tcW w:w="200" w:type="dxa"/>
            <w:vAlign w:val="bottom"/>
            <w:tcBorders>
              <w:bottom w:val="single" w:sz="8" w:color="0000FF"/>
            </w:tcBorders>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Other Business</w:t>
            </w:r>
          </w:p>
        </w:tc>
        <w:tc>
          <w:tcPr>
            <w:tcW w:w="134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rPr>
              <w:t>46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Annex A - Reconciliation of GAAP Information to Non-GAAP Financial Measure</w:t>
            </w:r>
          </w:p>
        </w:tc>
        <w:tc>
          <w:tcPr>
            <w:tcW w:w="1540" w:type="dxa"/>
            <w:vAlign w:val="bottom"/>
            <w:gridSpan w:val="4"/>
          </w:tcPr>
          <w:p>
            <w:pPr>
              <w:jc w:val="center"/>
              <w:ind w:left="1244"/>
              <w:spacing w:after="0"/>
              <w:rPr>
                <w:sz w:val="20"/>
                <w:szCs w:val="20"/>
                <w:color w:val="auto"/>
              </w:rPr>
            </w:pPr>
            <w:r>
              <w:rPr>
                <w:rFonts w:ascii="Times New Roman" w:cs="Times New Roman" w:eastAsia="Times New Roman" w:hAnsi="Times New Roman"/>
                <w:sz w:val="19"/>
                <w:szCs w:val="19"/>
                <w:color w:val="0000FF"/>
              </w:rPr>
              <w:t>48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5"/>
        </w:trPr>
        <w:tc>
          <w:tcPr>
            <w:tcW w:w="9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32"/>
          <w:szCs w:val="32"/>
          <w:b w:val="1"/>
          <w:bCs w:val="1"/>
          <w:color w:val="auto"/>
        </w:rPr>
        <w:t>Pilgrim’s Pride Corporation</w:t>
      </w:r>
    </w:p>
    <w:p>
      <w:pPr>
        <w:spacing w:after="0" w:line="4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1770 Promontory Circle</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Greeley, Colorado 80634</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-137795</wp:posOffset>
            </wp:positionV>
            <wp:extent cx="4030980" cy="175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30980" cy="17526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Why did I receive this proxy statement?</w:t>
      </w:r>
    </w:p>
    <w:p>
      <w:pPr>
        <w:spacing w:after="0" w:line="180"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The Board of Directors (the “Board of Directors” or the “Board”) of Pilgrim’s Pride Corporation is soliciting stockholder proxies for use at our annual meeting of stockholders to be held at the Pilgrim’s Pride corporate headquarters, at 1770 Promontory Circle, Greeley, Colorado, on Wednesday, May 1, 2024, at 8:00 a.m., local time, and any adjournments thereof (the “Annual Meeting” or the “meeting”). This proxy statement, the accompanying proxy card, and the 2023 annual report are being mailed to stockholders on or about April 1, 2024. Throughout this proxy statement, we will refer to Pilgrim’s Pride Corporation as “Pilgrim’s Pride,” “Pilgrim’s,” “PPC,” “we,” “us” or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the record date for the Annual Meeting and why is it important?</w:t>
      </w:r>
    </w:p>
    <w:p>
      <w:pPr>
        <w:spacing w:after="0" w:line="18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The Board of Directors has fixed March 12, 2024 as the record date for determining stockholders who are entitled to vote at the Annual Meeting (the “Record Date”). At the close of business on the Record Date, Pilgrim’s Pride had 236,936,021 shares of common stock outstanding, par value $0.01 per share.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the difference between holding shares as a stockholder of record and as a beneficial owner?</w:t>
      </w:r>
    </w:p>
    <w:p>
      <w:pPr>
        <w:spacing w:after="0" w:line="180" w:lineRule="exact"/>
        <w:rPr>
          <w:sz w:val="20"/>
          <w:szCs w:val="20"/>
          <w:color w:val="auto"/>
        </w:rPr>
      </w:pPr>
    </w:p>
    <w:p>
      <w:pPr>
        <w:jc w:val="both"/>
        <w:ind w:firstLine="631"/>
        <w:spacing w:after="0" w:line="296" w:lineRule="auto"/>
        <w:rPr>
          <w:sz w:val="20"/>
          <w:szCs w:val="20"/>
          <w:color w:val="auto"/>
        </w:rPr>
      </w:pPr>
      <w:r>
        <w:rPr>
          <w:rFonts w:ascii="Times New Roman" w:cs="Times New Roman" w:eastAsia="Times New Roman" w:hAnsi="Times New Roman"/>
          <w:sz w:val="19"/>
          <w:szCs w:val="19"/>
          <w:color w:val="auto"/>
        </w:rPr>
        <w:t>Most stockholders of Pilgrim’s Pride hold their shares through a broker, bank, or other nominee, rather than of record directly in their own name. As summarized below, there are some distinctions between shares held of record and those owned beneficially.</w:t>
      </w:r>
    </w:p>
    <w:p>
      <w:pPr>
        <w:spacing w:after="0" w:line="77" w:lineRule="exact"/>
        <w:rPr>
          <w:sz w:val="20"/>
          <w:szCs w:val="20"/>
          <w:color w:val="auto"/>
        </w:rPr>
      </w:pPr>
    </w:p>
    <w:p>
      <w:pPr>
        <w:jc w:val="both"/>
        <w:ind w:firstLine="631"/>
        <w:spacing w:after="0" w:line="298" w:lineRule="auto"/>
        <w:rPr>
          <w:sz w:val="20"/>
          <w:szCs w:val="20"/>
          <w:color w:val="auto"/>
        </w:rPr>
      </w:pPr>
      <w:r>
        <w:rPr>
          <w:rFonts w:ascii="Times New Roman" w:cs="Times New Roman" w:eastAsia="Times New Roman" w:hAnsi="Times New Roman"/>
          <w:sz w:val="19"/>
          <w:szCs w:val="19"/>
          <w:i w:val="1"/>
          <w:iCs w:val="1"/>
          <w:color w:val="auto"/>
        </w:rPr>
        <w:t>Stockholders of Record</w:t>
      </w:r>
      <w:r>
        <w:rPr>
          <w:rFonts w:ascii="Times New Roman" w:cs="Times New Roman" w:eastAsia="Times New Roman" w:hAnsi="Times New Roman"/>
          <w:sz w:val="19"/>
          <w:szCs w:val="19"/>
          <w:color w:val="auto"/>
        </w:rPr>
        <w:t>: If your shares are registered directly in your name with our transfer agent, you are considered a stockholder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record with respect to those shares. As a stockholder of record, you have the right to vote in person at the meeting.</w:t>
      </w:r>
    </w:p>
    <w:p>
      <w:pPr>
        <w:spacing w:after="0" w:line="75"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Beneficial Owner: </w:t>
      </w:r>
      <w:r>
        <w:rPr>
          <w:rFonts w:ascii="Times New Roman" w:cs="Times New Roman" w:eastAsia="Times New Roman" w:hAnsi="Times New Roman"/>
          <w:sz w:val="19"/>
          <w:szCs w:val="19"/>
          <w:color w:val="auto"/>
        </w:rPr>
        <w:t>If your shares are held in a stock brokerage account or by a bank or other nominee, you are considered a beneficial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owner of shares held in “street name.” As a beneficial owner, you have the right to direct your broker on how to vote your shares, and you are also invited to attend the meeting. Since you are not a stockholder of record, however, you may not vote your shares in person at the meeting unless you obtain a signed proxy from the holder of record giving you the right to vote the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do I attend and get admitted to the Annual Meeting?</w:t>
      </w:r>
    </w:p>
    <w:p>
      <w:pPr>
        <w:spacing w:after="0" w:line="167"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 xml:space="preserve">You are entitled to attend the Annual Meeting only if you were a Pilgrim’s Pride stockholder as of the close of business on March 12, 2024 or if you hold a valid proxy for the Annual Meeting. </w:t>
      </w:r>
      <w:r>
        <w:rPr>
          <w:rFonts w:ascii="Times New Roman" w:cs="Times New Roman" w:eastAsia="Times New Roman" w:hAnsi="Times New Roman"/>
          <w:sz w:val="19"/>
          <w:szCs w:val="19"/>
          <w:b w:val="1"/>
          <w:bCs w:val="1"/>
          <w:color w:val="auto"/>
        </w:rPr>
        <w:t>If you plan to attend the physical meeting, please be aware of what you will need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for admission as described below. </w:t>
      </w:r>
      <w:r>
        <w:rPr>
          <w:rFonts w:ascii="Times New Roman" w:cs="Times New Roman" w:eastAsia="Times New Roman" w:hAnsi="Times New Roman"/>
          <w:sz w:val="19"/>
          <w:szCs w:val="19"/>
          <w:color w:val="auto"/>
        </w:rPr>
        <w:t>If you do not provide a government-issued photo identification and comply with the other procedures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described here for attending the Annual Meeting in person, you will not be admitted to the meeting location. We reserve the right to deny admission to any person who may pose a threat to the health or safety of stockholders or other meeting participants, and we reserve the right to implement additional procedures to ensure the health, security, and safety of meeting attendees.</w:t>
      </w:r>
    </w:p>
    <w:p>
      <w:pPr>
        <w:spacing w:after="0" w:line="123" w:lineRule="exact"/>
        <w:rPr>
          <w:sz w:val="20"/>
          <w:szCs w:val="20"/>
          <w:color w:val="auto"/>
        </w:rPr>
      </w:pPr>
    </w:p>
    <w:p>
      <w:pPr>
        <w:jc w:val="both"/>
        <w:ind w:firstLine="631"/>
        <w:spacing w:after="0" w:line="272" w:lineRule="auto"/>
        <w:rPr>
          <w:sz w:val="20"/>
          <w:szCs w:val="20"/>
          <w:color w:val="auto"/>
        </w:rPr>
      </w:pPr>
      <w:r>
        <w:rPr>
          <w:rFonts w:ascii="Times New Roman" w:cs="Times New Roman" w:eastAsia="Times New Roman" w:hAnsi="Times New Roman"/>
          <w:sz w:val="19"/>
          <w:szCs w:val="19"/>
          <w:i w:val="1"/>
          <w:iCs w:val="1"/>
          <w:color w:val="auto"/>
        </w:rPr>
        <w:t>Stockholders of Record</w:t>
      </w:r>
      <w:r>
        <w:rPr>
          <w:rFonts w:ascii="Times New Roman" w:cs="Times New Roman" w:eastAsia="Times New Roman" w:hAnsi="Times New Roman"/>
          <w:sz w:val="19"/>
          <w:szCs w:val="19"/>
          <w:color w:val="auto"/>
        </w:rPr>
        <w:t>: If your shares are registered directly in your name with our transfer agent, your shares will be on a list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maintained by the inspector of elections. You must present a government-issued photo identification, such as a driver’s license, state-issued ID card, or passport.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6" w:name="page7"/>
    <w:bookmarkEnd w:id="6"/>
    <w:p>
      <w:pPr>
        <w:jc w:val="both"/>
        <w:ind w:firstLine="631"/>
        <w:spacing w:after="0" w:line="272" w:lineRule="auto"/>
        <w:rPr>
          <w:sz w:val="20"/>
          <w:szCs w:val="20"/>
          <w:color w:val="auto"/>
        </w:rPr>
      </w:pPr>
      <w:r>
        <w:rPr>
          <w:rFonts w:ascii="Times New Roman" w:cs="Times New Roman" w:eastAsia="Times New Roman" w:hAnsi="Times New Roman"/>
          <w:sz w:val="19"/>
          <w:szCs w:val="19"/>
          <w:i w:val="1"/>
          <w:iCs w:val="1"/>
          <w:color w:val="auto"/>
        </w:rPr>
        <w:t xml:space="preserve">Beneficial Owner: </w:t>
      </w:r>
      <w:r>
        <w:rPr>
          <w:rFonts w:ascii="Times New Roman" w:cs="Times New Roman" w:eastAsia="Times New Roman" w:hAnsi="Times New Roman"/>
          <w:sz w:val="19"/>
          <w:szCs w:val="19"/>
          <w:color w:val="auto"/>
        </w:rPr>
        <w:t>If your shares are held in a stock brokerage account or by a bank or other nominee, you must provide proof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beneficial ownership as of the record date, such as an account statement or similar evidence of ownership, along with a government-issued photo identification, such as a driver’s license, state-issued ID card, or passport.</w:t>
      </w:r>
    </w:p>
    <w:p>
      <w:pPr>
        <w:spacing w:after="0" w:line="114" w:lineRule="exact"/>
        <w:rPr>
          <w:sz w:val="20"/>
          <w:szCs w:val="20"/>
          <w:color w:val="auto"/>
        </w:rPr>
      </w:pPr>
    </w:p>
    <w:p>
      <w:pPr>
        <w:jc w:val="both"/>
        <w:ind w:firstLine="631"/>
        <w:spacing w:after="0" w:line="281" w:lineRule="auto"/>
        <w:rPr>
          <w:sz w:val="20"/>
          <w:szCs w:val="20"/>
          <w:color w:val="auto"/>
        </w:rPr>
      </w:pPr>
      <w:r>
        <w:rPr>
          <w:rFonts w:ascii="Times New Roman" w:cs="Times New Roman" w:eastAsia="Times New Roman" w:hAnsi="Times New Roman"/>
          <w:sz w:val="19"/>
          <w:szCs w:val="19"/>
          <w:color w:val="auto"/>
        </w:rPr>
        <w:t>For directions to the meeting, please contact our General Counsel at Pilgrim’s Pride Corporation, 1770 Promontory Circle, Greeley, Colorado 80634.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Considerations Related to Safety and Health</w:t>
      </w:r>
    </w:p>
    <w:p>
      <w:pPr>
        <w:spacing w:after="0" w:line="178"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The health and well-being of our employees and stockholders are paramount and there is a possibility that we may need to change the format of our meeting to allow stockholder participation by means of remote communication. If we determine it necessary to make changes to our Annual Meeting, we will announce the decision to do so in advance.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a proxy?</w:t>
      </w:r>
    </w:p>
    <w:p>
      <w:pPr>
        <w:spacing w:after="0" w:line="18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A proxy is your legal designation of another person (the “proxy”) to vote on your behalf. By completing and returning the enclosed proxy card, you are giving the proxies appointed by the Board and identified on the proxy card the authority to vote your shares in the manner you indicate on your proxy card.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if I receive more than one proxy card?</w:t>
      </w:r>
    </w:p>
    <w:p>
      <w:pPr>
        <w:spacing w:after="0" w:line="167"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You will receive multiple proxy cards if you hold shares of our common stock in different ways (e.g., joint tenancy, trusts, custodial accounts) or in multiple accounts. If your shares are held in “street name” (i.e., by a broker, bank or other nominee), you will receive your proxy card or voting instruction form from your nominee, and you must return your voting instruction form to that nominee. You should complete, sign, and return each proxy card or voting instruction form you receive.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are the voting rights of the common stock?</w:t>
      </w:r>
    </w:p>
    <w:p>
      <w:pPr>
        <w:spacing w:after="0" w:line="167" w:lineRule="exact"/>
        <w:rPr>
          <w:sz w:val="20"/>
          <w:szCs w:val="20"/>
          <w:color w:val="auto"/>
        </w:rPr>
      </w:pPr>
    </w:p>
    <w:p>
      <w:pPr>
        <w:jc w:val="both"/>
        <w:ind w:firstLine="631"/>
        <w:spacing w:after="0" w:line="296" w:lineRule="auto"/>
        <w:rPr>
          <w:sz w:val="20"/>
          <w:szCs w:val="20"/>
          <w:color w:val="auto"/>
        </w:rPr>
      </w:pPr>
      <w:r>
        <w:rPr>
          <w:rFonts w:ascii="Times New Roman" w:cs="Times New Roman" w:eastAsia="Times New Roman" w:hAnsi="Times New Roman"/>
          <w:sz w:val="19"/>
          <w:szCs w:val="19"/>
          <w:color w:val="auto"/>
        </w:rPr>
        <w:t>Each holder of record of our common stock on the Record Date is entitled to cast one vote per share on each matter presented at the meeting.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are the two categories of Directors?</w:t>
      </w:r>
    </w:p>
    <w:p>
      <w:pPr>
        <w:spacing w:after="0" w:line="180" w:lineRule="exact"/>
        <w:rPr>
          <w:sz w:val="20"/>
          <w:szCs w:val="20"/>
          <w:color w:val="auto"/>
        </w:rPr>
      </w:pPr>
    </w:p>
    <w:p>
      <w:pPr>
        <w:jc w:val="both"/>
        <w:ind w:firstLine="631"/>
        <w:spacing w:after="0" w:line="296" w:lineRule="auto"/>
        <w:rPr>
          <w:sz w:val="20"/>
          <w:szCs w:val="20"/>
          <w:color w:val="auto"/>
        </w:rPr>
      </w:pPr>
      <w:r>
        <w:rPr>
          <w:rFonts w:ascii="Times New Roman" w:cs="Times New Roman" w:eastAsia="Times New Roman" w:hAnsi="Times New Roman"/>
          <w:sz w:val="19"/>
          <w:szCs w:val="19"/>
          <w:color w:val="auto"/>
        </w:rPr>
        <w:t>The Company’s Amended and Restated Certificate of Incorporation (the “Certificate of Incorporation”) provides for a specified number of JBS Directors and Equity Directors, based upon the percentage ownership of JBS S.A. (“JBS”) in the Company.</w:t>
      </w:r>
    </w:p>
    <w:p>
      <w:pPr>
        <w:spacing w:after="0" w:line="79"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JBS Directors are the six Directors designated as JBS Directors pursuant to the terms of the Company’s Certificate of Incorporation or their successors nominated or appointed by the JBS Directors’ nominating committee (the “JBS Nominating Committee”). The current JBS Directors are Gilberto Tomazoni, Wesley Mendonça Batista, Joesley Mendonça Batista, Raul Padilla, Andre Nogueira de Souza, and Farha Aslam.</w:t>
      </w:r>
    </w:p>
    <w:p>
      <w:pPr>
        <w:spacing w:after="0" w:line="354"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9"/>
          <w:szCs w:val="19"/>
          <w:color w:val="auto"/>
        </w:rPr>
        <w:t>Equity Directors are the three Directors designated as Equity Directors pursuant to the terms of the Company’s Certificate of Incorporation or their successors nominated or appointed by the Equity Directors nominating committee (the “Equity Nominating Committee”) or any stockholders other than JBS and its affiliates (“Minority Investors”). The current Equity Directors are Wallim Cruz de Vasconcellos Junior, Arquimedes A. Celis, and Ajay Menon.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are the differences between the categories of Directors?</w:t>
      </w:r>
    </w:p>
    <w:p>
      <w:pPr>
        <w:spacing w:after="0" w:line="180" w:lineRule="exact"/>
        <w:rPr>
          <w:sz w:val="20"/>
          <w:szCs w:val="20"/>
          <w:color w:val="auto"/>
        </w:rPr>
      </w:pPr>
    </w:p>
    <w:p>
      <w:pPr>
        <w:jc w:val="both"/>
        <w:ind w:firstLine="631"/>
        <w:spacing w:after="0" w:line="281" w:lineRule="auto"/>
        <w:rPr>
          <w:sz w:val="20"/>
          <w:szCs w:val="20"/>
          <w:color w:val="auto"/>
        </w:rPr>
      </w:pPr>
      <w:r>
        <w:rPr>
          <w:rFonts w:ascii="Times New Roman" w:cs="Times New Roman" w:eastAsia="Times New Roman" w:hAnsi="Times New Roman"/>
          <w:sz w:val="19"/>
          <w:szCs w:val="19"/>
          <w:color w:val="auto"/>
        </w:rPr>
        <w:t>All of our Directors serve equal one-year terms. However, only JBS Directors can serve as members of the JBS Nominating Committee, and only Equity Directors can serve as members of the Equity Nominating Committee.</w:t>
      </w:r>
    </w:p>
    <w:p>
      <w:pPr>
        <w:spacing w:after="0" w:line="106" w:lineRule="exact"/>
        <w:rPr>
          <w:sz w:val="20"/>
          <w:szCs w:val="20"/>
          <w:color w:val="auto"/>
        </w:rPr>
      </w:pPr>
    </w:p>
    <w:p>
      <w:pPr>
        <w:jc w:val="both"/>
        <w:ind w:firstLine="631"/>
        <w:spacing w:after="0" w:line="281" w:lineRule="auto"/>
        <w:rPr>
          <w:sz w:val="20"/>
          <w:szCs w:val="20"/>
          <w:color w:val="auto"/>
        </w:rPr>
      </w:pPr>
      <w:r>
        <w:rPr>
          <w:rFonts w:ascii="Times New Roman" w:cs="Times New Roman" w:eastAsia="Times New Roman" w:hAnsi="Times New Roman"/>
          <w:sz w:val="19"/>
          <w:szCs w:val="19"/>
          <w:color w:val="auto"/>
        </w:rPr>
        <w:t>The Stockholders Agreement between us and an affiliate of JBS dated December 28, 2009 (as amended, the “JBS Stockholders Agreement”) requires JBS and its affiliates to vote all of Pilgrim’s Pride common stock that they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jc w:val="both"/>
        <w:spacing w:after="0" w:line="296" w:lineRule="auto"/>
        <w:rPr>
          <w:sz w:val="20"/>
          <w:szCs w:val="20"/>
          <w:color w:val="auto"/>
        </w:rPr>
      </w:pPr>
      <w:r>
        <w:rPr>
          <w:rFonts w:ascii="Times New Roman" w:cs="Times New Roman" w:eastAsia="Times New Roman" w:hAnsi="Times New Roman"/>
          <w:sz w:val="19"/>
          <w:szCs w:val="19"/>
          <w:color w:val="auto"/>
        </w:rPr>
        <w:t>hold in the same manner as the shares held by all Minority Investors with respect to the election or removal of Equity Directors. Consequently, the vote of the Minority Investors will determine the outcome of the election of Equity Directors.</w:t>
      </w:r>
    </w:p>
    <w:p>
      <w:pPr>
        <w:spacing w:after="0" w:line="79" w:lineRule="exact"/>
        <w:rPr>
          <w:sz w:val="20"/>
          <w:szCs w:val="20"/>
          <w:color w:val="auto"/>
        </w:rPr>
      </w:pPr>
    </w:p>
    <w:p>
      <w:pPr>
        <w:jc w:val="both"/>
        <w:ind w:firstLine="631"/>
        <w:spacing w:after="0" w:line="296" w:lineRule="auto"/>
        <w:rPr>
          <w:sz w:val="20"/>
          <w:szCs w:val="20"/>
          <w:color w:val="auto"/>
        </w:rPr>
      </w:pPr>
      <w:r>
        <w:rPr>
          <w:rFonts w:ascii="Times New Roman" w:cs="Times New Roman" w:eastAsia="Times New Roman" w:hAnsi="Times New Roman"/>
          <w:sz w:val="19"/>
          <w:szCs w:val="19"/>
          <w:color w:val="auto"/>
        </w:rPr>
        <w:t>With respect to all other matters submitted to a vote of holders of common stock, including the election or removal of any JBS Directors, JBS and its affiliates may vote shares of common stock held by them at their sole and absolute discretion.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the “Say-on-Pay” Vote?</w:t>
      </w:r>
    </w:p>
    <w:p>
      <w:pPr>
        <w:spacing w:after="0" w:line="180"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With Proposal 3, the Board is providing stockholders with the opportunity to cast a non-binding, advisory vote on the compensation of our Named Executive Officers (“NEOs”) for 2023, as defined in “Compensation Discussion and Analysis”. This proposal, commonly known as a “Say-on-Pay” proposal, gives you, as a stockholder, the opportunity to endorse or not endorse our executive compensation programs and policies and the compensation paid to our NEOs in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do I vote my shares?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If you are a “stockholder of record,” you have several choices. You can vote your proxy:</w:t>
      </w:r>
    </w:p>
    <w:p>
      <w:pPr>
        <w:spacing w:after="0" w:line="176" w:lineRule="exact"/>
        <w:rPr>
          <w:sz w:val="20"/>
          <w:szCs w:val="20"/>
          <w:color w:val="auto"/>
        </w:rPr>
      </w:pPr>
    </w:p>
    <w:p>
      <w:pPr>
        <w:ind w:left="1260" w:hanging="309"/>
        <w:spacing w:after="0"/>
        <w:tabs>
          <w:tab w:leader="none" w:pos="12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via the internet;</w:t>
      </w:r>
    </w:p>
    <w:p>
      <w:pPr>
        <w:spacing w:after="0" w:line="162" w:lineRule="exact"/>
        <w:rPr>
          <w:rFonts w:ascii="Times New Roman" w:cs="Times New Roman" w:eastAsia="Times New Roman" w:hAnsi="Times New Roman"/>
          <w:sz w:val="19"/>
          <w:szCs w:val="19"/>
          <w:color w:val="auto"/>
        </w:rPr>
      </w:pPr>
    </w:p>
    <w:p>
      <w:pPr>
        <w:ind w:left="1260" w:hanging="309"/>
        <w:spacing w:after="0"/>
        <w:tabs>
          <w:tab w:leader="none" w:pos="12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over the telephone; or</w:t>
      </w:r>
    </w:p>
    <w:p>
      <w:pPr>
        <w:spacing w:after="0" w:line="175" w:lineRule="exact"/>
        <w:rPr>
          <w:rFonts w:ascii="Times New Roman" w:cs="Times New Roman" w:eastAsia="Times New Roman" w:hAnsi="Times New Roman"/>
          <w:sz w:val="19"/>
          <w:szCs w:val="19"/>
          <w:color w:val="auto"/>
        </w:rPr>
      </w:pPr>
    </w:p>
    <w:p>
      <w:pPr>
        <w:jc w:val="both"/>
        <w:ind w:left="640" w:right="4740" w:firstLine="311"/>
        <w:spacing w:after="0" w:line="425" w:lineRule="auto"/>
        <w:tabs>
          <w:tab w:leader="none" w:pos="125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completing, dating, signing and mailing the enclosed proxy card. Please refer to the specific instructions set forth on the enclosed proxy card.</w:t>
      </w:r>
    </w:p>
    <w:p>
      <w:pPr>
        <w:spacing w:after="0" w:line="2"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If you are a stockholder of record, you also have the right to vote in person at the meeting. If you are a beneficial owner, your broker, bank or nominee will provide you with materials and instructions for voting your shares. In most instances, you will be able to do this on the internet, by telephone or by mail as indicated above. As a beneficial owner, you have the right to direct your broker on how to vote your shares. However, you may not vote your shares in person at the meeting unless you obtain a signed legal proxy from the holder of record giving you the right to vote the shares.</w:t>
      </w:r>
    </w:p>
    <w:p>
      <w:pPr>
        <w:spacing w:after="0" w:line="126"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If you are a current or former employee of Pilgrim’s Pride who holds shares in either the Pilgrim’s Pride Corporation Retirement Savings Plan or the To-Ricos Employee Savings and Retirement Plan, your vote serves as a voting instruction to the trustee for these plans. To be timely, if you vote your shares in the Pilgrim’s Pride Corporation Retirement Savings Plan or the To-Ricos Employee Savings and Retirement Plan by telephone or internet, your vote must be received by 11:59 p.m., Mountain Time, on April 30, 2024. If you do not vote by telephone or internet, please return your proxy card as soon as possible. If you vote in a timely manner, the trustee will vote the shares as you have directed.</w:t>
      </w:r>
    </w:p>
    <w:p>
      <w:pPr>
        <w:spacing w:after="0" w:line="122"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9"/>
          <w:szCs w:val="19"/>
          <w:b w:val="1"/>
          <w:bCs w:val="1"/>
          <w:color w:val="auto"/>
        </w:rPr>
        <w:t>What are the Board’s recommendations on how I should vote my shares?</w:t>
      </w:r>
    </w:p>
    <w:p>
      <w:pPr>
        <w:spacing w:after="0" w:line="167"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9"/>
          <w:szCs w:val="19"/>
          <w:color w:val="auto"/>
        </w:rPr>
        <w:t>The Board recommends that you vote your shares as follows:</w:t>
      </w:r>
    </w:p>
    <w:p>
      <w:pPr>
        <w:spacing w:after="0" w:line="172"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9"/>
          <w:szCs w:val="19"/>
          <w:color w:val="auto"/>
        </w:rPr>
        <w:t>Proposal 1:</w:t>
      </w:r>
      <w:r>
        <w:rPr>
          <w:sz w:val="20"/>
          <w:szCs w:val="20"/>
          <w:color w:val="auto"/>
        </w:rPr>
        <w:tab/>
      </w:r>
      <w:r>
        <w:rPr>
          <w:rFonts w:ascii="Times New Roman" w:cs="Times New Roman" w:eastAsia="Times New Roman" w:hAnsi="Times New Roman"/>
          <w:sz w:val="19"/>
          <w:szCs w:val="19"/>
          <w:b w:val="1"/>
          <w:bCs w:val="1"/>
          <w:color w:val="auto"/>
        </w:rPr>
        <w:t xml:space="preserve">FOR </w:t>
      </w:r>
      <w:r>
        <w:rPr>
          <w:rFonts w:ascii="Times New Roman" w:cs="Times New Roman" w:eastAsia="Times New Roman" w:hAnsi="Times New Roman"/>
          <w:sz w:val="19"/>
          <w:szCs w:val="19"/>
          <w:color w:val="auto"/>
        </w:rPr>
        <w:t>the election of all six nominees for JBS Director.</w:t>
      </w:r>
    </w:p>
    <w:p>
      <w:pPr>
        <w:spacing w:after="0" w:line="176"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9"/>
          <w:szCs w:val="19"/>
          <w:color w:val="auto"/>
        </w:rPr>
        <w:t>Proposal 2:</w:t>
      </w:r>
      <w:r>
        <w:rPr>
          <w:sz w:val="20"/>
          <w:szCs w:val="20"/>
          <w:color w:val="auto"/>
        </w:rPr>
        <w:tab/>
      </w:r>
      <w:r>
        <w:rPr>
          <w:rFonts w:ascii="Times New Roman" w:cs="Times New Roman" w:eastAsia="Times New Roman" w:hAnsi="Times New Roman"/>
          <w:sz w:val="19"/>
          <w:szCs w:val="19"/>
          <w:b w:val="1"/>
          <w:bCs w:val="1"/>
          <w:color w:val="auto"/>
        </w:rPr>
        <w:t xml:space="preserve">FOR </w:t>
      </w:r>
      <w:r>
        <w:rPr>
          <w:rFonts w:ascii="Times New Roman" w:cs="Times New Roman" w:eastAsia="Times New Roman" w:hAnsi="Times New Roman"/>
          <w:sz w:val="19"/>
          <w:szCs w:val="19"/>
          <w:color w:val="auto"/>
        </w:rPr>
        <w:t>the election of all three nominees for Equity Director.</w:t>
      </w:r>
    </w:p>
    <w:p>
      <w:pPr>
        <w:spacing w:after="0" w:line="163"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9"/>
          <w:szCs w:val="19"/>
          <w:color w:val="auto"/>
        </w:rPr>
        <w:t>Proposal 3:</w:t>
      </w:r>
      <w:r>
        <w:rPr>
          <w:sz w:val="20"/>
          <w:szCs w:val="20"/>
          <w:color w:val="auto"/>
        </w:rPr>
        <w:tab/>
      </w:r>
      <w:r>
        <w:rPr>
          <w:rFonts w:ascii="Times New Roman" w:cs="Times New Roman" w:eastAsia="Times New Roman" w:hAnsi="Times New Roman"/>
          <w:sz w:val="19"/>
          <w:szCs w:val="19"/>
          <w:b w:val="1"/>
          <w:bCs w:val="1"/>
          <w:color w:val="auto"/>
        </w:rPr>
        <w:t xml:space="preserve">FOR </w:t>
      </w:r>
      <w:r>
        <w:rPr>
          <w:rFonts w:ascii="Times New Roman" w:cs="Times New Roman" w:eastAsia="Times New Roman" w:hAnsi="Times New Roman"/>
          <w:sz w:val="19"/>
          <w:szCs w:val="19"/>
          <w:color w:val="auto"/>
        </w:rPr>
        <w:t>the approval of the advisory vote on executive compensation.</w:t>
      </w:r>
    </w:p>
    <w:p>
      <w:pPr>
        <w:spacing w:after="0" w:line="176"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9"/>
          <w:szCs w:val="19"/>
          <w:color w:val="auto"/>
        </w:rPr>
        <w:t>Proposal 4:</w:t>
      </w:r>
      <w:r>
        <w:rPr>
          <w:sz w:val="20"/>
          <w:szCs w:val="20"/>
          <w:color w:val="auto"/>
        </w:rPr>
        <w:tab/>
      </w:r>
      <w:r>
        <w:rPr>
          <w:rFonts w:ascii="Times New Roman" w:cs="Times New Roman" w:eastAsia="Times New Roman" w:hAnsi="Times New Roman"/>
          <w:sz w:val="19"/>
          <w:szCs w:val="19"/>
          <w:b w:val="1"/>
          <w:bCs w:val="1"/>
          <w:color w:val="auto"/>
        </w:rPr>
        <w:t xml:space="preserve">FOR </w:t>
      </w:r>
      <w:r>
        <w:rPr>
          <w:rFonts w:ascii="Times New Roman" w:cs="Times New Roman" w:eastAsia="Times New Roman" w:hAnsi="Times New Roman"/>
          <w:sz w:val="19"/>
          <w:szCs w:val="19"/>
          <w:color w:val="auto"/>
        </w:rPr>
        <w:t>ratification of the appointment of KPMG LLP as our independent registered public accounting firm for 2024.</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9"/>
          <w:szCs w:val="19"/>
          <w:b w:val="1"/>
          <w:bCs w:val="1"/>
          <w:color w:val="auto"/>
        </w:rPr>
        <w:t>What are my choices when voting?</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With respect to:</w:t>
      </w:r>
    </w:p>
    <w:p>
      <w:pPr>
        <w:spacing w:after="0" w:line="163" w:lineRule="exact"/>
        <w:rPr>
          <w:sz w:val="20"/>
          <w:szCs w:val="20"/>
          <w:color w:val="auto"/>
        </w:rPr>
      </w:pPr>
    </w:p>
    <w:p>
      <w:pPr>
        <w:ind w:left="1740" w:hanging="1497"/>
        <w:spacing w:after="0" w:line="296" w:lineRule="auto"/>
        <w:tabs>
          <w:tab w:leader="none" w:pos="1720" w:val="left"/>
        </w:tabs>
        <w:rPr>
          <w:sz w:val="20"/>
          <w:szCs w:val="20"/>
          <w:color w:val="auto"/>
        </w:rPr>
      </w:pPr>
      <w:r>
        <w:rPr>
          <w:rFonts w:ascii="Times New Roman" w:cs="Times New Roman" w:eastAsia="Times New Roman" w:hAnsi="Times New Roman"/>
          <w:sz w:val="19"/>
          <w:szCs w:val="19"/>
          <w:color w:val="auto"/>
        </w:rPr>
        <w:t>Proposal 1:</w:t>
        <w:tab/>
        <w:t>You may either (1) vote “FOR” the election of each JBS Director nominee; or (2) “WITHHOLD” your vote on each JBS Director nominee.</w:t>
      </w:r>
    </w:p>
    <w:p>
      <w:pPr>
        <w:spacing w:after="0" w:line="79" w:lineRule="exact"/>
        <w:rPr>
          <w:sz w:val="20"/>
          <w:szCs w:val="20"/>
          <w:color w:val="auto"/>
        </w:rPr>
      </w:pPr>
    </w:p>
    <w:p>
      <w:pPr>
        <w:ind w:left="1780" w:hanging="1497"/>
        <w:spacing w:after="0" w:line="296" w:lineRule="auto"/>
        <w:tabs>
          <w:tab w:leader="none" w:pos="1760" w:val="left"/>
        </w:tabs>
        <w:rPr>
          <w:sz w:val="20"/>
          <w:szCs w:val="20"/>
          <w:color w:val="auto"/>
        </w:rPr>
      </w:pPr>
      <w:r>
        <w:rPr>
          <w:rFonts w:ascii="Times New Roman" w:cs="Times New Roman" w:eastAsia="Times New Roman" w:hAnsi="Times New Roman"/>
          <w:sz w:val="19"/>
          <w:szCs w:val="19"/>
          <w:color w:val="auto"/>
        </w:rPr>
        <w:t>Proposal 2:</w:t>
        <w:tab/>
        <w:t>You may either (1) vote “FOR” the election of each Equity Director nominee; or (2) “WITHHOLD” your vote on each Equity Director nominee.</w:t>
      </w:r>
    </w:p>
    <w:p>
      <w:pPr>
        <w:spacing w:after="0" w:line="92" w:lineRule="exact"/>
        <w:rPr>
          <w:sz w:val="20"/>
          <w:szCs w:val="20"/>
          <w:color w:val="auto"/>
        </w:rPr>
      </w:pPr>
    </w:p>
    <w:p>
      <w:pPr>
        <w:ind w:left="1740" w:hanging="1497"/>
        <w:spacing w:after="0" w:line="281" w:lineRule="auto"/>
        <w:tabs>
          <w:tab w:leader="none" w:pos="1720" w:val="left"/>
        </w:tabs>
        <w:rPr>
          <w:sz w:val="20"/>
          <w:szCs w:val="20"/>
          <w:color w:val="auto"/>
        </w:rPr>
      </w:pPr>
      <w:r>
        <w:rPr>
          <w:rFonts w:ascii="Times New Roman" w:cs="Times New Roman" w:eastAsia="Times New Roman" w:hAnsi="Times New Roman"/>
          <w:sz w:val="19"/>
          <w:szCs w:val="19"/>
          <w:color w:val="auto"/>
        </w:rPr>
        <w:t>Proposal 3:</w:t>
        <w:tab/>
        <w:t>You may vote “FOR” or “AGAINST” the proposal, or you may elect to abstain from voting your shares. Abstaining will have the same effect as a vote against the proposal, as discussed below.</w:t>
      </w:r>
    </w:p>
    <w:p>
      <w:pPr>
        <w:spacing w:after="0" w:line="106" w:lineRule="exact"/>
        <w:rPr>
          <w:sz w:val="20"/>
          <w:szCs w:val="20"/>
          <w:color w:val="auto"/>
        </w:rPr>
      </w:pPr>
    </w:p>
    <w:p>
      <w:pPr>
        <w:ind w:left="1740" w:hanging="1497"/>
        <w:spacing w:after="0" w:line="281" w:lineRule="auto"/>
        <w:tabs>
          <w:tab w:leader="none" w:pos="1720" w:val="left"/>
        </w:tabs>
        <w:rPr>
          <w:sz w:val="20"/>
          <w:szCs w:val="20"/>
          <w:color w:val="auto"/>
        </w:rPr>
      </w:pPr>
      <w:r>
        <w:rPr>
          <w:rFonts w:ascii="Times New Roman" w:cs="Times New Roman" w:eastAsia="Times New Roman" w:hAnsi="Times New Roman"/>
          <w:sz w:val="19"/>
          <w:szCs w:val="19"/>
          <w:color w:val="auto"/>
        </w:rPr>
        <w:t>Proposal 4:</w:t>
        <w:tab/>
        <w:t>You may vote “FOR” or “AGAINST” the proposal, or you may elect to abstain from voting your shares. Abstaining will have the same effect as a vote against the proposal, as discussed below.</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will my shares be voted if I do not specify my voting instructions?</w:t>
      </w:r>
    </w:p>
    <w:p>
      <w:pPr>
        <w:spacing w:after="0" w:line="180" w:lineRule="exact"/>
        <w:rPr>
          <w:sz w:val="20"/>
          <w:szCs w:val="20"/>
          <w:color w:val="auto"/>
        </w:rPr>
      </w:pPr>
    </w:p>
    <w:p>
      <w:pPr>
        <w:jc w:val="both"/>
        <w:ind w:firstLine="631"/>
        <w:spacing w:after="0" w:line="281" w:lineRule="auto"/>
        <w:rPr>
          <w:sz w:val="20"/>
          <w:szCs w:val="20"/>
          <w:color w:val="auto"/>
        </w:rPr>
      </w:pPr>
      <w:r>
        <w:rPr>
          <w:rFonts w:ascii="Times New Roman" w:cs="Times New Roman" w:eastAsia="Times New Roman" w:hAnsi="Times New Roman"/>
          <w:sz w:val="19"/>
          <w:szCs w:val="19"/>
          <w:color w:val="auto"/>
        </w:rPr>
        <w:t>If you sign and return your proxy card without indicating how you want your shares to be voted, the proxies appointed by the Board will vote your shares as follows:</w:t>
      </w:r>
    </w:p>
    <w:p>
      <w:pPr>
        <w:spacing w:after="0" w:line="102"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9"/>
          <w:szCs w:val="19"/>
          <w:color w:val="auto"/>
        </w:rPr>
        <w:t>Proposal 1:</w:t>
      </w:r>
      <w:r>
        <w:rPr>
          <w:sz w:val="20"/>
          <w:szCs w:val="20"/>
          <w:color w:val="auto"/>
        </w:rPr>
        <w:tab/>
      </w:r>
      <w:r>
        <w:rPr>
          <w:rFonts w:ascii="Times New Roman" w:cs="Times New Roman" w:eastAsia="Times New Roman" w:hAnsi="Times New Roman"/>
          <w:sz w:val="19"/>
          <w:szCs w:val="19"/>
          <w:b w:val="1"/>
          <w:bCs w:val="1"/>
          <w:color w:val="auto"/>
        </w:rPr>
        <w:t xml:space="preserve">FOR </w:t>
      </w:r>
      <w:r>
        <w:rPr>
          <w:rFonts w:ascii="Times New Roman" w:cs="Times New Roman" w:eastAsia="Times New Roman" w:hAnsi="Times New Roman"/>
          <w:sz w:val="19"/>
          <w:szCs w:val="19"/>
          <w:color w:val="auto"/>
        </w:rPr>
        <w:t>the election of all six nominees for JBS Director.</w:t>
      </w:r>
    </w:p>
    <w:p>
      <w:pPr>
        <w:spacing w:after="0" w:line="163"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9"/>
          <w:szCs w:val="19"/>
          <w:color w:val="auto"/>
        </w:rPr>
        <w:t>Proposal 2:</w:t>
      </w:r>
      <w:r>
        <w:rPr>
          <w:sz w:val="20"/>
          <w:szCs w:val="20"/>
          <w:color w:val="auto"/>
        </w:rPr>
        <w:tab/>
      </w:r>
      <w:r>
        <w:rPr>
          <w:rFonts w:ascii="Times New Roman" w:cs="Times New Roman" w:eastAsia="Times New Roman" w:hAnsi="Times New Roman"/>
          <w:sz w:val="19"/>
          <w:szCs w:val="19"/>
          <w:b w:val="1"/>
          <w:bCs w:val="1"/>
          <w:color w:val="auto"/>
        </w:rPr>
        <w:t xml:space="preserve">FOR </w:t>
      </w:r>
      <w:r>
        <w:rPr>
          <w:rFonts w:ascii="Times New Roman" w:cs="Times New Roman" w:eastAsia="Times New Roman" w:hAnsi="Times New Roman"/>
          <w:sz w:val="19"/>
          <w:szCs w:val="19"/>
          <w:color w:val="auto"/>
        </w:rPr>
        <w:t>the election of all three nominees for Equity Director.</w:t>
      </w:r>
    </w:p>
    <w:p>
      <w:pPr>
        <w:spacing w:after="0" w:line="176"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9"/>
          <w:szCs w:val="19"/>
          <w:color w:val="auto"/>
        </w:rPr>
        <w:t>Proposal 3:</w:t>
      </w:r>
      <w:r>
        <w:rPr>
          <w:sz w:val="20"/>
          <w:szCs w:val="20"/>
          <w:color w:val="auto"/>
        </w:rPr>
        <w:tab/>
      </w:r>
      <w:r>
        <w:rPr>
          <w:rFonts w:ascii="Times New Roman" w:cs="Times New Roman" w:eastAsia="Times New Roman" w:hAnsi="Times New Roman"/>
          <w:sz w:val="19"/>
          <w:szCs w:val="19"/>
          <w:b w:val="1"/>
          <w:bCs w:val="1"/>
          <w:color w:val="auto"/>
        </w:rPr>
        <w:t xml:space="preserve">FOR </w:t>
      </w:r>
      <w:r>
        <w:rPr>
          <w:rFonts w:ascii="Times New Roman" w:cs="Times New Roman" w:eastAsia="Times New Roman" w:hAnsi="Times New Roman"/>
          <w:sz w:val="19"/>
          <w:szCs w:val="19"/>
          <w:color w:val="auto"/>
        </w:rPr>
        <w:t>the approval of the advisory vote on executive compensation.</w:t>
      </w:r>
    </w:p>
    <w:p>
      <w:pPr>
        <w:spacing w:after="0" w:line="176"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9"/>
          <w:szCs w:val="19"/>
          <w:color w:val="auto"/>
        </w:rPr>
        <w:t>Proposal 4:</w:t>
      </w:r>
      <w:r>
        <w:rPr>
          <w:sz w:val="20"/>
          <w:szCs w:val="20"/>
          <w:color w:val="auto"/>
        </w:rPr>
        <w:tab/>
      </w:r>
      <w:r>
        <w:rPr>
          <w:rFonts w:ascii="Times New Roman" w:cs="Times New Roman" w:eastAsia="Times New Roman" w:hAnsi="Times New Roman"/>
          <w:sz w:val="19"/>
          <w:szCs w:val="19"/>
          <w:b w:val="1"/>
          <w:bCs w:val="1"/>
          <w:color w:val="auto"/>
        </w:rPr>
        <w:t xml:space="preserve">FOR </w:t>
      </w:r>
      <w:r>
        <w:rPr>
          <w:rFonts w:ascii="Times New Roman" w:cs="Times New Roman" w:eastAsia="Times New Roman" w:hAnsi="Times New Roman"/>
          <w:sz w:val="19"/>
          <w:szCs w:val="19"/>
          <w:color w:val="auto"/>
        </w:rPr>
        <w:t>ratification of the appointment of KPMG LLP as our independent registered public accounting firm for 2024.</w:t>
      </w:r>
    </w:p>
    <w:p>
      <w:pPr>
        <w:spacing w:after="0" w:line="167"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If you are a current or former employee of Pilgrim’s Pride who holds shares through the Pilgrim’s Pride Corporation Retirement Savings Plan or the To-Ricos Employee Savings and Retirement Plan, you will be given the opportunity to provide instruction to the trustee with respect to how to vote your shares. Any shares for which instructions are not received (1) will be voted by the trustee in accordance with instructions provided by Pilgrim’s Pride with respect to shares held under the Pilgrim’s Pride Corporation Retirement Savings Plan and (2) will not be voted with respect to shares held under the To-Ricos Employee Savings and Retirement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a quorum?</w:t>
      </w:r>
    </w:p>
    <w:p>
      <w:pPr>
        <w:spacing w:after="0" w:line="180"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9"/>
          <w:szCs w:val="19"/>
          <w:color w:val="auto"/>
        </w:rPr>
        <w:t>A “quorum” is necessary to hold the meeting. A quorum consists of a majority of the voting power of our common stock issued and outstanding and entitled to vote at the meeting, including the voting power that is present in person or by proxy. The shares of a stockholder whose ballot on any or all proposals is marked as “abstain” and shares represented by “broker non-votes” will be included in the number of shares present at the Annual Meeting to determine whether a quorum is present.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vote is required to approve the proposals for the election of the JBS Directors and the Equity Directors?</w:t>
      </w:r>
    </w:p>
    <w:p>
      <w:pPr>
        <w:spacing w:after="0" w:line="18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Directors will be elected by a plurality of the voting power of the shares entitled to vote in the election of Directors and represented in person or by proxy at a meeting of stockholders at which a quorum is present. This means that the director who receives the most votes will be elected.</w:t>
      </w:r>
    </w:p>
    <w:p>
      <w:pPr>
        <w:spacing w:after="0" w:line="104"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Because JBS owned or controlled over 50% of the voting power of our outstanding common stock on the Record Date, it will be able to elect all of the nominees for JBS Directors and determine the outcome of all other matters presented to a vote of the stockholders. The JBS Stockholders Agreement, however, requires JBS and its affiliates to vote all of Pilgrim’s Pride common stock owned by them in the same manner as the shares held by the Minority Investors with respect to Proposal 2. Consequently, the vote of the Minority Investors will determine the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9" w:name="page10"/>
    <w:bookmarkEnd w:id="9"/>
    <w:p>
      <w:pPr>
        <w:jc w:val="both"/>
        <w:spacing w:after="0" w:line="296" w:lineRule="auto"/>
        <w:rPr>
          <w:sz w:val="20"/>
          <w:szCs w:val="20"/>
          <w:color w:val="auto"/>
        </w:rPr>
      </w:pPr>
      <w:r>
        <w:rPr>
          <w:rFonts w:ascii="Times New Roman" w:cs="Times New Roman" w:eastAsia="Times New Roman" w:hAnsi="Times New Roman"/>
          <w:sz w:val="19"/>
          <w:szCs w:val="19"/>
          <w:color w:val="auto"/>
        </w:rPr>
        <w:t>outcome of Proposal 2. With respect to approval of any other item of business to be voted upon at the meeting, including the election or removal of any JBS Directors, JBS and its affiliates may vote shares of Pilgrim’s Pride common stock held by them at their sole and absolute discretion.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vote is required for advisory approval of executive compensation?</w:t>
      </w:r>
    </w:p>
    <w:p>
      <w:pPr>
        <w:spacing w:after="0" w:line="180"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With regard to Proposal 3, the stockholder advisory vote on executive compensation, the results of this vote are not binding on the Board, meaning that our Board will not be obligated to take any compensation actions or to adjust our executive compensation programs or policies, as a result of the vote. Notwithstanding the advisory nature of the vote, the resolution will be considered passed with the affirmative vote of a majority of the total outstanding voting power of capital stock, present in person or represented by proxy at the Annual Meeting.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vote is required for the appointment of KPMG LLP and to approve any other item of business to be voted upon at the meeting?</w:t>
      </w:r>
    </w:p>
    <w:p>
      <w:pPr>
        <w:spacing w:after="0" w:line="18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The affirmative vote of a majority of the total outstanding voting power of capital stock present in person or represented by proxy at the Annual Meeting is required to ratify the appointment of our independent registered public accounting firm and to approve any other item of business to be voted upon at the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are abstentions treated?</w:t>
      </w:r>
    </w:p>
    <w:p>
      <w:pPr>
        <w:spacing w:after="0" w:line="167"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Abstentions from voting on any matter will be counted in the tally of votes. Stockholders may only “withhold” votes and may not abstain with respect to the election of Directors in Proposals 1 and 2. However, stockholders may abstain from Proposals 3 and 4, and an abstention will have the same effect as a vote against any of these proposals.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are “broker non-votes” treated?</w:t>
      </w:r>
    </w:p>
    <w:p>
      <w:pPr>
        <w:spacing w:after="0" w:line="180"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A “broker non-vote” occurs when a nominee (a bank, broker, or other nominee) holding shares for a beneficial owner returns a proxy but does not vote on a particular proposal because the nominee does not have discretionary voting power for that particular item and has not received voting instructions from the beneficial owner. Under applicable rules, brokers have the discretion to vote such shares on routine matters, but not on non-routine matters. A broker non-vote will be deemed “present” at the Annual Meeting and will be counted for purposes of determining whether a quorum exists.</w:t>
      </w:r>
    </w:p>
    <w:p>
      <w:pPr>
        <w:spacing w:after="0" w:line="113"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Your broker may vote your shares in its discretion without your instructions on Proposal 4, which is the only routine proposal to be voted on at the Annual Meeting. With regard to Proposals 1, 2, and 3, brokers will have no discretion to vote uninstructed shares, and a “broker non-vote” may therefore occur where no voting instructions are received. Broker non-votes will have no effect on the elections of Directors in Proposals 1 and 2, because the election of Directors requires a plurality vote. Broker non-votes will have no effect on Proposal 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urge you to vote on ALL voting items.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Can I change my vote after I have mailed in my proxy card?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Yes. You may revoke your proxy by doing one of the following:</w:t>
      </w:r>
    </w:p>
    <w:p>
      <w:pPr>
        <w:spacing w:after="0" w:line="176" w:lineRule="exact"/>
        <w:rPr>
          <w:sz w:val="20"/>
          <w:szCs w:val="20"/>
          <w:color w:val="auto"/>
        </w:rPr>
      </w:pPr>
    </w:p>
    <w:p>
      <w:pPr>
        <w:ind w:left="1140" w:hanging="307"/>
        <w:spacing w:after="0"/>
        <w:tabs>
          <w:tab w:leader="none" w:pos="114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sending to the Secretary of the Company a written notice of revocation that is received prior to the meeting;</w:t>
      </w:r>
    </w:p>
    <w:p>
      <w:pPr>
        <w:spacing w:after="0" w:line="162" w:lineRule="exact"/>
        <w:rPr>
          <w:rFonts w:ascii="Times New Roman" w:cs="Times New Roman" w:eastAsia="Times New Roman" w:hAnsi="Times New Roman"/>
          <w:sz w:val="19"/>
          <w:szCs w:val="19"/>
          <w:color w:val="auto"/>
        </w:rPr>
      </w:pPr>
    </w:p>
    <w:p>
      <w:pPr>
        <w:ind w:left="1140" w:hanging="307"/>
        <w:spacing w:after="0"/>
        <w:tabs>
          <w:tab w:leader="none" w:pos="114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submitting a new proxy card bearing a later date to the Secretary of the Company so that it is received prior to the meeting; or</w:t>
      </w:r>
    </w:p>
    <w:p>
      <w:pPr>
        <w:spacing w:after="0" w:line="175" w:lineRule="exact"/>
        <w:rPr>
          <w:rFonts w:ascii="Times New Roman" w:cs="Times New Roman" w:eastAsia="Times New Roman" w:hAnsi="Times New Roman"/>
          <w:sz w:val="19"/>
          <w:szCs w:val="19"/>
          <w:color w:val="auto"/>
        </w:rPr>
      </w:pPr>
    </w:p>
    <w:p>
      <w:pPr>
        <w:ind w:left="1140" w:hanging="307"/>
        <w:spacing w:after="0"/>
        <w:tabs>
          <w:tab w:leader="none" w:pos="114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attending the meeting and voting your shares in person.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If your shares are held in “street name,” you may submit new voting instructions by contacting your bank, broker or other nominee.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b w:val="1"/>
          <w:bCs w:val="1"/>
          <w:color w:val="auto"/>
        </w:rPr>
        <w:t>Who will pay the cost of this proxy solicitation?</w:t>
      </w:r>
    </w:p>
    <w:p>
      <w:pPr>
        <w:spacing w:after="0" w:line="18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We will pay the cost of preparing, printing and mailing this proxy statement and of soliciting proxies. We will request brokers, custodians, nominees and other like parties to forward copies of proxy materials to beneficial owners of our common stock and will reimburse these parties for their reasonable and customary charges or expenses.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 this proxy statement the only way that proxies may be solicited?</w:t>
      </w:r>
    </w:p>
    <w:p>
      <w:pPr>
        <w:spacing w:after="0" w:line="180" w:lineRule="exact"/>
        <w:rPr>
          <w:sz w:val="20"/>
          <w:szCs w:val="20"/>
          <w:color w:val="auto"/>
        </w:rPr>
      </w:pPr>
    </w:p>
    <w:p>
      <w:pPr>
        <w:jc w:val="both"/>
        <w:ind w:firstLine="631"/>
        <w:spacing w:after="0" w:line="296" w:lineRule="auto"/>
        <w:rPr>
          <w:sz w:val="20"/>
          <w:szCs w:val="20"/>
          <w:color w:val="auto"/>
        </w:rPr>
      </w:pPr>
      <w:r>
        <w:rPr>
          <w:rFonts w:ascii="Times New Roman" w:cs="Times New Roman" w:eastAsia="Times New Roman" w:hAnsi="Times New Roman"/>
          <w:sz w:val="19"/>
          <w:szCs w:val="19"/>
          <w:color w:val="auto"/>
        </w:rPr>
        <w:t>No. In addition to mailing these proxy materials, certain of our Directors, officers or employees may solicit proxies by telephone, facsimile, e-mail or personal contact. They will not be specifically compensated for doing so.</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9"/>
          <w:szCs w:val="19"/>
          <w:b w:val="1"/>
          <w:bCs w:val="1"/>
          <w:color w:val="auto"/>
        </w:rPr>
        <w:t>PROPOSAL 1. ELECTION OF JBS DIRECTORS</w:t>
      </w:r>
    </w:p>
    <w:p>
      <w:pPr>
        <w:spacing w:after="0" w:line="18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Subject to limited exceptions, our Certificate of Incorporation specifies that the Board of Directors will consist of nine members, which is the number of Directors currently on our Board of Directors. Proxies cannot be voted for a greater number of persons than the nine nominees named.</w:t>
      </w:r>
    </w:p>
    <w:p>
      <w:pPr>
        <w:spacing w:after="0" w:line="104" w:lineRule="exact"/>
        <w:rPr>
          <w:sz w:val="20"/>
          <w:szCs w:val="20"/>
          <w:color w:val="auto"/>
        </w:rPr>
      </w:pPr>
    </w:p>
    <w:p>
      <w:pPr>
        <w:jc w:val="both"/>
        <w:ind w:firstLine="631"/>
        <w:spacing w:after="0" w:line="278" w:lineRule="auto"/>
        <w:rPr>
          <w:sz w:val="20"/>
          <w:szCs w:val="20"/>
          <w:color w:val="auto"/>
        </w:rPr>
      </w:pPr>
      <w:r>
        <w:rPr>
          <w:rFonts w:ascii="Times New Roman" w:cs="Times New Roman" w:eastAsia="Times New Roman" w:hAnsi="Times New Roman"/>
          <w:sz w:val="19"/>
          <w:szCs w:val="19"/>
          <w:color w:val="auto"/>
        </w:rPr>
        <w:t>Pursuant to our Certificate of Incorporation and our bylaws, our Board of Directors includes six JBS Directors, including the Chairman of the Board, who are designated by the JBS Nominating Committee. For more information, see “Corporate Governance—Committees of the Board of Directors—Nominating Committees.”</w:t>
      </w:r>
    </w:p>
    <w:p>
      <w:pPr>
        <w:spacing w:after="0" w:line="95"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At the Annual Meeting, nine Directors, including six JBS Director nominees, are to be elected, each to hold office for one year or until his or her successor is duly elected and qualified. For more information on our relationship with JBS S.A. (“JBS”), see “Related Party Transactions” and “Security Ownership.” Unless otherwise specified on the proxy card or voting instructions, the shares represented by the proxy will be voted for the election of the six JBS Director nominees named below. If any JBS Director nominee becomes unavailable for election, it is intended that such shares will be voted for the election of a substitute nominee selected by the JBS Nominating Committee. Our Board of Directors has no reason to believe that any substitute nominee or nominees will be required, and all of the nominees have indicated that they will be willing and able to serve as directors.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Nominees for JBS Directors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following is information about our JBS Director nominees, including their ages as of April 1, 2024.</w:t>
      </w:r>
    </w:p>
    <w:p>
      <w:pPr>
        <w:spacing w:after="0" w:line="172" w:lineRule="exact"/>
        <w:rPr>
          <w:sz w:val="20"/>
          <w:szCs w:val="20"/>
          <w:color w:val="auto"/>
        </w:rPr>
      </w:pPr>
    </w:p>
    <w:p>
      <w:pPr>
        <w:jc w:val="both"/>
        <w:ind w:firstLine="631"/>
        <w:spacing w:after="0" w:line="259" w:lineRule="auto"/>
        <w:rPr>
          <w:sz w:val="20"/>
          <w:szCs w:val="20"/>
          <w:color w:val="auto"/>
        </w:rPr>
      </w:pPr>
      <w:r>
        <w:rPr>
          <w:rFonts w:ascii="Times New Roman" w:cs="Times New Roman" w:eastAsia="Times New Roman" w:hAnsi="Times New Roman"/>
          <w:sz w:val="19"/>
          <w:szCs w:val="19"/>
          <w:b w:val="1"/>
          <w:bCs w:val="1"/>
          <w:color w:val="auto"/>
        </w:rPr>
        <w:t>Gilberto Tomazoni</w:t>
      </w:r>
      <w:r>
        <w:rPr>
          <w:rFonts w:ascii="Times New Roman" w:cs="Times New Roman" w:eastAsia="Times New Roman" w:hAnsi="Times New Roman"/>
          <w:sz w:val="19"/>
          <w:szCs w:val="19"/>
          <w:color w:val="auto"/>
        </w:rPr>
        <w:t>, 65, has served as Chairman of the Board since July 2013. Since 2018, Mr. Tomazoni has served as the Chief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Officer of JBS, and previously, Mr. Tomazoni served as president of the Global Poultry Division of JBS from 2013 to 2018. Before joining JBS, Mr. Tomazoni spent four years with Bunge Alimentos S.A. as Vice President of Foods and Ingredients. Prior to that, Mr. Tomazoni served 27 years with Sadia S.A., a leading provider of both frozen and refrigerated food products in Brazil, in various roles, including Chief Executive Officer from 2004 to 2009. He earned an M.A. degree in management development in 1991 from Fundação de Ensino do Desenvolvimento and a B.Sc. degree in mechanical engineering in 1982 from the Universidade Federal de Santa Catarina. Mr. Tomazoni has served as a board member of Brazil Fast Food Corporation since 2009 and as a member of the International Advisory Council for Fundação Dom Cabral since 2009.</w:t>
      </w:r>
    </w:p>
    <w:p>
      <w:pPr>
        <w:spacing w:after="0" w:line="116"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Mr. Tomazoni brings over 30 years of diverse poultry, protein, and food industry experience to the Company. Mr. Tomazoni’s extensive experience and education in the global poultry industry provides invaluable direction to the Company’s strategies in domestic and international markets. As Chairman of the Board, Mr. Tomazoni has direct oversight of the Company’s strategy and operations.</w:t>
      </w:r>
    </w:p>
    <w:p>
      <w:pPr>
        <w:spacing w:after="0" w:line="113" w:lineRule="exact"/>
        <w:rPr>
          <w:sz w:val="20"/>
          <w:szCs w:val="20"/>
          <w:color w:val="auto"/>
        </w:rPr>
      </w:pPr>
    </w:p>
    <w:p>
      <w:pPr>
        <w:jc w:val="both"/>
        <w:ind w:firstLine="631"/>
        <w:spacing w:after="0" w:line="249" w:lineRule="auto"/>
        <w:rPr>
          <w:sz w:val="20"/>
          <w:szCs w:val="20"/>
          <w:color w:val="auto"/>
        </w:rPr>
      </w:pPr>
      <w:r>
        <w:rPr>
          <w:rFonts w:ascii="Times New Roman" w:cs="Times New Roman" w:eastAsia="Times New Roman" w:hAnsi="Times New Roman"/>
          <w:sz w:val="19"/>
          <w:szCs w:val="19"/>
          <w:b w:val="1"/>
          <w:bCs w:val="1"/>
          <w:color w:val="auto"/>
        </w:rPr>
        <w:t>Wesley Mendonça Batista</w:t>
      </w:r>
      <w:r>
        <w:rPr>
          <w:rFonts w:ascii="Times New Roman" w:cs="Times New Roman" w:eastAsia="Times New Roman" w:hAnsi="Times New Roman"/>
          <w:sz w:val="19"/>
          <w:szCs w:val="19"/>
          <w:color w:val="auto"/>
        </w:rPr>
        <w:t>, 54, is a co-controlling shareholder of J&amp;F Investimentos S.A. (“J&amp;F”), one of the largest business groups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Brazil. Mr. Wesley Batista brings more than 35 years of experience in the protein industry and provides extensive operational expertise and business management experience to the Company. He currently serves as Vice President of the J&amp;F Institute, a non-profit organization that was created 14 years ago to transform businesses into companies committed to educating their communities.</w:t>
      </w:r>
    </w:p>
    <w:p>
      <w:pPr>
        <w:spacing w:after="0" w:line="119" w:lineRule="exact"/>
        <w:rPr>
          <w:sz w:val="20"/>
          <w:szCs w:val="20"/>
          <w:color w:val="auto"/>
        </w:rPr>
      </w:pPr>
    </w:p>
    <w:p>
      <w:pPr>
        <w:jc w:val="both"/>
        <w:ind w:firstLine="631"/>
        <w:spacing w:after="0" w:line="273" w:lineRule="auto"/>
        <w:rPr>
          <w:sz w:val="20"/>
          <w:szCs w:val="20"/>
          <w:color w:val="auto"/>
        </w:rPr>
      </w:pPr>
      <w:r>
        <w:rPr>
          <w:rFonts w:ascii="Times New Roman" w:cs="Times New Roman" w:eastAsia="Times New Roman" w:hAnsi="Times New Roman"/>
          <w:sz w:val="19"/>
          <w:szCs w:val="19"/>
          <w:b w:val="1"/>
          <w:bCs w:val="1"/>
          <w:color w:val="auto"/>
        </w:rPr>
        <w:t>Joesley Mendonça Batista</w:t>
      </w:r>
      <w:r>
        <w:rPr>
          <w:rFonts w:ascii="Times New Roman" w:cs="Times New Roman" w:eastAsia="Times New Roman" w:hAnsi="Times New Roman"/>
          <w:sz w:val="19"/>
          <w:szCs w:val="19"/>
          <w:color w:val="auto"/>
        </w:rPr>
        <w:t>, 52, is a co-controlling shareholder of J&amp;F. Mr. Joesley Batista brings more than 35 years of experience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protein industry, expertise in protein production operations and business management experience to the Company. He currently serves as President of the J&amp;F Institute.</w:t>
      </w:r>
    </w:p>
    <w:p>
      <w:pPr>
        <w:spacing w:after="0" w:line="113"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Messrs. Wesley Mendonça Batista and Joesley Mendonça Batista joined the Board as new directors (the “New Directors”) on February 8, 2024 following the resignations of Joanita Karoleski and Wesley Mendonça Batista Filho.</w:t>
      </w:r>
    </w:p>
    <w:p>
      <w:pPr>
        <w:spacing w:after="0" w:line="92"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On May 3, 2017, former J&amp;F officers, former senior executives and board members of JBS and JBS USA Food Company (“JBS USA”), as well as the New Directors, entered into collaboration agreements (</w:t>
      </w:r>
      <w:r>
        <w:rPr>
          <w:rFonts w:ascii="Times New Roman" w:cs="Times New Roman" w:eastAsia="Times New Roman" w:hAnsi="Times New Roman"/>
          <w:sz w:val="19"/>
          <w:szCs w:val="19"/>
          <w:i w:val="1"/>
          <w:iCs w:val="1"/>
          <w:color w:val="auto"/>
        </w:rPr>
        <w:t>acordos de colaboração premiada</w:t>
      </w:r>
      <w:r>
        <w:rPr>
          <w:rFonts w:ascii="Times New Roman" w:cs="Times New Roman" w:eastAsia="Times New Roman" w:hAnsi="Times New Roman"/>
          <w:sz w:val="19"/>
          <w:szCs w:val="19"/>
          <w:color w:val="auto"/>
        </w:rPr>
        <w:t>) (“Collaboration Agreements”) with the Brazilian Attorney General’s Office (</w:t>
      </w:r>
      <w:r>
        <w:rPr>
          <w:rFonts w:ascii="Times New Roman" w:cs="Times New Roman" w:eastAsia="Times New Roman" w:hAnsi="Times New Roman"/>
          <w:sz w:val="19"/>
          <w:szCs w:val="19"/>
          <w:i w:val="1"/>
          <w:iCs w:val="1"/>
          <w:color w:val="auto"/>
        </w:rPr>
        <w:t>Procuradoria-Geral da República</w:t>
      </w:r>
      <w:r>
        <w:rPr>
          <w:rFonts w:ascii="Times New Roman" w:cs="Times New Roman" w:eastAsia="Times New Roman" w:hAnsi="Times New Roman"/>
          <w:sz w:val="19"/>
          <w:szCs w:val="19"/>
          <w:color w:val="auto"/>
        </w:rPr>
        <w:t>), setting forth facts and conduct relating to payments made to Brazilian politicians from 2009 to</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2" w:name="page13"/>
    <w:bookmarkEnd w:id="12"/>
    <w:p>
      <w:pPr>
        <w:jc w:val="both"/>
        <w:spacing w:after="0" w:line="257" w:lineRule="auto"/>
        <w:rPr>
          <w:sz w:val="20"/>
          <w:szCs w:val="20"/>
          <w:color w:val="auto"/>
        </w:rPr>
      </w:pPr>
      <w:r>
        <w:rPr>
          <w:rFonts w:ascii="Times New Roman" w:cs="Times New Roman" w:eastAsia="Times New Roman" w:hAnsi="Times New Roman"/>
          <w:sz w:val="19"/>
          <w:szCs w:val="19"/>
          <w:color w:val="auto"/>
        </w:rPr>
        <w:t>2015. The information and documents disclosed by J&amp;F representatives through the Collaboration Agreements enabled the Brazilian authorities to launch several legal and administrative proceedings involving third parties, including criminal investigations and lawsuits. On June 5, 2017, J&amp;F, on behalf of itself and its subsidiaries, entered into a leniency agreement (“Leniency Agreement”) with the Brazilian Federal Prosecution Office (</w:t>
      </w:r>
      <w:r>
        <w:rPr>
          <w:rFonts w:ascii="Times New Roman" w:cs="Times New Roman" w:eastAsia="Times New Roman" w:hAnsi="Times New Roman"/>
          <w:sz w:val="19"/>
          <w:szCs w:val="19"/>
          <w:i w:val="1"/>
          <w:iCs w:val="1"/>
          <w:color w:val="auto"/>
        </w:rPr>
        <w:t>Ministério Público Federal</w:t>
      </w:r>
      <w:r>
        <w:rPr>
          <w:rFonts w:ascii="Times New Roman" w:cs="Times New Roman" w:eastAsia="Times New Roman" w:hAnsi="Times New Roman"/>
          <w:sz w:val="19"/>
          <w:szCs w:val="19"/>
          <w:color w:val="auto"/>
        </w:rPr>
        <w:t>) in relation to the conduct described in the Collaboration Agreements, and J&amp;F agreed to pay a fine of R$8.0 billion and to contribute an additional R$2.3 billion to social projects in Brazil, each adjusted for inflation, over a 25-year period. The total fine was subsequently reduced to R$3.5 billion (equivalent to approximately US$723 million, converted using the foreign exchange rate as of December 31, 2023). In December 2023, the Brazilian Supreme Court (</w:t>
      </w:r>
      <w:r>
        <w:rPr>
          <w:rFonts w:ascii="Times New Roman" w:cs="Times New Roman" w:eastAsia="Times New Roman" w:hAnsi="Times New Roman"/>
          <w:sz w:val="19"/>
          <w:szCs w:val="19"/>
          <w:i w:val="1"/>
          <w:iCs w:val="1"/>
          <w:color w:val="auto"/>
        </w:rPr>
        <w:t>Supremo Tribunal Federal</w:t>
      </w:r>
      <w:r>
        <w:rPr>
          <w:rFonts w:ascii="Times New Roman" w:cs="Times New Roman" w:eastAsia="Times New Roman" w:hAnsi="Times New Roman"/>
          <w:sz w:val="19"/>
          <w:szCs w:val="19"/>
          <w:color w:val="auto"/>
        </w:rPr>
        <w:t>) overseeing the case suspended J&amp;F’s obligation to make additional installment payments under the Leniency Agreement following a petition from J&amp;F that cited potential misconduct by enforcement authorities in connection with entering into the Leniency Agreement. Notwithstanding the suspension of the fine, the Leniency Agreement otherwise remains in effect.</w:t>
      </w:r>
    </w:p>
    <w:p>
      <w:pPr>
        <w:spacing w:after="0" w:line="131" w:lineRule="exact"/>
        <w:rPr>
          <w:sz w:val="20"/>
          <w:szCs w:val="20"/>
          <w:color w:val="auto"/>
        </w:rPr>
      </w:pPr>
    </w:p>
    <w:p>
      <w:pPr>
        <w:jc w:val="both"/>
        <w:ind w:firstLine="631"/>
        <w:spacing w:after="0" w:line="257" w:lineRule="auto"/>
        <w:rPr>
          <w:sz w:val="20"/>
          <w:szCs w:val="20"/>
          <w:color w:val="auto"/>
        </w:rPr>
      </w:pPr>
      <w:r>
        <w:rPr>
          <w:rFonts w:ascii="Times New Roman" w:cs="Times New Roman" w:eastAsia="Times New Roman" w:hAnsi="Times New Roman"/>
          <w:sz w:val="19"/>
          <w:szCs w:val="19"/>
          <w:color w:val="auto"/>
        </w:rPr>
        <w:t>On October 14, 2020, J&amp;F, JBS, and the New Directors (collectively, the “Respondents”), entered into a settlement agreement with the U.S. Securities and Exchange Commission (“SEC”) relating to the circumstances and payments that were the subject of the Collaboration Agreements and Leniency Agreement. In connection with the SEC settlement, the SEC issued a cease-and-desist order (the “SEC order”), finding violations of certain provisions of Section 13(b) of the Exchange Act, including Exchange Act Rule 13b2-2, and requiring the Respondents: to cease and desist from further violations of certain provisions of Section 13(b) of the Exchange Act and rules thereunder, including Exchange Act Rule 13b2-2; to evaluate, review, and continue to improve anti-bribery and anti-corruption compliance programs; and to report to the SEC on such improvements and on any illicit payments that it discovers for a period of three years. JBS was also ordered to pay disgorgement to the SEC in the amount of $26.9 million and each of the New Directors was ordered to pay a civil penalty of $550,000, each of which payments has been made in full. In January 2024, following a three-year reporting period, the SEC’s Division of Enforcement issued termination letters that formally concluded its investigation into each of the Respondents, including the New Directors. In these termination letters, the SEC stated that, as of the date of the letters, it did not intend to recommend any further enforcement action in this matter.</w:t>
      </w:r>
    </w:p>
    <w:p>
      <w:pPr>
        <w:spacing w:after="0" w:line="121" w:lineRule="exact"/>
        <w:rPr>
          <w:sz w:val="20"/>
          <w:szCs w:val="20"/>
          <w:color w:val="auto"/>
        </w:rPr>
      </w:pPr>
    </w:p>
    <w:p>
      <w:pPr>
        <w:jc w:val="both"/>
        <w:ind w:firstLine="631"/>
        <w:spacing w:after="0" w:line="257" w:lineRule="auto"/>
        <w:rPr>
          <w:sz w:val="20"/>
          <w:szCs w:val="20"/>
          <w:color w:val="auto"/>
        </w:rPr>
      </w:pPr>
      <w:r>
        <w:rPr>
          <w:rFonts w:ascii="Times New Roman" w:cs="Times New Roman" w:eastAsia="Times New Roman" w:hAnsi="Times New Roman"/>
          <w:sz w:val="19"/>
          <w:szCs w:val="19"/>
          <w:color w:val="auto"/>
        </w:rPr>
        <w:t>Also on October 14, 2020, J&amp;F reached an agreement with the U.S. Department of Justice (“DOJ”) pursuant to which J&amp;F agreed to plead guilty to one count of conspiracy to violate the anti-bribery provisions of the U.S. Foreign Corrupt Practices Act (“FCPA”) in relation to the circumstances and payments that were the subject of the Collaboration Agreements and Leniency Agreement (the “Plea Agreement”). The Plea Agreement imposed a criminal penalty of $256.5 million, payable in two installments of approximately $128.2 million. J&amp;F paid $128.2 million to the U.S. government, and the balance was considered to have been offset by payments made by J&amp;F to Brazilian authorities under the Leniency Agreement. The Plea Agreement also required J&amp;F: to implement a compliance program that satisfies DOJ standards; to review and improve its internal accounting controls, policies, and procedures regarding compliance with the FCPA; to report to the DOJ regarding remediation efforts and progress on the implementation of J&amp;F’s compliance program for three years; to report evidence or allegations of violations of the anti-bribery provisions of the FCPA during the three-year period; and to cooperate fully with the DOJ and other agencies in any investigation concerning J&amp;F, its affiliates, executives, employees, or agents relating to the relevant conduct or any other conduct under investigation by the DOJ during the three-year period. The New Directors and J&amp;F have informed the Company that they have satisfied all obligations and have complied with all undertakings under the Plea Agreement.</w:t>
      </w:r>
    </w:p>
    <w:p>
      <w:pPr>
        <w:spacing w:after="0" w:line="133" w:lineRule="exact"/>
        <w:rPr>
          <w:sz w:val="20"/>
          <w:szCs w:val="20"/>
          <w:color w:val="auto"/>
        </w:rPr>
      </w:pPr>
    </w:p>
    <w:p>
      <w:pPr>
        <w:jc w:val="both"/>
        <w:ind w:firstLine="631"/>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Andre Nogueira de Souza, </w:t>
      </w:r>
      <w:r>
        <w:rPr>
          <w:rFonts w:ascii="Times New Roman" w:cs="Times New Roman" w:eastAsia="Times New Roman" w:hAnsi="Times New Roman"/>
          <w:sz w:val="19"/>
          <w:szCs w:val="19"/>
          <w:color w:val="auto"/>
        </w:rPr>
        <w:t>55, has served as a Director since October 2014. Mr. Nogueira has served in various roles with JBS,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as the Global President of Operations — North America. From January 1, 2013 to 2021, Mr. Nogueira was the President and Chief Executive Officer of JBS USA. Mr. Nogueira began his career with JBS USA Holding Lux S.à.r.l. (formerly known as JBS USA Holdings Inc.) (“JBS USA Holdings”) in 2007, serving as Chief Financial Officer through 2011. He then served as Chief Executive Officer of JBS Australia Pty. Ltd. (“JBS Australia”), a subsidiary of JBS, in 2012. Prior to working for JBS USA Holdings, Mr. Nogueira worked for Banco do Brasil in corporate banking positions in the U.S. and Brazil. Mr. Nogueira currently serves on the Executive Committee and the board of the American Meat Institute and the Deans’ Leadership Council of the College of Agricultural Sciences—Colorado State University. Mr. Nogueira has an M.B.A. from Fundação Dom Cabral, a Master’s degree in Economics from Brasilia University, and a B.A. in Economics from Federal</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color w:val="auto"/>
        </w:rPr>
        <w:t>Fluminense University, and completed the Advanced Management Program at the University of Chicago Booth School of Business.</w:t>
      </w:r>
    </w:p>
    <w:p>
      <w:pPr>
        <w:spacing w:after="0" w:line="176"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Mr. Nogueira brings outstanding leadership to our Board through his experience gained as a Chief Executive Officer of JBS USA and JBS Australia and Chief Financial Officer of JBS USA Holdings. In addition, Mr. Nogueira brings an extensive understanding of the protein industry and financial matters to the Board.</w:t>
      </w:r>
    </w:p>
    <w:p>
      <w:pPr>
        <w:spacing w:after="0" w:line="100" w:lineRule="exact"/>
        <w:rPr>
          <w:sz w:val="20"/>
          <w:szCs w:val="20"/>
          <w:color w:val="auto"/>
        </w:rPr>
      </w:pPr>
    </w:p>
    <w:p>
      <w:pPr>
        <w:jc w:val="both"/>
        <w:ind w:firstLine="631"/>
        <w:spacing w:after="0" w:line="259" w:lineRule="auto"/>
        <w:rPr>
          <w:sz w:val="20"/>
          <w:szCs w:val="20"/>
          <w:color w:val="auto"/>
        </w:rPr>
      </w:pPr>
      <w:r>
        <w:rPr>
          <w:rFonts w:ascii="Times New Roman" w:cs="Times New Roman" w:eastAsia="Times New Roman" w:hAnsi="Times New Roman"/>
          <w:sz w:val="19"/>
          <w:szCs w:val="19"/>
          <w:b w:val="1"/>
          <w:bCs w:val="1"/>
          <w:color w:val="auto"/>
        </w:rPr>
        <w:t>Farha Aslam</w:t>
      </w:r>
      <w:r>
        <w:rPr>
          <w:rFonts w:ascii="Times New Roman" w:cs="Times New Roman" w:eastAsia="Times New Roman" w:hAnsi="Times New Roman"/>
          <w:sz w:val="19"/>
          <w:szCs w:val="19"/>
          <w:color w:val="auto"/>
        </w:rPr>
        <w:t>, 55, has served as a Director since May 2019. Ms. Aslam is currently a board member of Calavo Growers, an avocado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and Green Plains Inc., a biorefining company, both of which are listed on the Nasdaq stock market. Prior to her retirement in 2018, Ms. Aslam served as the Managing Director and Senior Analyst of Food and Agribusiness Research from 2004 to 2018 at Stephens Inc., an independent financial services firm that provides deep research and independent thinking to its clients. She also successfully positioned and co-managed numerous equity offerings involving leading companies in the poultry and food industries. Ms. Aslam was formerly Vice President of Food and Agribusiness Research at Merrill Lynch from 1999 to 2004. Ms. Aslam was also a Risk Management Associate at UBS from 1996 to 1998 where she marketed fixed income products to hedge fund and mutual fund clients, and Financial Services Representative at SunAmerica Financial from 1992 to 1994. Ms. Aslam completed her M.B.A. with a focus on Finance from Columbia Business School in 1996 and obtained her B.A. in Economics from University of California, Irvine in 1991.</w:t>
      </w:r>
    </w:p>
    <w:p>
      <w:pPr>
        <w:spacing w:after="0" w:line="130" w:lineRule="exact"/>
        <w:rPr>
          <w:sz w:val="20"/>
          <w:szCs w:val="20"/>
          <w:color w:val="auto"/>
        </w:rPr>
      </w:pPr>
    </w:p>
    <w:p>
      <w:pPr>
        <w:jc w:val="both"/>
        <w:ind w:firstLine="631"/>
        <w:spacing w:after="0" w:line="281" w:lineRule="auto"/>
        <w:rPr>
          <w:sz w:val="20"/>
          <w:szCs w:val="20"/>
          <w:color w:val="auto"/>
        </w:rPr>
      </w:pPr>
      <w:r>
        <w:rPr>
          <w:rFonts w:ascii="Times New Roman" w:cs="Times New Roman" w:eastAsia="Times New Roman" w:hAnsi="Times New Roman"/>
          <w:sz w:val="19"/>
          <w:szCs w:val="19"/>
          <w:color w:val="auto"/>
        </w:rPr>
        <w:t>Ms. Aslam’s expertise in food and agribusiness research brings value to our Board. In addition, her multi-faceted financial skills provide key insight to the Company’s financial and business operations.</w:t>
      </w:r>
    </w:p>
    <w:p>
      <w:pPr>
        <w:spacing w:after="0" w:line="102" w:lineRule="exact"/>
        <w:rPr>
          <w:sz w:val="20"/>
          <w:szCs w:val="20"/>
          <w:color w:val="auto"/>
        </w:rPr>
      </w:pPr>
    </w:p>
    <w:p>
      <w:pPr>
        <w:jc w:val="both"/>
        <w:ind w:firstLine="631"/>
        <w:spacing w:after="0" w:line="259" w:lineRule="auto"/>
        <w:rPr>
          <w:sz w:val="20"/>
          <w:szCs w:val="20"/>
          <w:color w:val="auto"/>
        </w:rPr>
      </w:pPr>
      <w:r>
        <w:rPr>
          <w:rFonts w:ascii="Times New Roman" w:cs="Times New Roman" w:eastAsia="Times New Roman" w:hAnsi="Times New Roman"/>
          <w:sz w:val="19"/>
          <w:szCs w:val="19"/>
          <w:b w:val="1"/>
          <w:bCs w:val="1"/>
          <w:color w:val="auto"/>
        </w:rPr>
        <w:t>Raul Padilla</w:t>
      </w:r>
      <w:r>
        <w:rPr>
          <w:rFonts w:ascii="Times New Roman" w:cs="Times New Roman" w:eastAsia="Times New Roman" w:hAnsi="Times New Roman"/>
          <w:sz w:val="19"/>
          <w:szCs w:val="19"/>
          <w:color w:val="auto"/>
        </w:rPr>
        <w:t>, 68, has served as a Director since April 2022. Mr. Padilla previously served as President, Global Operations of Bunge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Limited from 2018 until his retirement in 2021. Prior to that role, Mr. Padilla served as President, South America and President, Sugar and Bioenergy from 2018 to 2021. Prior to those positions, he served as Chief Executive Officer of Bunge Brazil and Managing Director, Sugar and Bioenergy from 2014 to 2018. He served as Managing Director, Bunge Global Agribusiness and Chief Executive Officer, Bunge Product Lines from 2010 to 2014. He was Chief Executive Officer of Bunge Argentina from 1999 to 2010, having joined the company in 1997 as Commercial Director. Mr. Padilla has over 40 years of experience in the oilseed processing and grain handling industries in Argentina, beginning his career with La Plata Cereal in 1977. He has served as President of the Argentine National Oilseed Crushers Association, Vice President of the International Association of Seed Crushers and Director of the Buenos Aires Cereal Exchange and the Rosario Futures Exchange. Mr. Padilla is a graduate of the University of Buenos Aires.</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Mr. Padilla brings to the Board over 40 years of experience in agribusiness and food business with global responsibilities.</w:t>
      </w:r>
    </w:p>
    <w:p>
      <w:pPr>
        <w:spacing w:after="0" w:line="172" w:lineRule="exact"/>
        <w:rPr>
          <w:sz w:val="20"/>
          <w:szCs w:val="20"/>
          <w:color w:val="auto"/>
        </w:rPr>
      </w:pPr>
    </w:p>
    <w:p>
      <w:pPr>
        <w:jc w:val="both"/>
        <w:ind w:firstLine="631"/>
        <w:spacing w:after="0" w:line="286" w:lineRule="auto"/>
        <w:rPr>
          <w:sz w:val="20"/>
          <w:szCs w:val="20"/>
          <w:color w:val="auto"/>
        </w:rPr>
      </w:pPr>
      <w:r>
        <w:rPr>
          <w:rFonts w:ascii="Times New Roman" w:cs="Times New Roman" w:eastAsia="Times New Roman" w:hAnsi="Times New Roman"/>
          <w:sz w:val="19"/>
          <w:szCs w:val="19"/>
          <w:b w:val="1"/>
          <w:bCs w:val="1"/>
          <w:color w:val="auto"/>
        </w:rPr>
        <w:t>The Board of Directors recommends that you vote “FOR” the election of all of the individuals who have been nominated to serve as JBS Directors. Proxies will be so voted unless stockholders specify otherwise or withhold authority to vote.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9"/>
          <w:szCs w:val="19"/>
          <w:b w:val="1"/>
          <w:bCs w:val="1"/>
          <w:color w:val="auto"/>
        </w:rPr>
        <w:t>PROPOSAL 2. ELECTION OF EQUITY DIRECTORS</w:t>
      </w:r>
    </w:p>
    <w:p>
      <w:pPr>
        <w:spacing w:after="0" w:line="18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Pursuant to our Certificate of Incorporation and our bylaws, our Board of Directors includes three members designated by the Equity Nominating Committee, which we refer to as our Equity Directors. For more information, see “Corporate Governance—Committee of the Board of Directors—Nominating Committees.”</w:t>
      </w:r>
    </w:p>
    <w:p>
      <w:pPr>
        <w:spacing w:after="0" w:line="104" w:lineRule="exact"/>
        <w:rPr>
          <w:sz w:val="20"/>
          <w:szCs w:val="20"/>
          <w:color w:val="auto"/>
        </w:rPr>
      </w:pPr>
    </w:p>
    <w:p>
      <w:pPr>
        <w:jc w:val="both"/>
        <w:ind w:firstLine="631"/>
        <w:spacing w:after="0" w:line="278" w:lineRule="auto"/>
        <w:rPr>
          <w:sz w:val="20"/>
          <w:szCs w:val="20"/>
          <w:color w:val="auto"/>
        </w:rPr>
      </w:pPr>
      <w:r>
        <w:rPr>
          <w:rFonts w:ascii="Times New Roman" w:cs="Times New Roman" w:eastAsia="Times New Roman" w:hAnsi="Times New Roman"/>
          <w:sz w:val="19"/>
          <w:szCs w:val="19"/>
          <w:color w:val="auto"/>
        </w:rPr>
        <w:t>The JBS Stockholders Agreement requires JBS and its affiliates to vote all of the Pilgrim’s Pride common stock that they hold in the same manner as the shares held by the Minority Investors with respect to the election or removal of Equity Directors. Consequently, the vote of the Minority Investors will determine the outcome of this Proposal 2.</w:t>
      </w:r>
    </w:p>
    <w:p>
      <w:pPr>
        <w:spacing w:after="0" w:line="95"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At the Annual Meeting, nine Director nominees, including the three Equity Directors on our Board listed below, are to be elected, each to hold office for one year or until his or her successor is duly elected and qualified. Unless otherwise specified on the proxy card or voting instruction form, the shares represented by the proxy will be voted for the election of the three nominees named below. If any of the nominees for Equity Director becomes unavailable for election, it is intended that such shares will be voted for the election of a substitute nominee selected by the Equity Nominating Committee. Our Board of Directors has no reason to believe that any substitute nominee or nominees will be required, and all of the nominees have indicated that they will be willing and able to serve as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Nominees for Equity Directors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following is information about our Equity Director nominees, including their ages as of April 1, 2024.</w:t>
      </w:r>
    </w:p>
    <w:p>
      <w:pPr>
        <w:spacing w:after="0" w:line="172"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9"/>
          <w:szCs w:val="19"/>
          <w:b w:val="1"/>
          <w:bCs w:val="1"/>
          <w:color w:val="auto"/>
        </w:rPr>
        <w:t>Wallim Cruz de Vasconcellos Junior</w:t>
      </w:r>
      <w:r>
        <w:rPr>
          <w:rFonts w:ascii="Times New Roman" w:cs="Times New Roman" w:eastAsia="Times New Roman" w:hAnsi="Times New Roman"/>
          <w:sz w:val="19"/>
          <w:szCs w:val="19"/>
          <w:color w:val="auto"/>
        </w:rPr>
        <w:t>, 66, has served as a Director since December 2009. He has served as a Partner of Iposeira Partners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Ltd, a provider of advisory services for mergers and acquisitions and restructuring transactions, since 2003. Mr. Vasconcellos served as a Consultant to IFC/World Bank from 2003 to 2008. He is currently a board member of Oi S.A., a Brazilian telecommunications company listed on the New York Stock Exchange and was previously a board member of Santos Brasil S.A. from 2006 to 2016.</w:t>
      </w:r>
    </w:p>
    <w:p>
      <w:pPr>
        <w:spacing w:after="0" w:line="106"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A business strategist, Mr. Vasconcellos brings to the Board real-time experience in the areas of mergers and acquisitions, capital markets, finance, and restructurings, and offers unique insights into global market strategies. In addition, Mr. Vasconcellos’s experience working on behalf of public financial institutions enables him to provide perspective and oversight with regard to the Company’s financial strategies.</w:t>
      </w:r>
    </w:p>
    <w:p>
      <w:pPr>
        <w:spacing w:after="0" w:line="113"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Arquimedes A. Celis, </w:t>
      </w:r>
      <w:r>
        <w:rPr>
          <w:rFonts w:ascii="Times New Roman" w:cs="Times New Roman" w:eastAsia="Times New Roman" w:hAnsi="Times New Roman"/>
          <w:sz w:val="19"/>
          <w:szCs w:val="19"/>
          <w:color w:val="auto"/>
        </w:rPr>
        <w:t>70, has served as a Director since May 2019. Mr. Celis currently serves as Chief Executive Officer and board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member of Grupo Lala, a Mexican dairy company listed on the Mexican Stock Exchange. He also served as a board member of Borden Dairy, a private company, from 2017 to 2020, and Aeromexico, which is listed on the Mexican Stock Exchange, from 2014 to 2016. Mr. Celis worked at Grupo Lala as Chief Executive Officer from 2001 to 2015. He previously spent 5 years as Chief Executive Officer of Industrias Bachoco, from 1996 to 2001. Prior to that, he worked for 21 years at Grupo Bimbo, where he held various executive positions, including Chief Executive Officer of Barcel. Mr. Celis earned a bachelor’s degree in Industrial Engineering from Veracruz Tech. He is a graduate of the Advanced Management program at IPADE, Universidad Panamericana, School of Business.</w:t>
      </w:r>
    </w:p>
    <w:p>
      <w:pPr>
        <w:spacing w:after="0" w:line="115"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Mr. Celis brings to the Board valuable and extensive experience in the consumer packaged goods industry, with a focus on branded food products. Furthermore, his experience and industry knowledge enable him to provide important contributions to the Company’s strategy and operations.</w:t>
      </w:r>
    </w:p>
    <w:p>
      <w:pPr>
        <w:spacing w:after="0" w:line="113"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9"/>
          <w:szCs w:val="19"/>
          <w:b w:val="1"/>
          <w:bCs w:val="1"/>
          <w:color w:val="auto"/>
        </w:rPr>
        <w:t>Ajay Menon</w:t>
      </w:r>
      <w:r>
        <w:rPr>
          <w:rFonts w:ascii="Times New Roman" w:cs="Times New Roman" w:eastAsia="Times New Roman" w:hAnsi="Times New Roman"/>
          <w:sz w:val="19"/>
          <w:szCs w:val="19"/>
          <w:color w:val="auto"/>
        </w:rPr>
        <w:t>, 62, has served as a Director since March 2021. Mr. Menon is currently the President and CEO of Colorado State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University Research Foundation (“CSURF”), and has been in this role since October 2019, where he is responsible for the protection, management and commercialization of intellectual property resulting from research at Colorado State University (“CSU”) and oversees the services that CSURF provides to both CSU and its affiliated institutions. He was formerly a board member of Liberty Media Acquisition Company, a newly incorporated company formed for the purpose of effecting business combinations with one or more businesses. Mr. Menon served as Dean at CSU Colleges of Agricultural Sciences from July 2015 to September 2019 and Business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9"/>
          <w:szCs w:val="19"/>
          <w:color w:val="auto"/>
        </w:rPr>
        <w:t>from July 2002 to June 2015. In both these roles, he served as the chief administrative and academic officer shaping each College’s strategic direction, academic programs, budgets, and external relationships. He served as Colorado’s first Chief Innovation Officer under then-Governor John Hickenlooper from November 2011 to August 2013, where he helped establish and lead the Colorado Innovation Network to develop an ecosystem that cultivates entrepreneurial and innovative activities. Mr. Menon holds a Ph.D. in Marketing and joined CSU in 1991 as a member of the Marketing Department faculty.</w:t>
      </w:r>
    </w:p>
    <w:p>
      <w:pPr>
        <w:spacing w:after="0" w:line="126" w:lineRule="exact"/>
        <w:rPr>
          <w:sz w:val="20"/>
          <w:szCs w:val="20"/>
          <w:color w:val="auto"/>
        </w:rPr>
      </w:pPr>
    </w:p>
    <w:p>
      <w:pPr>
        <w:jc w:val="both"/>
        <w:ind w:firstLine="631"/>
        <w:spacing w:after="0" w:line="296" w:lineRule="auto"/>
        <w:rPr>
          <w:sz w:val="20"/>
          <w:szCs w:val="20"/>
          <w:color w:val="auto"/>
        </w:rPr>
      </w:pPr>
      <w:r>
        <w:rPr>
          <w:rFonts w:ascii="Times New Roman" w:cs="Times New Roman" w:eastAsia="Times New Roman" w:hAnsi="Times New Roman"/>
          <w:sz w:val="19"/>
          <w:szCs w:val="19"/>
          <w:color w:val="auto"/>
        </w:rPr>
        <w:t>Mr. Menon brings senior leadership and expertise in business strategy and innovation. His global network and unique perspective to business leaders brings value to our Board and the Company’s global operations.</w:t>
      </w:r>
    </w:p>
    <w:p>
      <w:pPr>
        <w:spacing w:after="0" w:line="75" w:lineRule="exact"/>
        <w:rPr>
          <w:sz w:val="20"/>
          <w:szCs w:val="20"/>
          <w:color w:val="auto"/>
        </w:rPr>
      </w:pPr>
    </w:p>
    <w:p>
      <w:pPr>
        <w:jc w:val="both"/>
        <w:ind w:firstLine="631"/>
        <w:spacing w:after="0" w:line="300" w:lineRule="auto"/>
        <w:rPr>
          <w:sz w:val="20"/>
          <w:szCs w:val="20"/>
          <w:color w:val="auto"/>
        </w:rPr>
      </w:pPr>
      <w:r>
        <w:rPr>
          <w:rFonts w:ascii="Times New Roman" w:cs="Times New Roman" w:eastAsia="Times New Roman" w:hAnsi="Times New Roman"/>
          <w:sz w:val="19"/>
          <w:szCs w:val="19"/>
          <w:b w:val="1"/>
          <w:bCs w:val="1"/>
          <w:color w:val="auto"/>
        </w:rPr>
        <w:t>The Board of Directors recommends that you vote “FOR” the election of all of the individuals who have been nominated to serve as Equity Directors. Proxies will be so voted unless stockholders specify otherwise or withhold authority to vote.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9"/>
          <w:szCs w:val="19"/>
          <w:b w:val="1"/>
          <w:bCs w:val="1"/>
          <w:color w:val="auto"/>
        </w:rPr>
        <w:t>CORPORATE GOVERNANCE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of Directors</w:t>
      </w:r>
    </w:p>
    <w:p>
      <w:pPr>
        <w:spacing w:after="0" w:line="167"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Our Board of Directors has the responsibility for establishing broad corporate policies and for monitoring our overall performance, but it is not involved in our day-to-day operating decisions. Members of the Board are informed of our business through discussions with the Chief Executive Officer (“CEO”) and other officers, and through their review of analyses and reports sent to them regularly, as well as through participation in Board and committee meetings.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Leadership Structure</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position of our Chairman of the Board and the office of the President and CEO are held by different persons.</w:t>
      </w:r>
    </w:p>
    <w:p>
      <w:pPr>
        <w:spacing w:after="0" w:line="176"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We separate the roles of CEO and Chairman of the Board in recognition of the differences between the two roles. The CEO is responsible for setting the strategic direction for the Company and the day-to-day leadership and performance of the Company, while the Chairman of the Board provides guidance to the CEO and sets the agenda for Board meetings and presides over meetings of the full Board. We believe the division of duties is especially appropriate as it facilitates the appropriate level of communication between the Board of Directors and executive management for Board oversight of the Company and its management. In addition, we believe that the current separation provides more effective monitoring and objective evaluation of the performance of the CEO.</w:t>
      </w:r>
    </w:p>
    <w:p>
      <w:pPr>
        <w:spacing w:after="0" w:line="112" w:lineRule="exact"/>
        <w:rPr>
          <w:sz w:val="20"/>
          <w:szCs w:val="20"/>
          <w:color w:val="auto"/>
        </w:rPr>
      </w:pPr>
    </w:p>
    <w:p>
      <w:pPr>
        <w:jc w:val="both"/>
        <w:ind w:firstLine="631"/>
        <w:spacing w:after="0" w:line="265" w:lineRule="auto"/>
        <w:rPr>
          <w:sz w:val="20"/>
          <w:szCs w:val="20"/>
          <w:color w:val="auto"/>
        </w:rPr>
      </w:pPr>
      <w:r>
        <w:rPr>
          <w:rFonts w:ascii="Times New Roman" w:cs="Times New Roman" w:eastAsia="Times New Roman" w:hAnsi="Times New Roman"/>
          <w:sz w:val="19"/>
          <w:szCs w:val="19"/>
          <w:color w:val="auto"/>
        </w:rPr>
        <w:t xml:space="preserve">Pursuant to our Governance Policies (available on our website at </w:t>
      </w:r>
      <w:r>
        <w:rPr>
          <w:rFonts w:ascii="Times New Roman" w:cs="Times New Roman" w:eastAsia="Times New Roman" w:hAnsi="Times New Roman"/>
          <w:sz w:val="19"/>
          <w:szCs w:val="19"/>
          <w:u w:val="single" w:color="auto"/>
          <w:color w:val="3051F2"/>
        </w:rPr>
        <w:t>ir.pilgrims.com/corporate-governance/documents-charters</w:t>
      </w:r>
      <w:r>
        <w:rPr>
          <w:rFonts w:ascii="Times New Roman" w:cs="Times New Roman" w:eastAsia="Times New Roman" w:hAnsi="Times New Roman"/>
          <w:sz w:val="19"/>
          <w:szCs w:val="19"/>
          <w:color w:val="auto"/>
        </w:rPr>
        <w:t>), when the Chairman is not an independent Director, the Board will either designate an independent Director to preside at the meetings of the non-management and independent Directors or they will prescribe a procedure by which a presiding Director is selected for these meetings. In the absence of another procedure being adopted by the Board, the person appointed will be the independent Director with the longest tenure on the Board in attendance at the meeting.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Risk Oversight</w:t>
      </w:r>
    </w:p>
    <w:p>
      <w:pPr>
        <w:spacing w:after="0" w:line="180" w:lineRule="exact"/>
        <w:rPr>
          <w:sz w:val="20"/>
          <w:szCs w:val="20"/>
          <w:color w:val="auto"/>
        </w:rPr>
      </w:pPr>
    </w:p>
    <w:p>
      <w:pPr>
        <w:jc w:val="both"/>
        <w:ind w:firstLine="631"/>
        <w:spacing w:after="0" w:line="258" w:lineRule="auto"/>
        <w:rPr>
          <w:sz w:val="20"/>
          <w:szCs w:val="20"/>
          <w:color w:val="auto"/>
        </w:rPr>
      </w:pPr>
      <w:r>
        <w:rPr>
          <w:rFonts w:ascii="Times New Roman" w:cs="Times New Roman" w:eastAsia="Times New Roman" w:hAnsi="Times New Roman"/>
          <w:sz w:val="19"/>
          <w:szCs w:val="19"/>
          <w:color w:val="auto"/>
        </w:rPr>
        <w:t>The Company’s management is responsible for the ongoing assessment and management of the risks the Company faces, including risks relating to capital structure, strategy, liquidity and credit, financial reporting and public disclosure, legal and regulatory compliance, information technology, cybersecurity, operations, and environmental, social and governance. We focus not only on operational risk, but financial and strategic risk as well. These areas of focus include input costs (commodity pricing, live and processed product cost, and spoilage), revenue risk (sales price and mix), financial risk (adequate controls, timely and effective reporting systems, and other management and governance systems) as well as competitive risks and market trends. We aim to identify, categorize, and respond to these risks to manage as much of their impact on our business as possible.</w:t>
      </w:r>
    </w:p>
    <w:p>
      <w:pPr>
        <w:spacing w:after="0" w:line="130" w:lineRule="exact"/>
        <w:rPr>
          <w:sz w:val="20"/>
          <w:szCs w:val="20"/>
          <w:color w:val="auto"/>
        </w:rPr>
      </w:pPr>
    </w:p>
    <w:p>
      <w:pPr>
        <w:jc w:val="both"/>
        <w:ind w:firstLine="631"/>
        <w:spacing w:after="0" w:line="257" w:lineRule="auto"/>
        <w:rPr>
          <w:sz w:val="20"/>
          <w:szCs w:val="20"/>
          <w:color w:val="auto"/>
        </w:rPr>
      </w:pPr>
      <w:r>
        <w:rPr>
          <w:rFonts w:ascii="Times New Roman" w:cs="Times New Roman" w:eastAsia="Times New Roman" w:hAnsi="Times New Roman"/>
          <w:sz w:val="19"/>
          <w:szCs w:val="19"/>
          <w:color w:val="auto"/>
        </w:rPr>
        <w:t>The Board oversees management’s policies and procedures in addressing these and other risks. Our executive officers regularly report to the non-executive directors, the Audit Committee, and the Compensation Committee to ensure effective and efficient oversight of our activities and to assist in proper risk management and the ongoing evaluation of management controls. With respect to cybersecurity, our Board receives updates from the appropriate executives on the primary cybersecurity risks facing the Company and the measures the Company is taking to mitigate such risks. Additionally, each of the Board’s standing committees (which, as of 2023, included the Audit Committee, the Compensation Committee, the two Nominating Committees, and the Sustainability Committee) monitor and report to the Board those risks that fall within the scope of such committees’ respective areas of oversight responsibility. For example, the full Board directly oversees strategic risks. The Nominating Committees directly oversee risk management relating to Director nominations and independence. The Compensation Committee directly oversees risk management relating to employee compensation, including any risks of compensation programs encouraging excessive risk-taking. The Sustainability Committee oversees the Company’s sustainability policies, strategies, and programs. Finally, the Audit Committee directly oversees risk management relating to financial reporting, accounting and financial controls, public disclosure, and legal and regulatory compliance. The Audit Committee is also responsible for assessing the steps management has taken to</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7" w:name="page18"/>
    <w:bookmarkEnd w:id="17"/>
    <w:p>
      <w:pPr>
        <w:jc w:val="both"/>
        <w:spacing w:after="0" w:line="296" w:lineRule="auto"/>
        <w:rPr>
          <w:sz w:val="20"/>
          <w:szCs w:val="20"/>
          <w:color w:val="auto"/>
        </w:rPr>
      </w:pPr>
      <w:r>
        <w:rPr>
          <w:rFonts w:ascii="Times New Roman" w:cs="Times New Roman" w:eastAsia="Times New Roman" w:hAnsi="Times New Roman"/>
          <w:sz w:val="19"/>
          <w:szCs w:val="19"/>
          <w:color w:val="auto"/>
        </w:rPr>
        <w:t>monitor and control these risks and exposures and discussing guidelines and policies with respect to the Company’s risk assessment and risk management.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of Directors Independence</w:t>
      </w:r>
    </w:p>
    <w:p>
      <w:pPr>
        <w:spacing w:after="0" w:line="18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Our Board of Directors has affirmatively determined that each of Wallim Cruz de Vasconcellos Junior, Farha Aslam, Ajay Menon, Arquimedes A. Celis, and Raul Padilla has no relationship that would interfere with the exercise of independent judgment in carrying out the responsibilities of a director and is independent within the meaning of Nasdaq rules.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of Directors and Committee Meetings and Executive Sessions</w:t>
      </w:r>
    </w:p>
    <w:p>
      <w:pPr>
        <w:spacing w:after="0" w:line="167"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During 2023, the Board of Directors held a total of eight meetings and its committees held a total of thirteen meetings, as detailed in the table below. During 2023, each incumbent Director attended at least 75% of the meetings of the Board and the various committees on which he or she served that were held during his or her term of service on the Board and the applicable committees. Generally, the Board holds executive sessions of non-management Directors four times per year. In 2023, the Board held an executive session of non-management Directors one time.</w:t>
      </w:r>
    </w:p>
    <w:p>
      <w:pPr>
        <w:spacing w:after="0" w:line="119" w:lineRule="exact"/>
        <w:rPr>
          <w:sz w:val="20"/>
          <w:szCs w:val="20"/>
          <w:color w:val="auto"/>
        </w:rPr>
      </w:pPr>
    </w:p>
    <w:p>
      <w:pPr>
        <w:jc w:val="both"/>
        <w:ind w:firstLine="631"/>
        <w:spacing w:after="0" w:line="281" w:lineRule="auto"/>
        <w:rPr>
          <w:sz w:val="20"/>
          <w:szCs w:val="20"/>
          <w:color w:val="auto"/>
        </w:rPr>
      </w:pPr>
      <w:r>
        <w:rPr>
          <w:rFonts w:ascii="Times New Roman" w:cs="Times New Roman" w:eastAsia="Times New Roman" w:hAnsi="Times New Roman"/>
          <w:sz w:val="19"/>
          <w:szCs w:val="19"/>
          <w:color w:val="auto"/>
        </w:rPr>
        <w:t>The Board of Directors has established the following Board committees: Audit, Compensation, JBS Nominating, Equity Nominating, Sustainability, and Demand Review.</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following table summarizes the membership of each of the Board’s Committees.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Nominating</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2"/>
        </w:trPr>
        <w:tc>
          <w:tcPr>
            <w:tcW w:w="20" w:type="dxa"/>
            <w:vAlign w:val="bottom"/>
          </w:tcPr>
          <w:p>
            <w:pPr>
              <w:spacing w:after="0"/>
              <w:rPr>
                <w:sz w:val="21"/>
                <w:szCs w:val="21"/>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Audit</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40" w:type="dxa"/>
            <w:vAlign w:val="bottom"/>
          </w:tcPr>
          <w:p>
            <w:pPr>
              <w:jc w:val="center"/>
              <w:ind w:left="314"/>
              <w:spacing w:after="0"/>
              <w:rPr>
                <w:sz w:val="20"/>
                <w:szCs w:val="20"/>
                <w:color w:val="auto"/>
              </w:rPr>
            </w:pPr>
            <w:r>
              <w:rPr>
                <w:rFonts w:ascii="Times New Roman" w:cs="Times New Roman" w:eastAsia="Times New Roman" w:hAnsi="Times New Roman"/>
                <w:sz w:val="16"/>
                <w:szCs w:val="16"/>
                <w:b w:val="1"/>
                <w:bCs w:val="1"/>
                <w:color w:val="auto"/>
              </w:rPr>
              <w:t>JBS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Demand Review</w:t>
            </w:r>
          </w:p>
        </w:tc>
      </w:tr>
      <w:tr>
        <w:trPr>
          <w:trHeight w:val="219"/>
        </w:trPr>
        <w:tc>
          <w:tcPr>
            <w:tcW w:w="20" w:type="dxa"/>
            <w:vAlign w:val="bottom"/>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Farha Aslam</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Arquimedes A. Celis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Wallim Cruz de Vasconcellos Junior</w:t>
            </w: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X*</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23"/>
        </w:trPr>
        <w:tc>
          <w:tcPr>
            <w:tcW w:w="20" w:type="dxa"/>
            <w:vAlign w:val="bottom"/>
          </w:tcPr>
          <w:p>
            <w:pPr>
              <w:spacing w:after="0"/>
              <w:rPr>
                <w:sz w:val="19"/>
                <w:szCs w:val="19"/>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Joanita Karoleski</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23"/>
        </w:trPr>
        <w:tc>
          <w:tcPr>
            <w:tcW w:w="20" w:type="dxa"/>
            <w:vAlign w:val="bottom"/>
          </w:tcPr>
          <w:p>
            <w:pPr>
              <w:spacing w:after="0"/>
              <w:rPr>
                <w:sz w:val="19"/>
                <w:szCs w:val="19"/>
                <w:color w:val="auto"/>
              </w:rPr>
            </w:pP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Ajay Menon</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Raul Padilla</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 Nogueira de Souza</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1"/>
              </w:rPr>
              <w:t>X</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Gilberto Tomazoni</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1"/>
              </w:rPr>
              <w:t>X</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Vincent Trius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1"/>
              </w:rPr>
              <w:t>X</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6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Wesley Mendonça Batista Filho</w:t>
            </w:r>
            <w:r>
              <w:rPr>
                <w:rFonts w:ascii="Times New Roman" w:cs="Times New Roman" w:eastAsia="Times New Roman" w:hAnsi="Times New Roman"/>
                <w:sz w:val="22"/>
                <w:szCs w:val="22"/>
                <w:color w:val="auto"/>
                <w:vertAlign w:val="superscript"/>
              </w:rPr>
              <w:t>(a)</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meetings in 2023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7"/>
              </w:rPr>
              <w:t>None</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None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80"/>
        </w:trPr>
        <w:tc>
          <w:tcPr>
            <w:tcW w:w="2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Committee Chair</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r>
      <w:r>
        <w:rPr>
          <w:sz w:val="20"/>
          <w:szCs w:val="20"/>
          <w:color w:val="auto"/>
        </w:rPr>
        <w:tab/>
      </w:r>
      <w:r>
        <w:rPr>
          <w:rFonts w:ascii="Times New Roman" w:cs="Times New Roman" w:eastAsia="Times New Roman" w:hAnsi="Times New Roman"/>
          <w:sz w:val="15"/>
          <w:szCs w:val="15"/>
          <w:color w:val="auto"/>
        </w:rPr>
        <w:t>Mr. Batista Filho joined the Board of Directors in April 2023 replacing Mr. Trius.</w:t>
      </w:r>
    </w:p>
    <w:p>
      <w:pPr>
        <w:spacing w:after="0" w:line="144"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The Company has no formal policy regarding the attendance of Directors at annual meetings of stockholders but encourages each Director to attend the annual meeting of stockholders. All of our Directors who served on the Board at the time of our 2023 annual meeting of shareholders attended that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Committees of the Board of Directors</w:t>
      </w:r>
    </w:p>
    <w:p>
      <w:pPr>
        <w:spacing w:after="0" w:line="167"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To assist in carrying out its duties, the Board of Directors has delegated certain authority to the Audit, Compensation, JBS Nominating, Equity Nominating, and Sustainability Committees. Each committee of the Board meets to examine various facets of our operations and take appropriate action or make recommendations to the Board of Directors.</w:t>
      </w:r>
    </w:p>
    <w:p>
      <w:pPr>
        <w:spacing w:after="0" w:line="115" w:lineRule="exact"/>
        <w:rPr>
          <w:sz w:val="20"/>
          <w:szCs w:val="20"/>
          <w:color w:val="auto"/>
        </w:rPr>
      </w:pPr>
    </w:p>
    <w:p>
      <w:pPr>
        <w:jc w:val="both"/>
        <w:ind w:firstLine="631"/>
        <w:spacing w:after="0" w:line="272" w:lineRule="auto"/>
        <w:rPr>
          <w:sz w:val="20"/>
          <w:szCs w:val="20"/>
          <w:color w:val="auto"/>
        </w:rPr>
      </w:pPr>
      <w:r>
        <w:rPr>
          <w:rFonts w:ascii="Times New Roman" w:cs="Times New Roman" w:eastAsia="Times New Roman" w:hAnsi="Times New Roman"/>
          <w:sz w:val="19"/>
          <w:szCs w:val="19"/>
          <w:i w:val="1"/>
          <w:iCs w:val="1"/>
          <w:color w:val="auto"/>
        </w:rPr>
        <w:t xml:space="preserve">Audit Committee. </w:t>
      </w:r>
      <w:r>
        <w:rPr>
          <w:rFonts w:ascii="Times New Roman" w:cs="Times New Roman" w:eastAsia="Times New Roman" w:hAnsi="Times New Roman"/>
          <w:sz w:val="19"/>
          <w:szCs w:val="19"/>
          <w:color w:val="auto"/>
        </w:rPr>
        <w:t>Our Audit Committee’s responsibilities include selecting our independent registered public accounting firm, reviewing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plan and results of the audit performed by our independent registered public accounting firm and the adequacy of our systems of internal accounting controls, discussion of significant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accounting matters with management, overseeing our internal audit function and other risk assessment items, and monitoring compliance with our conflicts of interest and business ethics policies. The Audit Committee is composed entirely of Directors who the Board of Directors has determined to be independent within the meaning of the Nasdaq standards applicable to audit committee members and Rule 10A-3 under the Securities Exchange Act of 1934, as amended (the “Exchange Act”). The Board has determined that each of the members of the Audit Committee is financially literate for purposes of the applicable standards of Nasdaq and that Wallim Cruz de Vasconcellos Junior is an “audit committee financial expert” within the meaning of the regulations of the SEC. The Audit Committee has an Audit Committee Charter, which is available on our website at </w:t>
      </w:r>
      <w:r>
        <w:rPr>
          <w:rFonts w:ascii="Times New Roman" w:cs="Times New Roman" w:eastAsia="Times New Roman" w:hAnsi="Times New Roman"/>
          <w:sz w:val="19"/>
          <w:szCs w:val="19"/>
          <w:u w:val="single" w:color="auto"/>
          <w:color w:val="3051F2"/>
        </w:rPr>
        <w:t>ir.pilgrims.com/corporate-governance/documents-charters</w:t>
      </w:r>
      <w:r>
        <w:rPr>
          <w:rFonts w:ascii="Times New Roman" w:cs="Times New Roman" w:eastAsia="Times New Roman" w:hAnsi="Times New Roman"/>
          <w:sz w:val="19"/>
          <w:szCs w:val="19"/>
          <w:color w:val="auto"/>
        </w:rPr>
        <w:t>.</w:t>
      </w:r>
    </w:p>
    <w:p>
      <w:pPr>
        <w:spacing w:after="0" w:line="109" w:lineRule="exact"/>
        <w:rPr>
          <w:sz w:val="20"/>
          <w:szCs w:val="20"/>
          <w:color w:val="auto"/>
        </w:rPr>
      </w:pPr>
    </w:p>
    <w:p>
      <w:pPr>
        <w:jc w:val="both"/>
        <w:ind w:firstLine="631"/>
        <w:spacing w:after="0" w:line="272" w:lineRule="auto"/>
        <w:rPr>
          <w:sz w:val="20"/>
          <w:szCs w:val="20"/>
          <w:color w:val="auto"/>
        </w:rPr>
      </w:pPr>
      <w:r>
        <w:rPr>
          <w:rFonts w:ascii="Times New Roman" w:cs="Times New Roman" w:eastAsia="Times New Roman" w:hAnsi="Times New Roman"/>
          <w:sz w:val="19"/>
          <w:szCs w:val="19"/>
          <w:i w:val="1"/>
          <w:iCs w:val="1"/>
          <w:color w:val="auto"/>
        </w:rPr>
        <w:t xml:space="preserve">Compensation Committee. </w:t>
      </w:r>
      <w:r>
        <w:rPr>
          <w:rFonts w:ascii="Times New Roman" w:cs="Times New Roman" w:eastAsia="Times New Roman" w:hAnsi="Times New Roman"/>
          <w:sz w:val="19"/>
          <w:szCs w:val="19"/>
          <w:color w:val="auto"/>
        </w:rPr>
        <w:t>Our Compensation Committee reviews the remuneration policies and practices of our officers. For more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information on the role of our Compensation Committee, see “Compensation Discussion and Analysis—Role of the Compensation Committee and Executive Officer in Compensation Decisions.”</w:t>
      </w:r>
    </w:p>
    <w:p>
      <w:pPr>
        <w:spacing w:after="0" w:line="114"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In reliance on certain exemptions available to controlled companies under Nasdaq rules, the Compensation Committee does not have a Charter. For more information on this exemption and the composition of our Compensation Committee, see “Controlled Company Exemption” below.</w:t>
      </w:r>
    </w:p>
    <w:p>
      <w:pPr>
        <w:spacing w:after="0" w:line="115" w:lineRule="exact"/>
        <w:rPr>
          <w:sz w:val="20"/>
          <w:szCs w:val="20"/>
          <w:color w:val="auto"/>
        </w:rPr>
      </w:pPr>
    </w:p>
    <w:p>
      <w:pPr>
        <w:jc w:val="both"/>
        <w:ind w:firstLine="631"/>
        <w:spacing w:after="0" w:line="284" w:lineRule="auto"/>
        <w:rPr>
          <w:sz w:val="20"/>
          <w:szCs w:val="20"/>
          <w:color w:val="auto"/>
        </w:rPr>
      </w:pPr>
      <w:r>
        <w:rPr>
          <w:rFonts w:ascii="Times New Roman" w:cs="Times New Roman" w:eastAsia="Times New Roman" w:hAnsi="Times New Roman"/>
          <w:sz w:val="19"/>
          <w:szCs w:val="19"/>
          <w:i w:val="1"/>
          <w:iCs w:val="1"/>
          <w:color w:val="auto"/>
        </w:rPr>
        <w:t xml:space="preserve">Nominating Committees. </w:t>
      </w:r>
      <w:r>
        <w:rPr>
          <w:rFonts w:ascii="Times New Roman" w:cs="Times New Roman" w:eastAsia="Times New Roman" w:hAnsi="Times New Roman"/>
          <w:sz w:val="19"/>
          <w:szCs w:val="19"/>
          <w:color w:val="auto"/>
        </w:rPr>
        <w:t>Under our Certificate of Incorporation, the Board has two Nominating Committees: the JBS Nominating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Committee and the Equity Nominating Committee.</w:t>
      </w:r>
    </w:p>
    <w:p>
      <w:pPr>
        <w:spacing w:after="0" w:line="103"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The JBS Nominating Committee has the exclusive authority to nominate the JBS Directors, fill JBS Director vacancies and select the members of the JBS Nominating Committee. The Equity Nominating Committee has the exclusive authority to nominate the Equity Directors, fill Equity Director vacancies, select the members of the Equity Nominating Committee, and to call a special meeting of stockholders under certain circumstances. The Equity Nominating Committee, acting by majority vote, also has the exclusive right to control the exercise of our rights and remedies under the JBS Stockholders Agreement. Any member or alternate member of the Equity Nominating Committee may be removed only by the approval of a majority of the members of the Equity Nominating Committee.</w:t>
      </w:r>
    </w:p>
    <w:p>
      <w:pPr>
        <w:spacing w:after="0" w:line="112" w:lineRule="exact"/>
        <w:rPr>
          <w:sz w:val="20"/>
          <w:szCs w:val="20"/>
          <w:color w:val="auto"/>
        </w:rPr>
      </w:pPr>
    </w:p>
    <w:p>
      <w:pPr>
        <w:jc w:val="both"/>
        <w:ind w:firstLine="631"/>
        <w:spacing w:after="0" w:line="278" w:lineRule="auto"/>
        <w:rPr>
          <w:sz w:val="20"/>
          <w:szCs w:val="20"/>
          <w:color w:val="auto"/>
        </w:rPr>
      </w:pPr>
      <w:r>
        <w:rPr>
          <w:rFonts w:ascii="Times New Roman" w:cs="Times New Roman" w:eastAsia="Times New Roman" w:hAnsi="Times New Roman"/>
          <w:sz w:val="19"/>
          <w:szCs w:val="19"/>
          <w:color w:val="auto"/>
        </w:rPr>
        <w:t>For so long as JBS and its affiliates beneficially own 35% or more of our outstanding common stock, no person may be nominated as an Equity Director by the Equity Nominating Committee if JBS reasonably determines that such person (1) is unethical or lacks integrity or (2) is a competitor or is affiliated with a competitor of the Company.</w:t>
      </w:r>
    </w:p>
    <w:p>
      <w:pPr>
        <w:spacing w:after="0" w:line="95" w:lineRule="exact"/>
        <w:rPr>
          <w:sz w:val="20"/>
          <w:szCs w:val="20"/>
          <w:color w:val="auto"/>
        </w:rPr>
      </w:pPr>
    </w:p>
    <w:p>
      <w:pPr>
        <w:jc w:val="both"/>
        <w:ind w:firstLine="631"/>
        <w:spacing w:after="0" w:line="265" w:lineRule="auto"/>
        <w:rPr>
          <w:sz w:val="20"/>
          <w:szCs w:val="20"/>
          <w:color w:val="auto"/>
        </w:rPr>
      </w:pPr>
      <w:r>
        <w:rPr>
          <w:rFonts w:ascii="Times New Roman" w:cs="Times New Roman" w:eastAsia="Times New Roman" w:hAnsi="Times New Roman"/>
          <w:sz w:val="19"/>
          <w:szCs w:val="19"/>
          <w:color w:val="auto"/>
        </w:rPr>
        <w:t>Two Equity Directors must satisfy the independence requirements of Rule 10A-3 under the Exchange Act, and be financially literate, and, for so long as there are two or more Equity Directors on the Board, at least one Equity Director must qualify as an “audit committee financial expert” as that term is used in Item 407 of Regulation S-K under the Exchange Act (or any successor rule). Mr. Vasconcellos satisfies the independence requirements and currently qualifies as an “audit committee financial expert”, and Mr. Celis satisfies the independence requirements and is financially literate.</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If JBS and its affiliates own at least 50% of our outstanding common stock, at least one JBS Director is required:</w:t>
      </w:r>
    </w:p>
    <w:p>
      <w:pPr>
        <w:spacing w:after="0" w:line="176" w:lineRule="exact"/>
        <w:rPr>
          <w:sz w:val="20"/>
          <w:szCs w:val="20"/>
          <w:color w:val="auto"/>
        </w:rPr>
      </w:pPr>
    </w:p>
    <w:p>
      <w:pPr>
        <w:ind w:left="620" w:hanging="299"/>
        <w:spacing w:after="0"/>
        <w:tabs>
          <w:tab w:leader="none" w:pos="6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be an independent director under the Nasdaq listing standards,</w:t>
      </w:r>
    </w:p>
    <w:p>
      <w:pPr>
        <w:spacing w:after="0" w:line="162" w:lineRule="exact"/>
        <w:rPr>
          <w:rFonts w:ascii="Times New Roman" w:cs="Times New Roman" w:eastAsia="Times New Roman" w:hAnsi="Times New Roman"/>
          <w:sz w:val="19"/>
          <w:szCs w:val="19"/>
          <w:color w:val="auto"/>
        </w:rPr>
      </w:pPr>
    </w:p>
    <w:p>
      <w:pPr>
        <w:ind w:left="620" w:hanging="299"/>
        <w:spacing w:after="0"/>
        <w:tabs>
          <w:tab w:leader="none" w:pos="6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satisfy the independence requirements of Rule 10A-3 under the Exchange Act, and</w:t>
      </w:r>
    </w:p>
    <w:p>
      <w:pPr>
        <w:spacing w:after="0" w:line="175" w:lineRule="exact"/>
        <w:rPr>
          <w:rFonts w:ascii="Times New Roman" w:cs="Times New Roman" w:eastAsia="Times New Roman" w:hAnsi="Times New Roman"/>
          <w:sz w:val="19"/>
          <w:szCs w:val="19"/>
          <w:color w:val="auto"/>
        </w:rPr>
      </w:pPr>
    </w:p>
    <w:p>
      <w:pPr>
        <w:ind w:left="620" w:hanging="299"/>
        <w:spacing w:after="0"/>
        <w:tabs>
          <w:tab w:leader="none" w:pos="6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be financially literate.</w:t>
      </w:r>
    </w:p>
    <w:p>
      <w:pPr>
        <w:spacing w:after="0" w:line="175"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Ms. Aslam currently satisfies each of these requirements.</w:t>
      </w:r>
    </w:p>
    <w:p>
      <w:pPr>
        <w:spacing w:after="0" w:line="163" w:lineRule="exact"/>
        <w:rPr>
          <w:sz w:val="20"/>
          <w:szCs w:val="20"/>
          <w:color w:val="auto"/>
        </w:rPr>
      </w:pPr>
    </w:p>
    <w:p>
      <w:pPr>
        <w:ind w:firstLine="631"/>
        <w:spacing w:after="0" w:line="296" w:lineRule="auto"/>
        <w:rPr>
          <w:sz w:val="20"/>
          <w:szCs w:val="20"/>
          <w:color w:val="auto"/>
        </w:rPr>
      </w:pPr>
      <w:r>
        <w:rPr>
          <w:rFonts w:ascii="Times New Roman" w:cs="Times New Roman" w:eastAsia="Times New Roman" w:hAnsi="Times New Roman"/>
          <w:sz w:val="19"/>
          <w:szCs w:val="19"/>
          <w:color w:val="auto"/>
        </w:rPr>
        <w:t xml:space="preserve">Each of the Board’s Nominating Committees has a Charter, current copies of which are available on our website at </w:t>
      </w:r>
      <w:r>
        <w:rPr>
          <w:rFonts w:ascii="Times New Roman" w:cs="Times New Roman" w:eastAsia="Times New Roman" w:hAnsi="Times New Roman"/>
          <w:sz w:val="19"/>
          <w:szCs w:val="19"/>
          <w:u w:val="single" w:color="auto"/>
          <w:color w:val="3051F2"/>
        </w:rPr>
        <w:t>ir.pilgrims.com/corporate-governance/documents-charters</w:t>
      </w:r>
      <w:r>
        <w:rPr>
          <w:rFonts w:ascii="Times New Roman" w:cs="Times New Roman" w:eastAsia="Times New Roman" w:hAnsi="Times New Roman"/>
          <w:sz w:val="19"/>
          <w:szCs w:val="19"/>
          <w:color w:val="000000"/>
        </w:rPr>
        <w: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9" w:name="page20"/>
    <w:bookmarkEnd w:id="19"/>
    <w:p>
      <w:pPr>
        <w:jc w:val="both"/>
        <w:ind w:firstLine="631"/>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Sustainability Committee. </w:t>
      </w:r>
      <w:r>
        <w:rPr>
          <w:rFonts w:ascii="Times New Roman" w:cs="Times New Roman" w:eastAsia="Times New Roman" w:hAnsi="Times New Roman"/>
          <w:sz w:val="19"/>
          <w:szCs w:val="19"/>
          <w:color w:val="auto"/>
        </w:rPr>
        <w:t>Our Sustainability Committee oversees the Company’s sustainability policies, strategies, and programs,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analyzing external trends, overseeing investment priorities, reviewing performance goals, managing risks, reviewing disclosures, and reviewing relationships with stakeholders, in each case, related to sustainability matters. The Sustainability Committee must be composed of at least two Directors who the Board of Directors has determined to be independent within the meaning of the Nasdaq standards. Ms. Aslam and Mr. Menon satisfy this requirement.</w:t>
      </w:r>
    </w:p>
    <w:p>
      <w:pPr>
        <w:spacing w:after="0" w:line="124" w:lineRule="exact"/>
        <w:rPr>
          <w:sz w:val="20"/>
          <w:szCs w:val="20"/>
          <w:color w:val="auto"/>
        </w:rPr>
      </w:pPr>
    </w:p>
    <w:p>
      <w:pPr>
        <w:jc w:val="both"/>
        <w:ind w:firstLine="631"/>
        <w:spacing w:after="0" w:line="296" w:lineRule="auto"/>
        <w:rPr>
          <w:sz w:val="20"/>
          <w:szCs w:val="20"/>
          <w:color w:val="auto"/>
        </w:rPr>
      </w:pPr>
      <w:r>
        <w:rPr>
          <w:rFonts w:ascii="Times New Roman" w:cs="Times New Roman" w:eastAsia="Times New Roman" w:hAnsi="Times New Roman"/>
          <w:sz w:val="19"/>
          <w:szCs w:val="19"/>
          <w:color w:val="auto"/>
        </w:rPr>
        <w:t xml:space="preserve">The Sustainability Committee has a Sustainability Committee Charter, which is available on our website at </w:t>
      </w:r>
      <w:r>
        <w:rPr>
          <w:rFonts w:ascii="Times New Roman" w:cs="Times New Roman" w:eastAsia="Times New Roman" w:hAnsi="Times New Roman"/>
          <w:sz w:val="19"/>
          <w:szCs w:val="19"/>
          <w:u w:val="single" w:color="auto"/>
          <w:color w:val="3051F2"/>
        </w:rPr>
        <w:t>ir.pilgrims.com/corporate-governance/documents-charters</w:t>
      </w:r>
      <w:r>
        <w:rPr>
          <w:rFonts w:ascii="Times New Roman" w:cs="Times New Roman" w:eastAsia="Times New Roman" w:hAnsi="Times New Roman"/>
          <w:sz w:val="19"/>
          <w:szCs w:val="19"/>
          <w:color w:val="000000"/>
        </w:rPr>
        <w:t>.</w:t>
      </w:r>
    </w:p>
    <w:p>
      <w:pPr>
        <w:spacing w:after="0" w:line="77" w:lineRule="exact"/>
        <w:rPr>
          <w:sz w:val="20"/>
          <w:szCs w:val="20"/>
          <w:color w:val="auto"/>
        </w:rPr>
      </w:pPr>
    </w:p>
    <w:p>
      <w:pPr>
        <w:jc w:val="both"/>
        <w:ind w:firstLine="631"/>
        <w:spacing w:after="0" w:line="298" w:lineRule="auto"/>
        <w:rPr>
          <w:sz w:val="20"/>
          <w:szCs w:val="20"/>
          <w:color w:val="auto"/>
        </w:rPr>
      </w:pPr>
      <w:r>
        <w:rPr>
          <w:rFonts w:ascii="Times New Roman" w:cs="Times New Roman" w:eastAsia="Times New Roman" w:hAnsi="Times New Roman"/>
          <w:sz w:val="19"/>
          <w:szCs w:val="19"/>
          <w:i w:val="1"/>
          <w:iCs w:val="1"/>
          <w:color w:val="auto"/>
        </w:rPr>
        <w:t xml:space="preserve">Demand Review Committee. </w:t>
      </w:r>
      <w:r>
        <w:rPr>
          <w:rFonts w:ascii="Times New Roman" w:cs="Times New Roman" w:eastAsia="Times New Roman" w:hAnsi="Times New Roman"/>
          <w:sz w:val="19"/>
          <w:szCs w:val="19"/>
          <w:color w:val="auto"/>
        </w:rPr>
        <w:t>On October 25, 2023, the Board formed a special demand review committee to investigate and evaluate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claims and allegations made in a demand from a shareholder.</w:t>
      </w:r>
    </w:p>
    <w:p>
      <w:pPr>
        <w:spacing w:after="0" w:line="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Director Nomination Process</w:t>
      </w:r>
    </w:p>
    <w:p>
      <w:pPr>
        <w:spacing w:after="0" w:line="180"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The Board and the Nominating Committees acknowledge the benefits of broad diversity throughout the Company, including at the level of the Board. Accordingly, the Nominating Committees strive to achieve a balance of knowledge, experience and perspective on the Board, selecting Directors based upon, among other things, their integrity, diversity of experience, business or other relevant experience or expertise, proven leadership skills, their ability to exercise sound judgment, understanding of the Company’s business environment, and willingness to devote adequate time and effort to Board responsibilities.</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following demonstrates the diversity of our current Board in terms of gender and race/ethnicity:</w:t>
      </w:r>
    </w:p>
    <w:p>
      <w:pPr>
        <w:spacing w:after="0" w:line="218"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1, 2024)</w:t>
            </w:r>
          </w:p>
        </w:tc>
        <w:tc>
          <w:tcPr>
            <w:tcW w:w="1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2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rPr>
              <w:t>9</w:t>
            </w: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280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08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64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8"/>
              </w:rPr>
              <w:t>Non-Binary</w:t>
            </w:r>
          </w:p>
        </w:tc>
        <w:tc>
          <w:tcPr>
            <w:tcW w:w="152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Did Not Disclose</w:t>
            </w: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p>
        </w:tc>
        <w:tc>
          <w:tcPr>
            <w:tcW w:w="280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Gender</w:t>
            </w: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280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rPr>
              <w:t>8</w:t>
            </w:r>
          </w:p>
        </w:tc>
        <w:tc>
          <w:tcPr>
            <w:tcW w:w="16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80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800" w:type="dxa"/>
            <w:vAlign w:val="bottom"/>
            <w:shd w:val="clear" w:color="auto" w:fill="CCEEFF"/>
          </w:tcPr>
          <w:p>
            <w:pPr>
              <w:jc w:val="center"/>
              <w:ind w:left="1212"/>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Asian</w:t>
            </w:r>
          </w:p>
        </w:tc>
        <w:tc>
          <w:tcPr>
            <w:tcW w:w="280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Hispanic or Latinx</w:t>
            </w:r>
          </w:p>
        </w:tc>
        <w:tc>
          <w:tcPr>
            <w:tcW w:w="2800" w:type="dxa"/>
            <w:vAlign w:val="bottom"/>
            <w:shd w:val="clear" w:color="auto" w:fill="CCEEFF"/>
          </w:tcPr>
          <w:p>
            <w:pPr>
              <w:jc w:val="center"/>
              <w:ind w:left="1212"/>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4</w:t>
            </w:r>
          </w:p>
        </w:tc>
        <w:tc>
          <w:tcPr>
            <w:tcW w:w="164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80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2800" w:type="dxa"/>
            <w:vAlign w:val="bottom"/>
            <w:shd w:val="clear" w:color="auto" w:fill="CCEEFF"/>
          </w:tcPr>
          <w:p>
            <w:pPr>
              <w:jc w:val="center"/>
              <w:ind w:left="1212"/>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80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right="932"/>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31"/>
        <w:spacing w:after="0" w:line="265" w:lineRule="auto"/>
        <w:rPr>
          <w:sz w:val="20"/>
          <w:szCs w:val="20"/>
          <w:color w:val="auto"/>
        </w:rPr>
      </w:pPr>
      <w:r>
        <w:rPr>
          <w:rFonts w:ascii="Times New Roman" w:cs="Times New Roman" w:eastAsia="Times New Roman" w:hAnsi="Times New Roman"/>
          <w:sz w:val="19"/>
          <w:szCs w:val="19"/>
          <w:color w:val="auto"/>
        </w:rPr>
        <w:t>In addition, each of the Nominating Committees will consider stockholder recommendations for candidates for the Board, whether as a JBS Director or Equity Director. Recommendations should be sent to Pilgrim’s Pride Corporation, Legal Department, 1770 Promontory Circle, Greeley, Colorado 80634. Such recommendations must satisfy our bylaw requirements relating to director nominations, as described in “Stockholder Proposals for 2025 Annual Meeting of Stockholders.” The Nominating Committees utilize the same criteria for evaluating candidates regardless of the source of the referral (including stockholders).</w:t>
      </w:r>
    </w:p>
    <w:p>
      <w:pPr>
        <w:spacing w:after="0" w:line="108" w:lineRule="exact"/>
        <w:rPr>
          <w:sz w:val="20"/>
          <w:szCs w:val="20"/>
          <w:color w:val="auto"/>
        </w:rPr>
      </w:pPr>
    </w:p>
    <w:p>
      <w:pPr>
        <w:jc w:val="both"/>
        <w:ind w:firstLine="631"/>
        <w:spacing w:after="0" w:line="265" w:lineRule="auto"/>
        <w:rPr>
          <w:sz w:val="20"/>
          <w:szCs w:val="20"/>
          <w:color w:val="auto"/>
        </w:rPr>
      </w:pPr>
      <w:r>
        <w:rPr>
          <w:rFonts w:ascii="Times New Roman" w:cs="Times New Roman" w:eastAsia="Times New Roman" w:hAnsi="Times New Roman"/>
          <w:sz w:val="19"/>
          <w:szCs w:val="19"/>
          <w:color w:val="auto"/>
        </w:rPr>
        <w:t>Pursuant to the Governance Policies, the Board and the Nominating Committees from time to time review the experience and characteristics appropriate for board members and director candidates in light of the Board’s composition at the time and skills and expertise needed for effective operation of the Board and its committees. In identifying prospective director candidates, the Nominating Committees may use multiple sources, including their members’ contacts and referrals from other Directors, members of management, the Company’s advisors, executive search firms, and, in the case of the JBS Director nominees, employees of JBS and its affiliates. When considering</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0" w:name="page21"/>
    <w:bookmarkEnd w:id="20"/>
    <w:p>
      <w:pPr>
        <w:jc w:val="both"/>
        <w:spacing w:after="0" w:line="267" w:lineRule="auto"/>
        <w:rPr>
          <w:sz w:val="20"/>
          <w:szCs w:val="20"/>
          <w:color w:val="auto"/>
        </w:rPr>
      </w:pPr>
      <w:r>
        <w:rPr>
          <w:rFonts w:ascii="Times New Roman" w:cs="Times New Roman" w:eastAsia="Times New Roman" w:hAnsi="Times New Roman"/>
          <w:sz w:val="19"/>
          <w:szCs w:val="19"/>
          <w:color w:val="auto"/>
        </w:rPr>
        <w:t>director candidates, the Nominating Committees seek individuals with backgrounds and qualities that, when combined with those of our incumbent directors, provide a blend of skills and experience to further enhance the Board's effectiveness. In connection with their annual evaluation of a slate of nominees, the Nominating Committees may also assess the contributions of those directors recommended for re-election in the context of the Board evaluation process and other perceived needs of the Board.</w:t>
      </w:r>
    </w:p>
    <w:p>
      <w:pPr>
        <w:spacing w:after="0" w:line="106"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When considering whether the JBS Director nominees and Equity Director nominees have the experience, qualifications, attributes or skills, taken as a whole, to enable our Board to satisfy its oversight responsibilities effectively in light of our business and structure, the Nominating Committees focused primarily on each person’s background and experience as reflected in the information discussed in each of the directors’ individual biographies set forth above in Proposals 1 and 2. We believe that our directors provide an appropriate mix of experience and skills relevant to the size and nature of our business. This process resulted in the nomination by the JBS Nominating Committee and the Equity Nominating Committee of the JBS Director nominees named in Proposal 1 and the Equity Director nominees named in Proposal 2,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Communications with the Board of Directors</w:t>
      </w:r>
    </w:p>
    <w:p>
      <w:pPr>
        <w:spacing w:after="0" w:line="180"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Stockholders and other interested parties may communicate directly with our Board of Directors, any of its committees, all independent Directors, all non-management Directors, or any one Director serving on the Board by sending written correspondence to the desired person or entity addressed to the attention of our Legal Department at Pilgrim’s Pride Corporation, 1770 Promontory Circle, Greeley, Colorado 80634. Communications are distributed to the Board, any subset of its members or to any individual Director, as appropriate, depending on the facts and circumstances outlined in the communication.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Information about our Executive Officers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following is information about our executive officers, including their ages as of April 1, 2024.</w:t>
      </w:r>
    </w:p>
    <w:p>
      <w:pPr>
        <w:spacing w:after="0" w:line="172" w:lineRule="exact"/>
        <w:rPr>
          <w:sz w:val="20"/>
          <w:szCs w:val="20"/>
          <w:color w:val="auto"/>
        </w:rPr>
      </w:pPr>
    </w:p>
    <w:p>
      <w:pPr>
        <w:jc w:val="both"/>
        <w:ind w:firstLine="631"/>
        <w:spacing w:after="0" w:line="259" w:lineRule="auto"/>
        <w:rPr>
          <w:sz w:val="20"/>
          <w:szCs w:val="20"/>
          <w:color w:val="auto"/>
        </w:rPr>
      </w:pPr>
      <w:r>
        <w:rPr>
          <w:rFonts w:ascii="Times New Roman" w:cs="Times New Roman" w:eastAsia="Times New Roman" w:hAnsi="Times New Roman"/>
          <w:sz w:val="19"/>
          <w:szCs w:val="19"/>
          <w:b w:val="1"/>
          <w:bCs w:val="1"/>
          <w:color w:val="auto"/>
        </w:rPr>
        <w:t>Fabio Sandri</w:t>
      </w:r>
      <w:r>
        <w:rPr>
          <w:rFonts w:ascii="Times New Roman" w:cs="Times New Roman" w:eastAsia="Times New Roman" w:hAnsi="Times New Roman"/>
          <w:sz w:val="19"/>
          <w:szCs w:val="19"/>
          <w:color w:val="auto"/>
        </w:rPr>
        <w:t>, 52, was named Chief Executive Officer in September 2020 and previously served as our Chief Financial Officer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beginning in June 2011. From April 2010 to June 2011, Mr. Sandri served as the Chief Financial Officer of Estacio Participações, the private post-secondary educational institution in Brazil. From November 2008 until April 2010, he was the Chief Financial Officer of Imbra SA, a provider of dental services based in São Paolo, Brazil. Commencing in 2005 through October 2008, he was employed by Braskem S.A., a New York Stock Exchange-listed petrochemical company headquartered in Camaçari, Brazil, first from 2005 to 2007 as its strategy director, then from 2007 until his departure as its corporate controller. He earned his Master of Business Administration degree in 2001 from the Wharton School at the University of Pennsylvania and a degree in electrical engineering in 1993 from Escola Politécnica da Universidade de São Paulo.</w:t>
      </w:r>
    </w:p>
    <w:p>
      <w:pPr>
        <w:spacing w:after="0" w:line="124" w:lineRule="exact"/>
        <w:rPr>
          <w:sz w:val="20"/>
          <w:szCs w:val="20"/>
          <w:color w:val="auto"/>
        </w:rPr>
      </w:pPr>
    </w:p>
    <w:p>
      <w:pPr>
        <w:jc w:val="both"/>
        <w:ind w:firstLine="631"/>
        <w:spacing w:after="0" w:line="259" w:lineRule="auto"/>
        <w:rPr>
          <w:sz w:val="20"/>
          <w:szCs w:val="20"/>
          <w:color w:val="auto"/>
        </w:rPr>
      </w:pPr>
      <w:r>
        <w:rPr>
          <w:rFonts w:ascii="Times New Roman" w:cs="Times New Roman" w:eastAsia="Times New Roman" w:hAnsi="Times New Roman"/>
          <w:sz w:val="19"/>
          <w:szCs w:val="19"/>
          <w:b w:val="1"/>
          <w:bCs w:val="1"/>
          <w:color w:val="auto"/>
        </w:rPr>
        <w:t>Matthew Galvanoni</w:t>
      </w:r>
      <w:r>
        <w:rPr>
          <w:rFonts w:ascii="Times New Roman" w:cs="Times New Roman" w:eastAsia="Times New Roman" w:hAnsi="Times New Roman"/>
          <w:sz w:val="19"/>
          <w:szCs w:val="19"/>
          <w:color w:val="auto"/>
        </w:rPr>
        <w:t>, 51, has served as our Chief Financial Officer since March 2021. In this role, he also succeeded Mr. Sandri as 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principal financial officer, as defined by SEC rules. Prior to his appointment to the Company, Mr. Galvanoni served as the Vice President, Finance, of Ingredion Incorporated, a leading global ingredients solutions company, from 2016 until 2021. Mr. Galvanoni joined Ingredion in 2012, serving in the role of Global Corporate Controller and Chief Accounting Officer, where he managed the company's accounting-related and external financial reporting responsibilities. Mr. Galvanoni started his career at PricewaterhouseCoopers LLP in 1994 and subsequently held several financial leadership positions at Exelon Corporation, where he most recently served as Assistant Corporate Controller. Mr. Galvanoni graduated from the University of Illinois with a Bachelor of Accounting degree and later received a Master of Business Administration degree from the Kellogg School of Management at Northwestern University.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Code of Business Conduct and Ethics and Corporate Governance Policies</w:t>
      </w:r>
    </w:p>
    <w:p>
      <w:pPr>
        <w:spacing w:after="0" w:line="167"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 xml:space="preserve">Our Board of Directors has adopted a Code of Conduct and Governance Policies of the Board of Directors. The full texts of the Code of Conduct and Governance Policies are posted on our website at </w:t>
      </w:r>
      <w:r>
        <w:rPr>
          <w:rFonts w:ascii="Times New Roman" w:cs="Times New Roman" w:eastAsia="Times New Roman" w:hAnsi="Times New Roman"/>
          <w:sz w:val="19"/>
          <w:szCs w:val="19"/>
          <w:u w:val="single" w:color="auto"/>
          <w:color w:val="3051F2"/>
        </w:rPr>
        <w:t>ir.pilgrims.com/corporate-governance/documents-charters</w:t>
      </w:r>
      <w:r>
        <w:rPr>
          <w:rFonts w:ascii="Times New Roman" w:cs="Times New Roman" w:eastAsia="Times New Roman" w:hAnsi="Times New Roman"/>
          <w:sz w:val="19"/>
          <w:szCs w:val="19"/>
          <w:color w:val="auto"/>
        </w:rPr>
        <w:t>. We intend to disclose, if required, future amendments to, or waivers from, certain provisions of the Code of Conduct on our website within four business days following the date of such amendment or waiver.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9"/>
          <w:szCs w:val="19"/>
          <w:b w:val="1"/>
          <w:bCs w:val="1"/>
          <w:color w:val="auto"/>
        </w:rPr>
        <w:t>Controlled Company Exemption</w:t>
      </w:r>
    </w:p>
    <w:p>
      <w:pPr>
        <w:spacing w:after="0" w:line="180"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9"/>
          <w:szCs w:val="19"/>
          <w:color w:val="auto"/>
        </w:rPr>
        <w:t>We are a “controlled company” under the Nasdaq listing standards because JBS owns or controls over 50% of the voting power as of the Record Date. Accordingly, we take advantage of certain exemptions from certain corporate governance requirements under Nasdaq rules, including the requirement to have a fully independent compensation committee with a charter and for Director nominations to be made or recommended to the Board solely by a group of independent Directors.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2023 DIRECTOR COMPENSATION</w:t>
      </w:r>
    </w:p>
    <w:p>
      <w:pPr>
        <w:spacing w:after="0" w:line="180"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Our director compensation program provides that each non-employee Director will receive an annual cash retainer of $140,000, paid quarterly in arrears. Each non-employee Director will receive restricted stock units (“RSUs”) with a value of $60,000 annually, calculated using a stock price to be determined as of the date of the Company’s annual meeting of stockholders and vesting in full upon termination of service with the Board of Directors. The Chairs of the Audit Committee, Compensation Committee, and Sustainability Committee receive a $15,000 annual cash retainer and other members of those committees receive a $10,000 annual cash retainer per year. In addition, we provide reimbursement to our Directors for their reasonable expenses related to their service as members of the Board of Directors and any committees thereof.</w:t>
      </w:r>
    </w:p>
    <w:p>
      <w:pPr>
        <w:spacing w:after="0" w:line="112"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The following table sets forth certain information with respect to our Director compensation for the fiscal year ended December 31, 2023. 2023 Board members Gilberto Tomazoni, Andre Nogueira de Souza, Vincent Trius, and Wesley Mendonça Batista Filho did not receive any compensation for their service as Directors because they opted out of our compensation program.</w:t>
      </w:r>
    </w:p>
    <w:tbl>
      <w:tblPr>
        <w:tblLayout w:type="fixed"/>
        <w:tblInd w:w="0" w:type="dxa"/>
        <w:tblCellMar>
          <w:top w:w="0" w:type="dxa"/>
          <w:left w:w="0" w:type="dxa"/>
          <w:bottom w:w="0" w:type="dxa"/>
          <w:right w:w="0" w:type="dxa"/>
        </w:tblCellMar>
      </w:tblPr>
      <w:tr>
        <w:trPr>
          <w:trHeight w:val="195"/>
        </w:trPr>
        <w:tc>
          <w:tcPr>
            <w:tcW w:w="4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40" w:type="dxa"/>
            <w:vAlign w:val="bottom"/>
            <w:gridSpan w:val="3"/>
          </w:tcPr>
          <w:p>
            <w:pPr>
              <w:jc w:val="center"/>
              <w:ind w:right="100"/>
              <w:spacing w:after="0" w:line="195" w:lineRule="exact"/>
              <w:rPr>
                <w:sz w:val="20"/>
                <w:szCs w:val="20"/>
                <w:color w:val="auto"/>
              </w:rPr>
            </w:pPr>
            <w:r>
              <w:rPr>
                <w:rFonts w:ascii="Times New Roman" w:cs="Times New Roman" w:eastAsia="Times New Roman" w:hAnsi="Times New Roman"/>
                <w:sz w:val="18"/>
                <w:szCs w:val="18"/>
                <w:b w:val="1"/>
                <w:bCs w:val="1"/>
                <w:color w:val="auto"/>
                <w:w w:val="97"/>
              </w:rPr>
              <w:t>Fees Earned or Paid in</w:t>
            </w:r>
          </w:p>
        </w:tc>
        <w:tc>
          <w:tcPr>
            <w:tcW w:w="180" w:type="dxa"/>
            <w:vAlign w:val="bottom"/>
          </w:tcPr>
          <w:p>
            <w:pPr>
              <w:spacing w:after="0"/>
              <w:rPr>
                <w:sz w:val="16"/>
                <w:szCs w:val="16"/>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Stock Awards</w:t>
            </w:r>
            <w:r>
              <w:rPr>
                <w:rFonts w:ascii="Times New Roman" w:cs="Times New Roman" w:eastAsia="Times New Roman" w:hAnsi="Times New Roman"/>
                <w:sz w:val="22"/>
                <w:szCs w:val="22"/>
                <w:b w:val="1"/>
                <w:bCs w:val="1"/>
                <w:color w:val="auto"/>
                <w:vertAlign w:val="superscript"/>
              </w:rPr>
              <w:t>(b)</w:t>
            </w:r>
          </w:p>
        </w:tc>
        <w:tc>
          <w:tcPr>
            <w:tcW w:w="180" w:type="dxa"/>
            <w:vAlign w:val="bottom"/>
          </w:tcPr>
          <w:p>
            <w:pPr>
              <w:spacing w:after="0"/>
              <w:rPr>
                <w:sz w:val="16"/>
                <w:szCs w:val="16"/>
                <w:color w:val="auto"/>
              </w:rPr>
            </w:pPr>
          </w:p>
        </w:tc>
        <w:tc>
          <w:tcPr>
            <w:tcW w:w="1920" w:type="dxa"/>
            <w:vAlign w:val="bottom"/>
            <w:gridSpan w:val="3"/>
          </w:tcPr>
          <w:p>
            <w:pPr>
              <w:ind w:left="280"/>
              <w:spacing w:after="0" w:line="195"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240" w:type="dxa"/>
            <w:vAlign w:val="bottom"/>
            <w:vMerge w:val="restart"/>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1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gridSpan w:val="2"/>
          </w:tcPr>
          <w:p>
            <w:pPr>
              <w:jc w:val="center"/>
              <w:ind w:right="480"/>
              <w:spacing w:after="0" w:line="233" w:lineRule="exact"/>
              <w:rPr>
                <w:sz w:val="20"/>
                <w:szCs w:val="20"/>
                <w:color w:val="auto"/>
              </w:rPr>
            </w:pPr>
            <w:r>
              <w:rPr>
                <w:rFonts w:ascii="Times New Roman" w:cs="Times New Roman" w:eastAsia="Times New Roman" w:hAnsi="Times New Roman"/>
                <w:sz w:val="18"/>
                <w:szCs w:val="18"/>
                <w:b w:val="1"/>
                <w:bCs w:val="1"/>
                <w:color w:val="auto"/>
                <w:w w:val="92"/>
              </w:rPr>
              <w:t>Cash</w:t>
            </w:r>
            <w:r>
              <w:rPr>
                <w:rFonts w:ascii="Times New Roman" w:cs="Times New Roman" w:eastAsia="Times New Roman" w:hAnsi="Times New Roman"/>
                <w:sz w:val="22"/>
                <w:szCs w:val="22"/>
                <w:b w:val="1"/>
                <w:bCs w:val="1"/>
                <w:color w:val="auto"/>
                <w:w w:val="92"/>
                <w:vertAlign w:val="superscript"/>
              </w:rPr>
              <w:t>(a)</w:t>
            </w:r>
          </w:p>
        </w:tc>
        <w:tc>
          <w:tcPr>
            <w:tcW w:w="18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040" w:type="dxa"/>
            <w:vAlign w:val="bottom"/>
            <w:tcBorders>
              <w:top w:val="single" w:sz="8" w:color="auto"/>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Farha Aslam</w:t>
            </w:r>
            <w:r>
              <w:rPr>
                <w:rFonts w:ascii="Times New Roman" w:cs="Times New Roman" w:eastAsia="Times New Roman" w:hAnsi="Times New Roman"/>
                <w:sz w:val="22"/>
                <w:szCs w:val="22"/>
                <w:color w:val="auto"/>
                <w:vertAlign w:val="superscript"/>
              </w:rPr>
              <w:t>(c)</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224,167</w:t>
            </w:r>
          </w:p>
        </w:tc>
        <w:tc>
          <w:tcPr>
            <w:tcW w:w="0" w:type="dxa"/>
            <w:vAlign w:val="bottom"/>
          </w:tcPr>
          <w:p>
            <w:pPr>
              <w:spacing w:after="0"/>
              <w:rPr>
                <w:sz w:val="1"/>
                <w:szCs w:val="1"/>
                <w:color w:val="auto"/>
              </w:rPr>
            </w:pPr>
          </w:p>
        </w:tc>
      </w:tr>
      <w:tr>
        <w:trPr>
          <w:trHeight w:val="223"/>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Arquimedes A. Celis</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Joanita Karoleski</w:t>
            </w:r>
            <w:r>
              <w:rPr>
                <w:rFonts w:ascii="Times New Roman" w:cs="Times New Roman" w:eastAsia="Times New Roman" w:hAnsi="Times New Roman"/>
                <w:sz w:val="22"/>
                <w:szCs w:val="22"/>
                <w:color w:val="auto"/>
                <w:vertAlign w:val="superscript"/>
              </w:rPr>
              <w:t>(d)</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0" w:type="dxa"/>
            <w:vAlign w:val="bottom"/>
          </w:tcPr>
          <w:p>
            <w:pPr>
              <w:spacing w:after="0"/>
              <w:rPr>
                <w:sz w:val="1"/>
                <w:szCs w:val="1"/>
                <w:color w:val="auto"/>
              </w:rPr>
            </w:pPr>
          </w:p>
        </w:tc>
      </w:tr>
      <w:tr>
        <w:trPr>
          <w:trHeight w:val="223"/>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Ajay Menon</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Raul Padilla</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2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Wallim Cruz de Vasconcellos Junior</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includes compensation earned for service in the fourth quarter of 2023 that was paid out in the first quarter of 2024.</w:t>
      </w:r>
    </w:p>
    <w:p>
      <w:pPr>
        <w:spacing w:after="0" w:line="18" w:lineRule="exact"/>
        <w:rPr>
          <w:rFonts w:ascii="Times New Roman" w:cs="Times New Roman" w:eastAsia="Times New Roman" w:hAnsi="Times New Roman"/>
          <w:sz w:val="16"/>
          <w:szCs w:val="16"/>
          <w:color w:val="auto"/>
        </w:rPr>
      </w:pPr>
    </w:p>
    <w:p>
      <w:pPr>
        <w:jc w:val="both"/>
        <w:ind w:left="320" w:hanging="315"/>
        <w:spacing w:after="0" w:line="247" w:lineRule="auto"/>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Non-employee Directors were each granted 2,790 RSUs based on the April 26, 2023 grant date share price of $21.51. The dollar amounts represent the aggregate grant date fair value of stock awards granted during fiscal year 2023. The grant date fair value of an award is measured in accordance with Financial Accounting Standards Board Accounting Standards Codification Topic 718 (“FASB ASC Topic 718”) using the assumptions discussed in Note 16 to our financial statements for the fiscal year ended December 31, 2023 included in the Company's Annual Report on Form 10-K filed with the SEC on February 27, 2024 (the “Form 10-K”).</w:t>
      </w:r>
    </w:p>
    <w:p>
      <w:pPr>
        <w:spacing w:after="0" w:line="145" w:lineRule="exact"/>
        <w:rPr>
          <w:sz w:val="20"/>
          <w:szCs w:val="20"/>
          <w:color w:val="auto"/>
        </w:rPr>
      </w:pPr>
    </w:p>
    <w:p>
      <w:pPr>
        <w:ind w:left="320" w:firstLine="315"/>
        <w:spacing w:after="0" w:line="269" w:lineRule="auto"/>
        <w:rPr>
          <w:sz w:val="20"/>
          <w:szCs w:val="20"/>
          <w:color w:val="auto"/>
        </w:rPr>
      </w:pPr>
      <w:r>
        <w:rPr>
          <w:rFonts w:ascii="Times New Roman" w:cs="Times New Roman" w:eastAsia="Times New Roman" w:hAnsi="Times New Roman"/>
          <w:sz w:val="16"/>
          <w:szCs w:val="16"/>
          <w:color w:val="auto"/>
        </w:rPr>
        <w:t>The following table provides a summary of the aggregate number of unvested RSUs outstanding for each of our directors with RSUs in the table above as of December 31, 2023:</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212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Unvested RSUs Outstanding</w:t>
            </w:r>
          </w:p>
        </w:tc>
      </w:tr>
      <w:tr>
        <w:trPr>
          <w:trHeight w:val="206"/>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Farha Aslam</w:t>
            </w:r>
          </w:p>
        </w:tc>
        <w:tc>
          <w:tcPr>
            <w:tcW w:w="10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12,426</w:t>
            </w:r>
          </w:p>
        </w:tc>
      </w:tr>
      <w:tr>
        <w:trPr>
          <w:trHeight w:val="208"/>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Arquimedes A. Celis</w:t>
            </w:r>
          </w:p>
        </w:tc>
        <w:tc>
          <w:tcPr>
            <w:tcW w:w="2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12,426</w:t>
            </w:r>
          </w:p>
        </w:tc>
      </w:tr>
      <w:tr>
        <w:trPr>
          <w:trHeight w:val="212"/>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Joanita Karoleski</w:t>
            </w:r>
          </w:p>
        </w:tc>
        <w:tc>
          <w:tcPr>
            <w:tcW w:w="2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7,466</w:t>
            </w:r>
          </w:p>
        </w:tc>
      </w:tr>
      <w:tr>
        <w:trPr>
          <w:trHeight w:val="208"/>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Ajay Menon</w:t>
            </w:r>
          </w:p>
        </w:tc>
        <w:tc>
          <w:tcPr>
            <w:tcW w:w="2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7,466</w:t>
            </w:r>
          </w:p>
        </w:tc>
      </w:tr>
      <w:tr>
        <w:trPr>
          <w:trHeight w:val="212"/>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Raul Padilla</w:t>
            </w:r>
          </w:p>
        </w:tc>
        <w:tc>
          <w:tcPr>
            <w:tcW w:w="2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5,035</w:t>
            </w:r>
          </w:p>
        </w:tc>
      </w:tr>
      <w:tr>
        <w:trPr>
          <w:trHeight w:val="207"/>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Wallim Cruz de Vasconcellos Junior</w:t>
            </w:r>
          </w:p>
        </w:tc>
        <w:tc>
          <w:tcPr>
            <w:tcW w:w="2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15,212</w:t>
            </w:r>
          </w:p>
        </w:tc>
      </w:tr>
    </w:tbl>
    <w:p>
      <w:pPr>
        <w:spacing w:after="0" w:line="226"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prorated fee of $14,167 for Ms. Aslam being appointed as the Chairman of the Sustainability Committee in March 2023.</w:t>
      </w:r>
    </w:p>
    <w:p>
      <w:pPr>
        <w:spacing w:after="0" w:line="22" w:lineRule="exact"/>
        <w:rPr>
          <w:rFonts w:ascii="Times New Roman" w:cs="Times New Roman" w:eastAsia="Times New Roman" w:hAnsi="Times New Roman"/>
          <w:sz w:val="16"/>
          <w:szCs w:val="16"/>
          <w:color w:val="auto"/>
        </w:rPr>
      </w:pPr>
    </w:p>
    <w:p>
      <w:pPr>
        <w:ind w:left="320" w:hanging="315"/>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Karoleski resigned from the Board effective February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9"/>
          <w:szCs w:val="19"/>
          <w:b w:val="1"/>
          <w:bCs w:val="1"/>
          <w:color w:val="auto"/>
        </w:rPr>
        <w:t>PROPOSAL 3. APPROVAL OF THE ADVISORY VOTE ON EXECUTIVE COMPENSATION</w:t>
      </w:r>
    </w:p>
    <w:p>
      <w:pPr>
        <w:spacing w:after="0" w:line="18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The Board is providing stockholders with the opportunity to cast an advisory vote on the compensation of our NEOs as required by Section 14A of the Exchange Act. This proposal, commonly known as a “Say-on-Pay” proposal, gives you, as a stockholder, the opportunity to endorse or not endorse our executive compensation programs and policies and the compensation paid to our NEOs.</w:t>
      </w:r>
    </w:p>
    <w:p>
      <w:pPr>
        <w:spacing w:after="0" w:line="104" w:lineRule="exact"/>
        <w:rPr>
          <w:sz w:val="20"/>
          <w:szCs w:val="20"/>
          <w:color w:val="auto"/>
        </w:rPr>
      </w:pPr>
    </w:p>
    <w:p>
      <w:pPr>
        <w:jc w:val="both"/>
        <w:ind w:firstLine="631"/>
        <w:spacing w:after="0" w:line="265" w:lineRule="auto"/>
        <w:rPr>
          <w:sz w:val="20"/>
          <w:szCs w:val="20"/>
          <w:color w:val="auto"/>
        </w:rPr>
      </w:pPr>
      <w:r>
        <w:rPr>
          <w:rFonts w:ascii="Times New Roman" w:cs="Times New Roman" w:eastAsia="Times New Roman" w:hAnsi="Times New Roman"/>
          <w:sz w:val="19"/>
          <w:szCs w:val="19"/>
          <w:color w:val="auto"/>
        </w:rPr>
        <w:t>The “Say-on-Pay” vote is advisory and thus not binding on the Compensation Committee or the Board. The advisory vote will not affect any compensation already paid or awarded to any NEO and will not overrule any decisions by the Compensation Committee or the Board. The Board values the opinions of the Company’s stockholders as expressed through their votes and other communications. Although the vote is non-binding, the Compensation Committee and the Board will review and carefully consider the outcome of the advisory vote on executive compensation and those opinions when making future decisions regarding executive compensation programs.</w:t>
      </w:r>
    </w:p>
    <w:p>
      <w:pPr>
        <w:spacing w:after="0" w:line="108"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At the 2023 annual meeting, approximately 97.5% of votes present (including abstentions and broker non-votes) voted for the “Say-on-Pay” proposal related to NEOs. In consideration of the results, the Compensation Committee acknowledged the support received from our stockholders and viewed the results as a confirmation of the Company’s existing executive compensation policies and decisions. Accordingly, we did not significantly change our executive compensation principles and objectives in 2023 in response to the advisory vote of our stockholders.</w:t>
      </w:r>
    </w:p>
    <w:p>
      <w:pPr>
        <w:spacing w:after="0" w:line="119"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9"/>
          <w:szCs w:val="19"/>
          <w:color w:val="auto"/>
        </w:rPr>
        <w:t>We design our executive compensation programs to implement our core objectives of attracting key leaders, motivating our executives to remain with the Company for long and productive careers, rewarding sustained financial and operating performance and leadership excellence and aligning the long-term interests of our executives with those of our stockholders. Stockholders are encouraged to read the Compensation Discussion and Analysis (“CD&amp;A”) section of this proxy statement. In the CD&amp;A, we have provided stockholders with a description of our compensation programs, including the principles and policies underpinning the programs, the individual elements of the compensation programs and how our compensation plans are administered. The Board believes that the policies and practices described in the CD&amp;A are effective in achieving the Company’s goals. In furtherance of these goals, among other things, our compensation programs have been designed so that a significant portion of each executive’s total compensation is tied not only to how well he performs individually, but also, where applicable, is “at risk” based on how well the Company performs relative to applicable financial objectives. We also believe that equity incentives are aligned with our core objectives of aligning the long-term interests of our executives with those of our stockholders, attracting and retaining key leaders, and rewarding sustained performance and leadership excellence. The vote on this proposal relates to the overall compensation of our NEOs, as described in this proxy statement, pursuant to Item 402 of Regulation S-K of the SEC (namely, the CD&amp;A, compensation tables and accompanying narrative disclosures found on pages 20 to 38). Accordingly, the Board recommends that you vote in favor of the following resolution:</w:t>
      </w:r>
    </w:p>
    <w:p>
      <w:pPr>
        <w:spacing w:after="0" w:line="361"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“RESOLVED, that the compensation of the Company’s named executive officers, as disclosed in the Company’s proxy statement relating to the 2024 Annual Meeting of Stockholders, pursuant to Item 402 of Regulation S-K of the Securities and Exchange Commission, including the Compensation Discussion and Analysis, the compensation tables and accompanying narrative disclosures, is hereby APPROVED in a non-binding vote.”</w:t>
      </w:r>
    </w:p>
    <w:p>
      <w:pPr>
        <w:spacing w:after="0" w:line="106" w:lineRule="exact"/>
        <w:rPr>
          <w:sz w:val="20"/>
          <w:szCs w:val="20"/>
          <w:color w:val="auto"/>
        </w:rPr>
      </w:pPr>
    </w:p>
    <w:p>
      <w:pPr>
        <w:jc w:val="both"/>
        <w:ind w:firstLine="631"/>
        <w:spacing w:after="0" w:line="296" w:lineRule="auto"/>
        <w:rPr>
          <w:sz w:val="20"/>
          <w:szCs w:val="20"/>
          <w:color w:val="auto"/>
        </w:rPr>
      </w:pPr>
      <w:r>
        <w:rPr>
          <w:rFonts w:ascii="Times New Roman" w:cs="Times New Roman" w:eastAsia="Times New Roman" w:hAnsi="Times New Roman"/>
          <w:sz w:val="19"/>
          <w:szCs w:val="19"/>
          <w:color w:val="auto"/>
        </w:rPr>
        <w:t>The advisory vote on executive compensation is non-binding, meaning that our Board will not be obligated to take any compensation actions, or to adjust our executive compensation programs or policies, as a result of the vote.</w:t>
      </w:r>
    </w:p>
    <w:p>
      <w:pPr>
        <w:spacing w:after="0" w:line="92" w:lineRule="exact"/>
        <w:rPr>
          <w:sz w:val="20"/>
          <w:szCs w:val="20"/>
          <w:color w:val="auto"/>
        </w:rPr>
      </w:pPr>
    </w:p>
    <w:p>
      <w:pPr>
        <w:jc w:val="both"/>
        <w:ind w:firstLine="631"/>
        <w:spacing w:after="0" w:line="281" w:lineRule="auto"/>
        <w:rPr>
          <w:sz w:val="20"/>
          <w:szCs w:val="20"/>
          <w:color w:val="auto"/>
        </w:rPr>
      </w:pPr>
      <w:r>
        <w:rPr>
          <w:rFonts w:ascii="Times New Roman" w:cs="Times New Roman" w:eastAsia="Times New Roman" w:hAnsi="Times New Roman"/>
          <w:sz w:val="19"/>
          <w:szCs w:val="19"/>
          <w:color w:val="auto"/>
        </w:rPr>
        <w:t>The Company’s current policy is to provide stockholders with an opportunity to approve the compensation of the NEOs each year at the annual meeting of stockholders. It is expected that the next such vote will occur at the 2025 annual meeting of stockholders.</w:t>
      </w:r>
    </w:p>
    <w:p>
      <w:pPr>
        <w:spacing w:after="0" w:line="102" w:lineRule="exact"/>
        <w:rPr>
          <w:sz w:val="20"/>
          <w:szCs w:val="20"/>
          <w:color w:val="auto"/>
        </w:rPr>
      </w:pPr>
    </w:p>
    <w:p>
      <w:pPr>
        <w:jc w:val="both"/>
        <w:ind w:firstLine="631"/>
        <w:spacing w:after="0" w:line="286" w:lineRule="auto"/>
        <w:rPr>
          <w:sz w:val="20"/>
          <w:szCs w:val="20"/>
          <w:color w:val="auto"/>
        </w:rPr>
      </w:pPr>
      <w:r>
        <w:rPr>
          <w:rFonts w:ascii="Times New Roman" w:cs="Times New Roman" w:eastAsia="Times New Roman" w:hAnsi="Times New Roman"/>
          <w:sz w:val="19"/>
          <w:szCs w:val="19"/>
          <w:b w:val="1"/>
          <w:bCs w:val="1"/>
          <w:color w:val="auto"/>
        </w:rPr>
        <w:t>The Board of Directors recommends that you vote “FOR” the approval of the advisory vote on executive compensation. Proxies will be so voted unless stockholders specify otherwise.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9"/>
          <w:szCs w:val="19"/>
          <w:b w:val="1"/>
          <w:bCs w:val="1"/>
          <w:color w:val="auto"/>
        </w:rPr>
        <w:t>REPORT OF THE COMPENSATION COMMITTEE</w:t>
      </w:r>
    </w:p>
    <w:p>
      <w:pPr>
        <w:spacing w:after="0" w:line="180"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9"/>
          <w:szCs w:val="19"/>
          <w:color w:val="auto"/>
        </w:rPr>
        <w:t>The Compensation Committee of the Board of Directors of the Company has reviewed and discussed with management the following Compensation Discussion and Analysis. Based on this review and discussion, the Compensation Committee recommended to the Board of Directors that the Compensation Discussion and Analysis be included in this Proxy Statement and incorporated by reference into the Company’s Annual Report on Form 10-K for the fiscal year ended December 31, 2023.</w:t>
      </w:r>
    </w:p>
    <w:p>
      <w:pPr>
        <w:spacing w:after="0" w:line="36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u w:val="single" w:color="auto"/>
          <w:color w:val="auto"/>
        </w:rPr>
        <w:t>Compensation Committee</w:t>
      </w:r>
    </w:p>
    <w:p>
      <w:pPr>
        <w:spacing w:after="0" w:line="25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Gilberto Tomazoni, Chairman</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Arquimedes Celis</w:t>
      </w:r>
    </w:p>
    <w:p>
      <w:pPr>
        <w:spacing w:after="0" w:line="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Andre Nogueira de Souza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i w:val="1"/>
          <w:iCs w:val="1"/>
          <w:color w:val="auto"/>
        </w:rPr>
        <w:t>The information contained in this report shall not be deemed to be “soliciting material” or “filed” or incorporated by reference in future filings with the SEC, or subject to the liabilities of Section 18 of the Securities Exchange Act of 1934, as amended, except to the extent that the Company specifically incorporates it by reference into a document filed under the Securities Act of 1933, as amended, or the Securities Exchange Act of 1934, as amended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9"/>
          <w:szCs w:val="19"/>
          <w:b w:val="1"/>
          <w:bCs w:val="1"/>
          <w:color w:val="auto"/>
        </w:rPr>
        <w:t>COMPENSATION DISCUSSION AND ANALYSIS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Executive Summary</w:t>
      </w:r>
    </w:p>
    <w:p>
      <w:pPr>
        <w:spacing w:after="0" w:line="167"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The discussion below summarizes a number of our performance highlights and how these affect the variable compensation of our NEOs. For fiscal year 2023, we achieved net sales of $17.4 billion while generating net income of $321.6 million, and GAAP earnings per diluted share of $1.36. Our adjusted earnings before interest, taxes, depreciation and amortization (“Adjusted EBITDA”) was $1.0 billion, or a 6.0% margin.</w:t>
      </w:r>
    </w:p>
    <w:p>
      <w:pPr>
        <w:spacing w:after="0" w:line="117" w:lineRule="exact"/>
        <w:rPr>
          <w:sz w:val="20"/>
          <w:szCs w:val="20"/>
          <w:color w:val="auto"/>
        </w:rPr>
      </w:pPr>
    </w:p>
    <w:p>
      <w:pPr>
        <w:jc w:val="both"/>
        <w:ind w:firstLine="631"/>
        <w:spacing w:after="0" w:line="296" w:lineRule="auto"/>
        <w:rPr>
          <w:sz w:val="20"/>
          <w:szCs w:val="20"/>
          <w:color w:val="auto"/>
        </w:rPr>
      </w:pPr>
      <w:r>
        <w:rPr>
          <w:rFonts w:ascii="Times New Roman" w:cs="Times New Roman" w:eastAsia="Times New Roman" w:hAnsi="Times New Roman"/>
          <w:sz w:val="19"/>
          <w:szCs w:val="19"/>
          <w:color w:val="auto"/>
        </w:rPr>
        <w:t>Our NEOs for 2023 were Mr. Fabio Sandri, our current President and CEO; and Mr. Matthew Galvanoni, our current Chief Financial Officer (“CFO”).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Company Performance and Pay</w:t>
      </w:r>
    </w:p>
    <w:p>
      <w:pPr>
        <w:spacing w:after="0" w:line="180"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The Compensation Committee has designed key elements of our executive compensation program to align pay with our performance. The Compensation Committee has structured the terms of executive officer compensation so that a significant amount of our NEO’s annual compensation is tied to both the performance of the Company and his respective individual performance, and therefore, would be “at risk.” The Compensation Committee’s compensation decisions for 2023 reflect the Company’s strong performance in multiple financial areas.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Company’s specific 2023 achievements included the following, among others:</w:t>
      </w:r>
    </w:p>
    <w:p>
      <w:pPr>
        <w:spacing w:after="0" w:line="176" w:lineRule="exact"/>
        <w:rPr>
          <w:sz w:val="20"/>
          <w:szCs w:val="20"/>
          <w:color w:val="auto"/>
        </w:rPr>
      </w:pPr>
    </w:p>
    <w:p>
      <w:pPr>
        <w:ind w:left="640" w:hanging="319"/>
        <w:spacing w:after="0" w:line="281"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Company achieved strong results relating to net sales of $17.4 billion, net income of $321.6 million, or $1.36 per diluted share, and net cash provided by operations of $677.9 million during a year of volatile market conditions.</w:t>
      </w:r>
    </w:p>
    <w:p>
      <w:pPr>
        <w:spacing w:after="0" w:line="106" w:lineRule="exact"/>
        <w:rPr>
          <w:rFonts w:ascii="Times New Roman" w:cs="Times New Roman" w:eastAsia="Times New Roman" w:hAnsi="Times New Roman"/>
          <w:sz w:val="18"/>
          <w:szCs w:val="18"/>
          <w:color w:val="auto"/>
        </w:rPr>
      </w:pPr>
    </w:p>
    <w:p>
      <w:pPr>
        <w:ind w:left="640" w:hanging="319"/>
        <w:spacing w:after="0" w:line="296" w:lineRule="auto"/>
        <w:tabs>
          <w:tab w:leader="none" w:pos="62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our fiscal year ended December 31, 2023, the Company had $731.2 million of cash and cash equivalents and availability under our debt agreements of $1.1 billion.</w:t>
      </w:r>
    </w:p>
    <w:p>
      <w:pPr>
        <w:spacing w:after="0" w:line="78" w:lineRule="exact"/>
        <w:rPr>
          <w:rFonts w:ascii="Times New Roman" w:cs="Times New Roman" w:eastAsia="Times New Roman" w:hAnsi="Times New Roman"/>
          <w:sz w:val="19"/>
          <w:szCs w:val="19"/>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Company continued its efforts on cost reductions, more effective processes, training, and its total quality management program.</w:t>
      </w:r>
    </w:p>
    <w:p>
      <w:pPr>
        <w:spacing w:after="0" w:line="176" w:lineRule="exact"/>
        <w:rPr>
          <w:sz w:val="20"/>
          <w:szCs w:val="20"/>
          <w:color w:val="auto"/>
        </w:rPr>
      </w:pPr>
    </w:p>
    <w:p>
      <w:pPr>
        <w:jc w:val="both"/>
        <w:ind w:firstLine="631"/>
        <w:spacing w:after="0" w:line="281" w:lineRule="auto"/>
        <w:rPr>
          <w:sz w:val="20"/>
          <w:szCs w:val="20"/>
          <w:color w:val="auto"/>
        </w:rPr>
      </w:pPr>
      <w:r>
        <w:rPr>
          <w:rFonts w:ascii="Times New Roman" w:cs="Times New Roman" w:eastAsia="Times New Roman" w:hAnsi="Times New Roman"/>
          <w:sz w:val="19"/>
          <w:szCs w:val="19"/>
          <w:color w:val="auto"/>
        </w:rPr>
        <w:t>For more information regarding our financial performance during fiscal year 2023, see our 2023 Form 10-K. For a reconciliation of non-GAAP financial measures for fiscal year 2023, see Annex A at the end of this proxy statement.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Executive Compensation</w:t>
      </w:r>
    </w:p>
    <w:p>
      <w:pPr>
        <w:spacing w:after="0" w:line="167"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The Company’s compensation principles are intended to implement our core objectives of aligning the long-term interests of our executives with those of our stockholders, attracting and retaining key leaders, and rewarding sustained financial and operating performance and leadership excellence. In pursuing these objectives, the Compensation Committee uses certain guiding principles in designing the specific elements of the executive compensation program. These guiding principles and policies are that:</w:t>
      </w:r>
    </w:p>
    <w:p>
      <w:pPr>
        <w:spacing w:after="0" w:line="119" w:lineRule="exact"/>
        <w:rPr>
          <w:sz w:val="20"/>
          <w:szCs w:val="20"/>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incentive compensation should represent a significant portion of total compensation;</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compensation should be performance-based;</w:t>
      </w:r>
    </w:p>
    <w:p>
      <w:pPr>
        <w:spacing w:after="0" w:line="17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incentive compensation should balance short-term and long-term performance;</w:t>
      </w:r>
    </w:p>
    <w:p>
      <w:pPr>
        <w:spacing w:after="0" w:line="17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compensation levels should be market competitive; and</w:t>
      </w:r>
    </w:p>
    <w:p>
      <w:pPr>
        <w:spacing w:after="0" w:line="162"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superior performance should be rewarded.</w:t>
      </w:r>
    </w:p>
    <w:p>
      <w:pPr>
        <w:spacing w:after="0" w:line="176"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In order to further these guiding principles, the key components of our compensation in 2023 included (1) cash compensation, in the form of base salaries and cash incentive compensation; (2) long-term equity compensation, in the form of RSUs that are earned, if at all, based on the achievement of financial performance metrics designed to reinforce our business objectives and restricted stock and RSUs that vest over time; and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9"/>
          <w:szCs w:val="19"/>
          <w:color w:val="auto"/>
        </w:rPr>
        <w:t>(3) other non-cash compensation, such as retirement, health and welfare benefits, and certain other limited perquisites and benefits.</w:t>
      </w:r>
    </w:p>
    <w:p>
      <w:pPr>
        <w:spacing w:after="0" w:line="176"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The Compensation Committee believes a significant portion of the compensation to our NEOs should be performance-based. The Compensation Committee also believes that each NEO’s compensation should be balanced with long-term incentives. Accordingly, a significant portion of the compensation to our NEOs was awarded in performance RSUs, which were earned when specific performance targets were met and vest ratably over a three-year period. The Compensation Committee believes these equity awards more closely align our NEOs’ incentives with the long-term interests of our stockholders, including growing our business and improving the Company’s profitability relative to its peers.</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Additionally, the Company maintains the following policies and practices that support the Company’s “pay-for-performance” principles:</w:t>
      </w:r>
    </w:p>
    <w:p>
      <w:pPr>
        <w:spacing w:after="0" w:line="163" w:lineRule="exact"/>
        <w:rPr>
          <w:sz w:val="20"/>
          <w:szCs w:val="20"/>
          <w:color w:val="auto"/>
        </w:rPr>
      </w:pPr>
    </w:p>
    <w:p>
      <w:pPr>
        <w:ind w:left="640" w:hanging="319"/>
        <w:spacing w:after="0" w:line="296"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prohibition of Company personnel, including the NEOs, from engaging in any short-term trading, speculative securities transactions, engaging in short sales, and buying or selling put options, call options or other derivative securities;</w:t>
      </w:r>
    </w:p>
    <w:p>
      <w:pPr>
        <w:spacing w:after="0" w:line="7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holding an annual say-on-pay advisory vote;</w:t>
      </w:r>
    </w:p>
    <w:p>
      <w:pPr>
        <w:spacing w:after="0" w:line="175"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aligning our executive pay with performance, including by awarding performance-based equity awards;</w:t>
      </w:r>
    </w:p>
    <w:p>
      <w:pPr>
        <w:spacing w:after="0" w:line="175" w:lineRule="exact"/>
        <w:rPr>
          <w:rFonts w:ascii="Times New Roman" w:cs="Times New Roman" w:eastAsia="Times New Roman" w:hAnsi="Times New Roman"/>
          <w:sz w:val="19"/>
          <w:szCs w:val="19"/>
          <w:color w:val="auto"/>
        </w:rPr>
      </w:pPr>
    </w:p>
    <w:p>
      <w:pPr>
        <w:ind w:left="620" w:hanging="299"/>
        <w:spacing w:after="0"/>
        <w:tabs>
          <w:tab w:leader="none" w:pos="62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maintaining clawback provisions in our Incentive Programs; and</w:t>
      </w:r>
    </w:p>
    <w:p>
      <w:pPr>
        <w:spacing w:after="0" w:line="162" w:lineRule="exact"/>
        <w:rPr>
          <w:rFonts w:ascii="Times New Roman" w:cs="Times New Roman" w:eastAsia="Times New Roman" w:hAnsi="Times New Roman"/>
          <w:sz w:val="19"/>
          <w:szCs w:val="19"/>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our policy of not having any change-in-control payments or excise tax gross-ups.</w:t>
      </w:r>
    </w:p>
    <w:p>
      <w:pPr>
        <w:spacing w:after="0" w:line="176"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Following the end of each fiscal year, the Compensation Committee conducts a review of all components of the Company’s compensation program. In conducting its review, the Compensation Committee reviews information related to each NEO’s individual performance, total compensation, each of the components of compensation, and the Company’s performance. Our compensation principles and objectives did not significantly change in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Executive Compensation Principles, Policies and Objectives</w:t>
      </w:r>
    </w:p>
    <w:p>
      <w:pPr>
        <w:spacing w:after="0" w:line="180"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The Compensation Committee is responsible for establishing the principles that underlie our executive compensation program and guiding the design and administration of specific plans, agreements and arrangements for our executives. Our compensation principles are intended to implement our core objectives of attracting key leaders, motivating our executives to remain with the Company for long and productive careers, rewarding sustained financial and operating performance and leadership excellence and aligning the long-term interests of our executives with those of our stockholders. Our executive compensation principles and policies, which are established and refined from time to time by the Compensation Committee, are described below:</w:t>
      </w:r>
    </w:p>
    <w:p>
      <w:pPr>
        <w:spacing w:after="0" w:line="110" w:lineRule="exact"/>
        <w:rPr>
          <w:sz w:val="20"/>
          <w:szCs w:val="20"/>
          <w:color w:val="auto"/>
        </w:rPr>
      </w:pPr>
    </w:p>
    <w:p>
      <w:pPr>
        <w:jc w:val="both"/>
        <w:ind w:firstLine="631"/>
        <w:spacing w:after="0" w:line="272" w:lineRule="auto"/>
        <w:rPr>
          <w:sz w:val="20"/>
          <w:szCs w:val="20"/>
          <w:color w:val="auto"/>
        </w:rPr>
      </w:pPr>
      <w:r>
        <w:rPr>
          <w:rFonts w:ascii="Times New Roman" w:cs="Times New Roman" w:eastAsia="Times New Roman" w:hAnsi="Times New Roman"/>
          <w:sz w:val="19"/>
          <w:szCs w:val="19"/>
          <w:i w:val="1"/>
          <w:iCs w:val="1"/>
          <w:color w:val="auto"/>
        </w:rPr>
        <w:t xml:space="preserve">Incentive compensation should represent a significant portion of total compensation. </w:t>
      </w:r>
      <w:r>
        <w:rPr>
          <w:rFonts w:ascii="Times New Roman" w:cs="Times New Roman" w:eastAsia="Times New Roman" w:hAnsi="Times New Roman"/>
          <w:sz w:val="19"/>
          <w:szCs w:val="19"/>
          <w:color w:val="auto"/>
        </w:rPr>
        <w:t>A significant portion of our executive officers’ total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compensation should be tied not only to how well they perform individually, but also, where applicable, should be “at risk” based on how well the Company performs relative to applicable financial objectives.</w:t>
      </w:r>
    </w:p>
    <w:p>
      <w:pPr>
        <w:spacing w:after="0" w:line="112" w:lineRule="exact"/>
        <w:rPr>
          <w:sz w:val="20"/>
          <w:szCs w:val="20"/>
          <w:color w:val="auto"/>
        </w:rPr>
      </w:pPr>
    </w:p>
    <w:p>
      <w:pPr>
        <w:jc w:val="both"/>
        <w:ind w:firstLine="631"/>
        <w:spacing w:after="0" w:line="298" w:lineRule="auto"/>
        <w:rPr>
          <w:sz w:val="20"/>
          <w:szCs w:val="20"/>
          <w:color w:val="auto"/>
        </w:rPr>
      </w:pPr>
      <w:r>
        <w:rPr>
          <w:rFonts w:ascii="Times New Roman" w:cs="Times New Roman" w:eastAsia="Times New Roman" w:hAnsi="Times New Roman"/>
          <w:sz w:val="19"/>
          <w:szCs w:val="19"/>
          <w:i w:val="1"/>
          <w:iCs w:val="1"/>
          <w:color w:val="auto"/>
        </w:rPr>
        <w:t xml:space="preserve">Compensation should be performance-based. </w:t>
      </w:r>
      <w:r>
        <w:rPr>
          <w:rFonts w:ascii="Times New Roman" w:cs="Times New Roman" w:eastAsia="Times New Roman" w:hAnsi="Times New Roman"/>
          <w:sz w:val="19"/>
          <w:szCs w:val="19"/>
          <w:color w:val="auto"/>
        </w:rPr>
        <w:t>Compensation should be subject to performance-based awards as an executive officer’s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range of responsibility and ability to influence the Company’s results increase.</w:t>
      </w:r>
    </w:p>
    <w:p>
      <w:pPr>
        <w:spacing w:after="0" w:line="75" w:lineRule="exact"/>
        <w:rPr>
          <w:sz w:val="20"/>
          <w:szCs w:val="20"/>
          <w:color w:val="auto"/>
        </w:rPr>
      </w:pPr>
    </w:p>
    <w:p>
      <w:pPr>
        <w:jc w:val="both"/>
        <w:ind w:firstLine="631"/>
        <w:spacing w:after="0" w:line="272" w:lineRule="auto"/>
        <w:rPr>
          <w:sz w:val="20"/>
          <w:szCs w:val="20"/>
          <w:color w:val="auto"/>
        </w:rPr>
      </w:pPr>
      <w:r>
        <w:rPr>
          <w:rFonts w:ascii="Times New Roman" w:cs="Times New Roman" w:eastAsia="Times New Roman" w:hAnsi="Times New Roman"/>
          <w:sz w:val="19"/>
          <w:szCs w:val="19"/>
          <w:i w:val="1"/>
          <w:iCs w:val="1"/>
          <w:color w:val="auto"/>
        </w:rPr>
        <w:t xml:space="preserve">Incentive compensation should balance short-term and long-term performance. </w:t>
      </w:r>
      <w:r>
        <w:rPr>
          <w:rFonts w:ascii="Times New Roman" w:cs="Times New Roman" w:eastAsia="Times New Roman" w:hAnsi="Times New Roman"/>
          <w:sz w:val="19"/>
          <w:szCs w:val="19"/>
          <w:color w:val="auto"/>
        </w:rPr>
        <w:t>Executive compensation should be linked to building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long-term stockholder value while remaining consistent with our business objectives and values. Our executive compensation program addresses this objective by including long-term incentives in the form of equity-based awards, such as restricted stock and RSUs.</w:t>
      </w:r>
    </w:p>
    <w:p>
      <w:pPr>
        <w:spacing w:after="0" w:line="112" w:lineRule="exact"/>
        <w:rPr>
          <w:sz w:val="20"/>
          <w:szCs w:val="20"/>
          <w:color w:val="auto"/>
        </w:rPr>
      </w:pPr>
    </w:p>
    <w:p>
      <w:pPr>
        <w:jc w:val="both"/>
        <w:ind w:firstLine="631"/>
        <w:spacing w:after="0" w:line="298" w:lineRule="auto"/>
        <w:rPr>
          <w:sz w:val="20"/>
          <w:szCs w:val="20"/>
          <w:color w:val="auto"/>
        </w:rPr>
      </w:pPr>
      <w:r>
        <w:rPr>
          <w:rFonts w:ascii="Times New Roman" w:cs="Times New Roman" w:eastAsia="Times New Roman" w:hAnsi="Times New Roman"/>
          <w:sz w:val="19"/>
          <w:szCs w:val="19"/>
          <w:i w:val="1"/>
          <w:iCs w:val="1"/>
          <w:color w:val="auto"/>
        </w:rPr>
        <w:t xml:space="preserve">Compensation levels should be market competitive. </w:t>
      </w:r>
      <w:r>
        <w:rPr>
          <w:rFonts w:ascii="Times New Roman" w:cs="Times New Roman" w:eastAsia="Times New Roman" w:hAnsi="Times New Roman"/>
          <w:sz w:val="19"/>
          <w:szCs w:val="19"/>
          <w:color w:val="auto"/>
        </w:rPr>
        <w:t>Compensation should be competitive in relation to the marketplace and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Compensation Committee therefore considers market compensation data compiled and prepared by management.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26" w:name="page27"/>
    <w:bookmarkEnd w:id="26"/>
    <w:p>
      <w:pPr>
        <w:jc w:val="both"/>
        <w:ind w:firstLine="631"/>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Superior performance should be rewarded. </w:t>
      </w:r>
      <w:r>
        <w:rPr>
          <w:rFonts w:ascii="Times New Roman" w:cs="Times New Roman" w:eastAsia="Times New Roman" w:hAnsi="Times New Roman"/>
          <w:sz w:val="19"/>
          <w:szCs w:val="19"/>
          <w:color w:val="auto"/>
        </w:rPr>
        <w:t>Outstanding achievement should be recognized. The Board and the Compensation Committee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consider the Company’s strategies, including a number of environmental, social and governance initiatives, when identifying the appropriate incentive measures and when assigning individual goals and objectives to the NEO and evaluate the individual’s performance against those goals and objectives in setting compensation.</w:t>
      </w:r>
    </w:p>
    <w:p>
      <w:pPr>
        <w:spacing w:after="0" w:line="108" w:lineRule="exact"/>
        <w:rPr>
          <w:sz w:val="20"/>
          <w:szCs w:val="20"/>
          <w:color w:val="auto"/>
        </w:rPr>
      </w:pPr>
    </w:p>
    <w:p>
      <w:pPr>
        <w:jc w:val="both"/>
        <w:ind w:firstLine="631"/>
        <w:spacing w:after="0" w:line="265" w:lineRule="auto"/>
        <w:rPr>
          <w:sz w:val="20"/>
          <w:szCs w:val="20"/>
          <w:color w:val="auto"/>
        </w:rPr>
      </w:pPr>
      <w:r>
        <w:rPr>
          <w:rFonts w:ascii="Times New Roman" w:cs="Times New Roman" w:eastAsia="Times New Roman" w:hAnsi="Times New Roman"/>
          <w:sz w:val="19"/>
          <w:szCs w:val="19"/>
          <w:color w:val="auto"/>
        </w:rPr>
        <w:t>In addition, we believe that our compensation programs for executive officers should be appropriately tailored to encourage employees to grow our business, but not encourage them to do so in a way that poses unnecessary or excessive material risk to us. For 2023, the Compensation Committee believes that our CEO and CFO compensation is consistent with our performance and economic and competitive industry conditions, and equity incentives are aligned with our actions to grow our business and improve the Company’s profitability relative to similarly-situated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Role of the Compensation Committee and Executive Officer in Compensation Decisions</w:t>
      </w:r>
    </w:p>
    <w:p>
      <w:pPr>
        <w:spacing w:after="0" w:line="180" w:lineRule="exact"/>
        <w:rPr>
          <w:sz w:val="20"/>
          <w:szCs w:val="20"/>
          <w:color w:val="auto"/>
        </w:rPr>
      </w:pPr>
    </w:p>
    <w:p>
      <w:pPr>
        <w:jc w:val="both"/>
        <w:ind w:firstLine="631"/>
        <w:spacing w:after="0" w:line="256" w:lineRule="auto"/>
        <w:rPr>
          <w:sz w:val="20"/>
          <w:szCs w:val="20"/>
          <w:color w:val="auto"/>
        </w:rPr>
      </w:pPr>
      <w:r>
        <w:rPr>
          <w:rFonts w:ascii="Times New Roman" w:cs="Times New Roman" w:eastAsia="Times New Roman" w:hAnsi="Times New Roman"/>
          <w:sz w:val="19"/>
          <w:szCs w:val="19"/>
          <w:color w:val="auto"/>
        </w:rPr>
        <w:t>The Compensation Committee and the Board had the overall responsibility for approving executive compensation and overseeing the administration of our incentive and employee benefit plans. The Compensation Committee is responsible for establishing and overseeing the overall compensation structure, policies and programs of the Company and assessing whether our compensation structure resulted in appropriate compensation levels and incentives for executive management of the Company. The Compensation Committee’s objective is to ensure that the total compensation paid to each executive officer was fair, reasonable, competitive and motivational. The Compensation Committee conducts a review of all compensation for our NEOs and works with our CEO to evaluate and approve compensation of our senior executives other than the CEO. To the extent the roles are not held by the same person, our CFO reports directly to our CEO, who supervises the day-to-day performance of the CFO. Accordingly, in that case, the CEO evaluates the CFO’s individual performance against the Company-based performance factors, and makes recommendations to the Compensation Committee regarding his compensation. The Compensation Committee strongly considers the compensation recommendations and the performance evaluations by our CEO and any recommendations of the Board of Directors with respect to any non-CEO compensation. Neither the Compensation Committee nor Company management engaged a compensation consultant in 2023 for the purpose of determining or recommending the amount or form of executive compensation.</w:t>
      </w:r>
    </w:p>
    <w:p>
      <w:pPr>
        <w:spacing w:after="0" w:line="135" w:lineRule="exact"/>
        <w:rPr>
          <w:sz w:val="20"/>
          <w:szCs w:val="20"/>
          <w:color w:val="auto"/>
        </w:rPr>
      </w:pPr>
    </w:p>
    <w:p>
      <w:pPr>
        <w:jc w:val="both"/>
        <w:ind w:firstLine="631"/>
        <w:spacing w:after="0" w:line="259" w:lineRule="auto"/>
        <w:rPr>
          <w:sz w:val="20"/>
          <w:szCs w:val="20"/>
          <w:color w:val="auto"/>
        </w:rPr>
      </w:pPr>
      <w:r>
        <w:rPr>
          <w:rFonts w:ascii="Times New Roman" w:cs="Times New Roman" w:eastAsia="Times New Roman" w:hAnsi="Times New Roman"/>
          <w:sz w:val="19"/>
          <w:szCs w:val="19"/>
          <w:color w:val="auto"/>
        </w:rPr>
        <w:t>In determining the components of compensation, the Compensation Committee discusses strategic goals for our compensation program and considers the role of each of the elements of compensation in relationship to the overall pay mix. The Compensation Committee considers the total compensation targeted for each of the NEOs, individual and Company performance and the relationship between pay and performance. The Compensation Committee works with the CEO and the Company’s human resources representative, who make recommendations consistent with the guidelines established by the Compensation Committee to each element of compensation of our executive officers. The Compensation Committee evaluates the total compensation packages for our senior executives after considering the recommendations of the CEO and the Company’s human resources representative and evaluating the competitive market for executive talent, the Company’s performance relative to its competitors and the past compensation paid to each of our NEOs. The CEO does not make recommendations or participate in the Compensation Committee’s process for establishing the compensation of the CEO.</w:t>
      </w:r>
    </w:p>
    <w:p>
      <w:pPr>
        <w:spacing w:after="0" w:line="112"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If the Compensation Committee determines that there is a misalignment in pay for performance or if the compensation of the NEOs is not appropriately aligned with the competitive market, the Committee may determine, in its discretion, to provide additional compensation to our NEOs in the form of cash or equity or combination thereof. The Compensation Committee believes that discretionary awards, where warranted, can be effective in motivating, rewarding and retaining our NEOs. For additional information, see “Additional Equity Awards”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Say-on-Pay</w:t>
      </w:r>
    </w:p>
    <w:p>
      <w:pPr>
        <w:spacing w:after="0" w:line="167"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At the annual meeting of our stockholders held on April 26, 2023, our stockholders recommended in an advisory vote and the Compensation Committee subsequently approved that the Company holds an advisory vote on the compensation of the Company’s NEOs annually. At the annual meeting of our stockholders held on April 26, 2023, approximately 97.5% of votes present (including abstentions and broker non-votes) voted for the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7" w:name="page28"/>
    <w:bookmarkEnd w:id="27"/>
    <w:p>
      <w:pPr>
        <w:jc w:val="both"/>
        <w:spacing w:after="0" w:line="270" w:lineRule="auto"/>
        <w:rPr>
          <w:sz w:val="20"/>
          <w:szCs w:val="20"/>
          <w:color w:val="auto"/>
        </w:rPr>
      </w:pPr>
      <w:r>
        <w:rPr>
          <w:rFonts w:ascii="Times New Roman" w:cs="Times New Roman" w:eastAsia="Times New Roman" w:hAnsi="Times New Roman"/>
          <w:sz w:val="19"/>
          <w:szCs w:val="19"/>
          <w:color w:val="auto"/>
        </w:rPr>
        <w:t>“Say-on-Pay” proposal related to our NEOs. In consideration of the results, the Compensation Committee acknowledged the support received from our stockholders and viewed the results as a confirmation of the Company’s existing executive compensation policies and decisions. Accordingly, we did not significantly change our compensation principles and objectives in 2023 in response to the advisory vote of our stockholders.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Compensation of our President and Chief Executive Officer</w:t>
      </w:r>
    </w:p>
    <w:p>
      <w:pPr>
        <w:spacing w:after="0" w:line="180"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During fiscal year 2023, Mr. Sandri was entitled to an annual base salary for 2023 of $1,000,000, an annual cash bonus pursuant to the Short-Term Management Incentive Plan (the “STIP”) and performance-based equity grants under our long-term equity incentive programs. Additionally, Mr. Sandri is eligible to participate in the Company’s other benefit plans that are generally available to the Company’s senior officers.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Compensation of our Chief Financial Officer</w:t>
      </w:r>
    </w:p>
    <w:p>
      <w:pPr>
        <w:spacing w:after="0" w:line="18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During fiscal year 2023, Mr. Galvanoni was entitled to an annual base salary for 2023 of $520,000, an annual cash bonus pursuant to the STIP and performance-based equity grants under our long-term equity incentive programs. Additionally, Mr. Galvanoni is eligible to participate in the Company’s other benefit plans that are generally available to the Company’s senior officers.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Components of Compensation</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principal components of compensation for our NEOs were as follows:</w:t>
      </w:r>
    </w:p>
    <w:p>
      <w:pPr>
        <w:spacing w:after="0" w:line="176" w:lineRule="exact"/>
        <w:rPr>
          <w:sz w:val="20"/>
          <w:szCs w:val="20"/>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base salary;</w:t>
      </w:r>
    </w:p>
    <w:p>
      <w:pPr>
        <w:spacing w:after="0" w:line="17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bonuses, including annual cash incentive compensation;</w:t>
      </w:r>
    </w:p>
    <w:p>
      <w:pPr>
        <w:spacing w:after="0" w:line="162" w:lineRule="exact"/>
        <w:rPr>
          <w:rFonts w:ascii="Times New Roman" w:cs="Times New Roman" w:eastAsia="Times New Roman" w:hAnsi="Times New Roman"/>
          <w:sz w:val="18"/>
          <w:szCs w:val="18"/>
          <w:color w:val="auto"/>
        </w:rPr>
      </w:pPr>
    </w:p>
    <w:p>
      <w:pPr>
        <w:ind w:left="640" w:hanging="319"/>
        <w:spacing w:after="0" w:line="296"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long-term incentive compensation, including awards of RSUs earned based on the achievement of performance goals, time-vested restricted stock and RSUs;</w:t>
      </w:r>
    </w:p>
    <w:p>
      <w:pPr>
        <w:spacing w:after="0" w:line="78"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retirement, health and welfare benefit plans; and</w:t>
      </w:r>
    </w:p>
    <w:p>
      <w:pPr>
        <w:spacing w:after="0" w:line="175" w:lineRule="exact"/>
        <w:rPr>
          <w:rFonts w:ascii="Times New Roman" w:cs="Times New Roman" w:eastAsia="Times New Roman" w:hAnsi="Times New Roman"/>
          <w:sz w:val="19"/>
          <w:szCs w:val="19"/>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certain limited perquisites and other personal benefits.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Base Salary</w:t>
      </w:r>
    </w:p>
    <w:p>
      <w:pPr>
        <w:spacing w:after="0" w:line="176"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We provide our NEOs and other employees with a base salary to provide a fixed amount of compensation for services during the fiscal year. Base salaries and any increases thereto are determined by the Compensation Committee for each of the executive officers on an individual basis, taking into consideration an assessment of individual contributions to Company performance, length of tenure, compensation levels for comparable positions, internal equities among positions and, with respect to executives other than the CEO, the recommendations of the CEO.</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Annual Cash Incentive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Short-Term Management Incentive Plan</w:t>
      </w:r>
    </w:p>
    <w:p>
      <w:pPr>
        <w:spacing w:after="0" w:line="178" w:lineRule="exact"/>
        <w:rPr>
          <w:sz w:val="20"/>
          <w:szCs w:val="20"/>
          <w:color w:val="auto"/>
        </w:rPr>
      </w:pPr>
    </w:p>
    <w:p>
      <w:pPr>
        <w:jc w:val="both"/>
        <w:ind w:firstLine="631"/>
        <w:spacing w:after="0" w:line="258" w:lineRule="auto"/>
        <w:rPr>
          <w:sz w:val="20"/>
          <w:szCs w:val="20"/>
          <w:color w:val="auto"/>
        </w:rPr>
      </w:pPr>
      <w:r>
        <w:rPr>
          <w:rFonts w:ascii="Times New Roman" w:cs="Times New Roman" w:eastAsia="Times New Roman" w:hAnsi="Times New Roman"/>
          <w:sz w:val="19"/>
          <w:szCs w:val="19"/>
          <w:color w:val="auto"/>
        </w:rPr>
        <w:t>The Compensation Committee currently administers the STIP, which provides for the grant of annual incentive awards payable upon achievement of specified performance goals. The awards under the STIP may be paid, at the option of the Compensation Committee, in cash, or in the Company’s common stock, or in any combination of cash and common stock. For fiscal year 2023, all STIP awards were payable in cash. For each performance period, the Compensation Committee may establish one or more objectively determinable performance goals, based upon one or more of a variety of performance criteria specified in the STIP. In addition, for bonus awards not intended to qualify as qualified performance-based compensation, the Compensation Committee may establish performance goals based on other performance criteria as it deems appropriate in its sole discretion.</w:t>
      </w:r>
    </w:p>
    <w:p>
      <w:pPr>
        <w:spacing w:after="0" w:line="128" w:lineRule="exact"/>
        <w:rPr>
          <w:sz w:val="20"/>
          <w:szCs w:val="20"/>
          <w:color w:val="auto"/>
        </w:rPr>
      </w:pPr>
    </w:p>
    <w:p>
      <w:pPr>
        <w:jc w:val="both"/>
        <w:ind w:firstLine="631"/>
        <w:spacing w:after="0" w:line="272" w:lineRule="auto"/>
        <w:rPr>
          <w:sz w:val="20"/>
          <w:szCs w:val="20"/>
          <w:color w:val="auto"/>
        </w:rPr>
      </w:pPr>
      <w:r>
        <w:rPr>
          <w:rFonts w:ascii="Times New Roman" w:cs="Times New Roman" w:eastAsia="Times New Roman" w:hAnsi="Times New Roman"/>
          <w:sz w:val="19"/>
          <w:szCs w:val="19"/>
          <w:i w:val="1"/>
          <w:iCs w:val="1"/>
          <w:color w:val="auto"/>
        </w:rPr>
        <w:t xml:space="preserve">2023 STIP Goals. </w:t>
      </w:r>
      <w:r>
        <w:rPr>
          <w:rFonts w:ascii="Times New Roman" w:cs="Times New Roman" w:eastAsia="Times New Roman" w:hAnsi="Times New Roman"/>
          <w:sz w:val="19"/>
          <w:szCs w:val="19"/>
          <w:color w:val="auto"/>
        </w:rPr>
        <w:t>As part of developing the Company’s compensation strategy for the fiscal year ended December 31, 2023,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Compensation Committee established annual performance goals and payout amounts for our NEOs under the STIP based on income (loss) before income taxes as a percentage of the Company’s net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9"/>
          <w:szCs w:val="19"/>
          <w:color w:val="auto"/>
        </w:rPr>
        <w:t>revenues (“PBT Margin”). The Compensation Committee used each NEO’s base salary to establish his target payout amount under the STIP.</w:t>
      </w:r>
    </w:p>
    <w:p>
      <w:pPr>
        <w:spacing w:after="0" w:line="176"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The Compensation Committee chose to utilize PBT Margin in setting performance goals and target payout amounts because PBT Margin has a higher correlation to cash flow and liquidity than EBITDA and because it aligns with the Company’s goals of driving overall operational results.</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For fiscal year 2023, the Compensation Committee established the following PBT Margins for our NEOs: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PBT Margin</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CEO Bonus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CFO Bonus</w:t>
            </w:r>
          </w:p>
        </w:tc>
        <w:tc>
          <w:tcPr>
            <w:tcW w:w="0" w:type="dxa"/>
            <w:vAlign w:val="bottom"/>
          </w:tcPr>
          <w:p>
            <w:pPr>
              <w:spacing w:after="0"/>
              <w:rPr>
                <w:sz w:val="1"/>
                <w:szCs w:val="1"/>
                <w:color w:val="auto"/>
              </w:rPr>
            </w:pPr>
          </w:p>
        </w:tc>
      </w:tr>
      <w:tr>
        <w:trPr>
          <w:trHeight w:val="209"/>
        </w:trPr>
        <w:tc>
          <w:tcPr>
            <w:tcW w:w="3880" w:type="dxa"/>
            <w:vAlign w:val="bottom"/>
            <w:gridSpan w:val="2"/>
            <w:vMerge w:val="continue"/>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as a % of Base Salary</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 a % of Base Salary</w:t>
            </w:r>
          </w:p>
        </w:tc>
        <w:tc>
          <w:tcPr>
            <w:tcW w:w="0" w:type="dxa"/>
            <w:vAlign w:val="bottom"/>
          </w:tcPr>
          <w:p>
            <w:pPr>
              <w:spacing w:after="0"/>
              <w:rPr>
                <w:sz w:val="1"/>
                <w:szCs w:val="1"/>
                <w:color w:val="auto"/>
              </w:rPr>
            </w:pPr>
          </w:p>
        </w:tc>
      </w:tr>
      <w:tr>
        <w:trPr>
          <w:trHeight w:val="217"/>
        </w:trPr>
        <w:tc>
          <w:tcPr>
            <w:tcW w:w="3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 (Threshold)</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23"/>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2.5%</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0" w:type="dxa"/>
            <w:vAlign w:val="bottom"/>
          </w:tcPr>
          <w:p>
            <w:pPr>
              <w:spacing w:after="0"/>
              <w:rPr>
                <w:sz w:val="1"/>
                <w:szCs w:val="1"/>
                <w:color w:val="auto"/>
              </w:rPr>
            </w:pPr>
          </w:p>
        </w:tc>
      </w:tr>
      <w:tr>
        <w:trPr>
          <w:trHeight w:val="223"/>
        </w:trPr>
        <w:tc>
          <w:tcPr>
            <w:tcW w:w="3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3.5% (Target)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125%</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125%</w:t>
            </w:r>
          </w:p>
        </w:tc>
        <w:tc>
          <w:tcPr>
            <w:tcW w:w="0" w:type="dxa"/>
            <w:vAlign w:val="bottom"/>
          </w:tcPr>
          <w:p>
            <w:pPr>
              <w:spacing w:after="0"/>
              <w:rPr>
                <w:sz w:val="1"/>
                <w:szCs w:val="1"/>
                <w:color w:val="auto"/>
              </w:rPr>
            </w:pPr>
          </w:p>
        </w:tc>
      </w:tr>
      <w:tr>
        <w:trPr>
          <w:trHeight w:val="223"/>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175%</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175%</w:t>
            </w:r>
          </w:p>
        </w:tc>
        <w:tc>
          <w:tcPr>
            <w:tcW w:w="0" w:type="dxa"/>
            <w:vAlign w:val="bottom"/>
          </w:tcPr>
          <w:p>
            <w:pPr>
              <w:spacing w:after="0"/>
              <w:rPr>
                <w:sz w:val="1"/>
                <w:szCs w:val="1"/>
                <w:color w:val="auto"/>
              </w:rPr>
            </w:pP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200%</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200%</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2023 STIP Awards. </w:t>
      </w:r>
      <w:r>
        <w:rPr>
          <w:rFonts w:ascii="Times New Roman" w:cs="Times New Roman" w:eastAsia="Times New Roman" w:hAnsi="Times New Roman"/>
          <w:sz w:val="19"/>
          <w:szCs w:val="19"/>
          <w:color w:val="auto"/>
        </w:rPr>
        <w:t>For purposes of the NEOs’ bonuses pursuant to the STIP, the PBT Margin for 2023 was determined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Compensation Committee in accordance with the Company’s audited financial statements. Following the end of 2023, the Compensation Committee determined the Company’s STIP achievement was 50% based on a PBT Margin of 2.5%. For these purposes, the Compensation Committee determined to exclude certain non-recurring expenses such as the settlement agreements relating to broiler chicken antitrust litigation and losses on early extinguishment of debt for fiscal year 2023. For more information about how PBT Margin is calculated from our audited financial statements, see Annex A at the end of this proxy statement.</w:t>
      </w:r>
    </w:p>
    <w:p>
      <w:pPr>
        <w:spacing w:after="0" w:line="127" w:lineRule="exact"/>
        <w:rPr>
          <w:sz w:val="20"/>
          <w:szCs w:val="20"/>
          <w:color w:val="auto"/>
        </w:rPr>
      </w:pPr>
    </w:p>
    <w:p>
      <w:pPr>
        <w:jc w:val="both"/>
        <w:ind w:firstLine="631"/>
        <w:spacing w:after="0" w:line="281" w:lineRule="auto"/>
        <w:rPr>
          <w:sz w:val="20"/>
          <w:szCs w:val="20"/>
          <w:color w:val="auto"/>
        </w:rPr>
      </w:pPr>
      <w:r>
        <w:rPr>
          <w:rFonts w:ascii="Times New Roman" w:cs="Times New Roman" w:eastAsia="Times New Roman" w:hAnsi="Times New Roman"/>
          <w:sz w:val="19"/>
          <w:szCs w:val="19"/>
          <w:color w:val="auto"/>
        </w:rPr>
        <w:t>Consequently, after a review of the PBT Margin and individual goals for 2023, the Compensation Committee awarded Mr. Sandri a cash bonus of $1,000,000 and Mr. Galvanoni a cash bonus of $300,000 under the 2023 STIP, which both include discretionary amounts.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Long-Term Incentive Compensation</w:t>
      </w:r>
    </w:p>
    <w:p>
      <w:pPr>
        <w:spacing w:after="0" w:line="163"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The Company maintains the 2019 Long-Term Incentive Plan, which is administered by the Compensation Committee. The 2019 Long-Term Incentive Plan was approved by our stockholders at the 2019 Annual Stockholders Meeting. The programs described below describe the terms of our equity awards made pursuant to the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2023 Long-Term Incentive Program</w:t>
      </w:r>
    </w:p>
    <w:p>
      <w:pPr>
        <w:spacing w:after="0" w:line="178" w:lineRule="exact"/>
        <w:rPr>
          <w:sz w:val="20"/>
          <w:szCs w:val="20"/>
          <w:color w:val="auto"/>
        </w:rPr>
      </w:pPr>
    </w:p>
    <w:p>
      <w:pPr>
        <w:jc w:val="both"/>
        <w:ind w:firstLine="631"/>
        <w:spacing w:after="0" w:line="258" w:lineRule="auto"/>
        <w:rPr>
          <w:sz w:val="20"/>
          <w:szCs w:val="20"/>
          <w:color w:val="auto"/>
        </w:rPr>
      </w:pPr>
      <w:r>
        <w:rPr>
          <w:rFonts w:ascii="Times New Roman" w:cs="Times New Roman" w:eastAsia="Times New Roman" w:hAnsi="Times New Roman"/>
          <w:sz w:val="19"/>
          <w:szCs w:val="19"/>
          <w:color w:val="auto"/>
        </w:rPr>
        <w:t>For fiscal year 2023 compensation, the Compensation Committee adopted the 2023 Long-Term Incentive Program (the “2023 Program”) under the Plan. Grants of target amounts of performance-based RSUs were made to Messrs. Sandri and Galvanoni in March 2023 under the 2023 Program. The purpose of the 2023 Program is to demonstrate improvement against our competitors in the industry. Under the 2023 Program, participants received target awards equal to a specified percentage of their base salary, with such awards being converted to RSUs depending on the Company’s achievement of the performance goals under the 2023 Program. Following the one-year performance period ended December 31, 2023, the RSUs that were earned vest ratably over a three-year service period and settle on December 31, 2024, December 31, 2025 and December 31, 2026. When each RSU vests, it converts to one share of the Company’s common stock. Messrs. Sandri and Galvanoni participated in the 2023 Program.</w:t>
      </w:r>
    </w:p>
    <w:p>
      <w:pPr>
        <w:spacing w:after="0" w:line="117" w:lineRule="exact"/>
        <w:rPr>
          <w:sz w:val="20"/>
          <w:szCs w:val="20"/>
          <w:color w:val="auto"/>
        </w:rPr>
      </w:pPr>
    </w:p>
    <w:p>
      <w:pPr>
        <w:jc w:val="both"/>
        <w:ind w:firstLine="631"/>
        <w:spacing w:after="0" w:line="279" w:lineRule="auto"/>
        <w:rPr>
          <w:sz w:val="20"/>
          <w:szCs w:val="20"/>
          <w:color w:val="auto"/>
        </w:rPr>
      </w:pPr>
      <w:r>
        <w:rPr>
          <w:rFonts w:ascii="Times New Roman" w:cs="Times New Roman" w:eastAsia="Times New Roman" w:hAnsi="Times New Roman"/>
          <w:sz w:val="19"/>
          <w:szCs w:val="19"/>
          <w:i w:val="1"/>
          <w:iCs w:val="1"/>
          <w:color w:val="auto"/>
        </w:rPr>
        <w:t xml:space="preserve">Performance Metrics for 2023 Program. </w:t>
      </w:r>
      <w:r>
        <w:rPr>
          <w:rFonts w:ascii="Times New Roman" w:cs="Times New Roman" w:eastAsia="Times New Roman" w:hAnsi="Times New Roman"/>
          <w:sz w:val="19"/>
          <w:szCs w:val="19"/>
          <w:color w:val="auto"/>
        </w:rPr>
        <w:t>The Compensation Committee selected performance goals for the 2023 Program to measure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Company’s profitability as compared to the profitability of specified competitors in the Company’s three geographic business segments—the U.S., Mexico and the U.K. and Europe.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29" w:name="page30"/>
    <w:bookmarkEnd w:id="29"/>
    <w:p>
      <w:pPr>
        <w:jc w:val="both"/>
        <w:ind w:left="640" w:hanging="319"/>
        <w:spacing w:after="0" w:line="262" w:lineRule="auto"/>
        <w:tabs>
          <w:tab w:leader="none" w:pos="62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U.S. Business Segment Performance Metric: </w:t>
      </w:r>
      <w:r>
        <w:rPr>
          <w:rFonts w:ascii="Times New Roman" w:cs="Times New Roman" w:eastAsia="Times New Roman" w:hAnsi="Times New Roman"/>
          <w:sz w:val="19"/>
          <w:szCs w:val="19"/>
          <w:color w:val="auto"/>
        </w:rPr>
        <w:t>The profitability metric selected by the Compensation Committee for the U.S. business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segment is earnings before interest and taxes (“EBIT”) per processed pound, which is calculated as EBIT divided by the pounds of chicken products produced over the same period. The Compensation Committee selected a performance goal that compared EBIT per processed pound generated by our U.S. geographic business segment in 2023 to the average EBIT per processed pound generated in 2023 by the 21 U.S. poultry companies reported by Agri Stats, Inc. (the “Agri Stats Survey”).</w:t>
      </w:r>
    </w:p>
    <w:p>
      <w:pPr>
        <w:spacing w:after="0" w:line="121" w:lineRule="exact"/>
        <w:rPr>
          <w:rFonts w:ascii="Times New Roman" w:cs="Times New Roman" w:eastAsia="Times New Roman" w:hAnsi="Times New Roman"/>
          <w:sz w:val="19"/>
          <w:szCs w:val="19"/>
          <w:color w:val="auto"/>
        </w:rPr>
      </w:pPr>
    </w:p>
    <w:p>
      <w:pPr>
        <w:jc w:val="both"/>
        <w:ind w:left="640" w:hanging="319"/>
        <w:spacing w:after="0" w:line="267"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i w:val="1"/>
          <w:iCs w:val="1"/>
          <w:color w:val="auto"/>
        </w:rPr>
        <w:t xml:space="preserve">Mexico Business Segment Performance Metric: </w:t>
      </w:r>
      <w:r>
        <w:rPr>
          <w:rFonts w:ascii="Times New Roman" w:cs="Times New Roman" w:eastAsia="Times New Roman" w:hAnsi="Times New Roman"/>
          <w:sz w:val="19"/>
          <w:szCs w:val="19"/>
          <w:color w:val="auto"/>
        </w:rPr>
        <w:t>The profitability metric selected by the Compensation Committee for the Mexico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geographic business segment is EBIT margin, which is calculated as EBIT divided by net sales. The Compensation Committee selected a performance goal that compared EBIT margin generated by our Mexico geographic business segment in 2023 to the EBIT margin generated by Industrias Bachoco S.A.B. de C.V., a regional competitor, in 2023.</w:t>
      </w:r>
    </w:p>
    <w:p>
      <w:pPr>
        <w:spacing w:after="0" w:line="105" w:lineRule="exact"/>
        <w:rPr>
          <w:rFonts w:ascii="Times New Roman" w:cs="Times New Roman" w:eastAsia="Times New Roman" w:hAnsi="Times New Roman"/>
          <w:sz w:val="18"/>
          <w:szCs w:val="18"/>
          <w:color w:val="auto"/>
        </w:rPr>
      </w:pPr>
    </w:p>
    <w:p>
      <w:pPr>
        <w:jc w:val="both"/>
        <w:ind w:left="640" w:hanging="319"/>
        <w:spacing w:after="0" w:line="267" w:lineRule="auto"/>
        <w:tabs>
          <w:tab w:leader="none" w:pos="62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U.K. and Europe Business Segment Performance Metric: </w:t>
      </w:r>
      <w:r>
        <w:rPr>
          <w:rFonts w:ascii="Times New Roman" w:cs="Times New Roman" w:eastAsia="Times New Roman" w:hAnsi="Times New Roman"/>
          <w:sz w:val="19"/>
          <w:szCs w:val="19"/>
          <w:color w:val="auto"/>
        </w:rPr>
        <w:t>The profitability metric selected by the Compensation Committee for the U.K.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Europe geographic business segment is EBIT margin, which is calculated as EBIT divided by net sales. The Compensation Committee selected a performance goal that compared EBIT margin generated by our U.K. and Europe geographic business segment to the average EBIT margin generated by Cranswick plc, 2 Sisters Food Group Limited, and Bakkavor Group plc, three regional competitors, in 2023.</w:t>
      </w:r>
    </w:p>
    <w:p>
      <w:pPr>
        <w:spacing w:after="0" w:line="344" w:lineRule="exact"/>
        <w:rPr>
          <w:sz w:val="20"/>
          <w:szCs w:val="20"/>
          <w:color w:val="auto"/>
        </w:rPr>
      </w:pPr>
    </w:p>
    <w:p>
      <w:pPr>
        <w:jc w:val="both"/>
        <w:ind w:firstLine="631"/>
        <w:spacing w:after="0" w:line="265" w:lineRule="auto"/>
        <w:rPr>
          <w:sz w:val="20"/>
          <w:szCs w:val="20"/>
          <w:color w:val="auto"/>
        </w:rPr>
      </w:pPr>
      <w:r>
        <w:rPr>
          <w:rFonts w:ascii="Times New Roman" w:cs="Times New Roman" w:eastAsia="Times New Roman" w:hAnsi="Times New Roman"/>
          <w:sz w:val="19"/>
          <w:szCs w:val="19"/>
          <w:color w:val="auto"/>
        </w:rPr>
        <w:t>In evaluating the selection of the specified key competitors identified above, the Compensation Committee considered the financial comparative appropriateness of the Company’s competitors in Mexico and the U.K. and Europe. The Compensation Committee chose the EBIT per processed pound metric under the Agri Stats Survey and the EBIT margin metric for Mexico and the U.K. and Europe because they provide a direct link between a NEO’s compensation and company performance, assessed in light of relevant peer companies and any positive and negative adjustments for unexpected market conditions.</w:t>
      </w:r>
    </w:p>
    <w:p>
      <w:pPr>
        <w:spacing w:after="0" w:line="106"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2023 Program Grants. </w:t>
      </w:r>
      <w:r>
        <w:rPr>
          <w:rFonts w:ascii="Times New Roman" w:cs="Times New Roman" w:eastAsia="Times New Roman" w:hAnsi="Times New Roman"/>
          <w:sz w:val="19"/>
          <w:szCs w:val="19"/>
          <w:color w:val="auto"/>
        </w:rPr>
        <w:t>In March 2023, Messrs. Sandri and Galvanoni were granted performance-based awards under the 2023 Program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would be settled in RSUs if the awards were earned. The target award for Mr. Sandri was 37,657 RSUs and for Mr. Galvanoni was 20,921 RSUs. Each NEO was entitled to receive a weighted percentage of his target award based on the Company’s achievement in each geographic business segment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Segment</w:t>
            </w:r>
          </w:p>
        </w:tc>
        <w:tc>
          <w:tcPr>
            <w:tcW w:w="8080" w:type="dxa"/>
            <w:vAlign w:val="bottom"/>
            <w:gridSpan w:val="4"/>
          </w:tcPr>
          <w:p>
            <w:pPr>
              <w:jc w:val="center"/>
              <w:ind w:right="6095"/>
              <w:spacing w:after="0"/>
              <w:rPr>
                <w:sz w:val="20"/>
                <w:szCs w:val="20"/>
                <w:color w:val="auto"/>
              </w:rPr>
            </w:pPr>
            <w:r>
              <w:rPr>
                <w:rFonts w:ascii="Times New Roman" w:cs="Times New Roman" w:eastAsia="Times New Roman" w:hAnsi="Times New Roman"/>
                <w:sz w:val="16"/>
                <w:szCs w:val="16"/>
                <w:b w:val="1"/>
                <w:bCs w:val="1"/>
                <w:color w:val="auto"/>
                <w:w w:val="99"/>
              </w:rPr>
              <w:t>Geographic Segment</w:t>
            </w:r>
          </w:p>
        </w:tc>
        <w:tc>
          <w:tcPr>
            <w:tcW w:w="0" w:type="dxa"/>
            <w:vAlign w:val="bottom"/>
          </w:tcPr>
          <w:p>
            <w:pPr>
              <w:spacing w:after="0"/>
              <w:rPr>
                <w:sz w:val="1"/>
                <w:szCs w:val="1"/>
                <w:color w:val="auto"/>
              </w:rPr>
            </w:pPr>
          </w:p>
        </w:tc>
      </w:tr>
      <w:tr>
        <w:trPr>
          <w:trHeight w:val="209"/>
        </w:trPr>
        <w:tc>
          <w:tcPr>
            <w:tcW w:w="3120" w:type="dxa"/>
            <w:vAlign w:val="bottom"/>
            <w:gridSpan w:val="2"/>
            <w:vMerge w:val="continue"/>
          </w:tcPr>
          <w:p>
            <w:pPr>
              <w:spacing w:after="0"/>
              <w:rPr>
                <w:sz w:val="18"/>
                <w:szCs w:val="18"/>
                <w:color w:val="auto"/>
              </w:rPr>
            </w:pPr>
          </w:p>
        </w:tc>
        <w:tc>
          <w:tcPr>
            <w:tcW w:w="1440" w:type="dxa"/>
            <w:vAlign w:val="bottom"/>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w w:val="97"/>
              </w:rPr>
              <w:t>Weighted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tcPr>
          <w:p>
            <w:pPr>
              <w:ind w:left="2280"/>
              <w:spacing w:after="0"/>
              <w:rPr>
                <w:sz w:val="20"/>
                <w:szCs w:val="20"/>
                <w:color w:val="auto"/>
              </w:rPr>
            </w:pPr>
            <w:r>
              <w:rPr>
                <w:rFonts w:ascii="Times New Roman" w:cs="Times New Roman" w:eastAsia="Times New Roman" w:hAnsi="Times New Roman"/>
                <w:sz w:val="16"/>
                <w:szCs w:val="16"/>
                <w:b w:val="1"/>
                <w:bCs w:val="1"/>
                <w:color w:val="auto"/>
              </w:rPr>
              <w:t>Performance Measure</w:t>
            </w:r>
          </w:p>
        </w:tc>
        <w:tc>
          <w:tcPr>
            <w:tcW w:w="0" w:type="dxa"/>
            <w:vAlign w:val="bottom"/>
          </w:tcPr>
          <w:p>
            <w:pPr>
              <w:spacing w:after="0"/>
              <w:rPr>
                <w:sz w:val="1"/>
                <w:szCs w:val="1"/>
                <w:color w:val="auto"/>
              </w:rPr>
            </w:pPr>
          </w:p>
        </w:tc>
      </w:tr>
      <w:tr>
        <w:trPr>
          <w:trHeight w:val="217"/>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65 %</w:t>
            </w:r>
          </w:p>
        </w:tc>
        <w:tc>
          <w:tcPr>
            <w:tcW w:w="120" w:type="dxa"/>
            <w:vAlign w:val="bottom"/>
            <w:tcBorders>
              <w:top w:val="single" w:sz="8" w:color="CCEEFF"/>
            </w:tcBorders>
            <w:shd w:val="clear" w:color="auto" w:fill="CCEEFF"/>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 per processed pound (in cents) as reported in the Agri Stats Survey</w:t>
            </w:r>
          </w:p>
        </w:tc>
        <w:tc>
          <w:tcPr>
            <w:tcW w:w="0" w:type="dxa"/>
            <w:vAlign w:val="bottom"/>
          </w:tcPr>
          <w:p>
            <w:pPr>
              <w:spacing w:after="0"/>
              <w:rPr>
                <w:sz w:val="1"/>
                <w:szCs w:val="1"/>
                <w:color w:val="auto"/>
              </w:rPr>
            </w:pPr>
          </w:p>
        </w:tc>
      </w:tr>
      <w:tr>
        <w:trPr>
          <w:trHeight w:val="171"/>
        </w:trPr>
        <w:tc>
          <w:tcPr>
            <w:tcW w:w="312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Mexico</w:t>
            </w:r>
          </w:p>
        </w:tc>
        <w:tc>
          <w:tcPr>
            <w:tcW w:w="1440" w:type="dxa"/>
            <w:vAlign w:val="bottom"/>
          </w:tcPr>
          <w:p>
            <w:pPr>
              <w:spacing w:after="0"/>
              <w:rPr>
                <w:sz w:val="14"/>
                <w:szCs w:val="14"/>
                <w:color w:val="auto"/>
              </w:rPr>
            </w:pPr>
          </w:p>
        </w:tc>
        <w:tc>
          <w:tcPr>
            <w:tcW w:w="6640" w:type="dxa"/>
            <w:vAlign w:val="bottom"/>
            <w:gridSpan w:val="3"/>
          </w:tcPr>
          <w:p>
            <w:pPr>
              <w:ind w:left="80"/>
              <w:spacing w:after="0" w:line="171" w:lineRule="exact"/>
              <w:rPr>
                <w:sz w:val="20"/>
                <w:szCs w:val="20"/>
                <w:color w:val="auto"/>
              </w:rPr>
            </w:pPr>
            <w:r>
              <w:rPr>
                <w:rFonts w:ascii="Times New Roman" w:cs="Times New Roman" w:eastAsia="Times New Roman" w:hAnsi="Times New Roman"/>
                <w:sz w:val="18"/>
                <w:szCs w:val="18"/>
                <w:color w:val="auto"/>
                <w:w w:val="98"/>
              </w:rPr>
              <w:t>10 %  Percent performance of the Company’s EBIT margin relative to selected competitor’s</w:t>
            </w:r>
          </w:p>
        </w:tc>
        <w:tc>
          <w:tcPr>
            <w:tcW w:w="0" w:type="dxa"/>
            <w:vAlign w:val="bottom"/>
          </w:tcPr>
          <w:p>
            <w:pPr>
              <w:spacing w:after="0"/>
              <w:rPr>
                <w:sz w:val="1"/>
                <w:szCs w:val="1"/>
                <w:color w:val="auto"/>
              </w:rPr>
            </w:pPr>
          </w:p>
        </w:tc>
      </w:tr>
      <w:tr>
        <w:trPr>
          <w:trHeight w:val="232"/>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reported results for fiscal year 2023</w:t>
            </w:r>
          </w:p>
        </w:tc>
        <w:tc>
          <w:tcPr>
            <w:tcW w:w="0" w:type="dxa"/>
            <w:vAlign w:val="bottom"/>
          </w:tcPr>
          <w:p>
            <w:pPr>
              <w:spacing w:after="0"/>
              <w:rPr>
                <w:sz w:val="1"/>
                <w:szCs w:val="1"/>
                <w:color w:val="auto"/>
              </w:rPr>
            </w:pPr>
          </w:p>
        </w:tc>
      </w:tr>
      <w:tr>
        <w:trPr>
          <w:trHeight w:val="175"/>
        </w:trPr>
        <w:tc>
          <w:tcPr>
            <w:tcW w:w="3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U.K. and Europe</w:t>
            </w:r>
          </w:p>
        </w:tc>
        <w:tc>
          <w:tcPr>
            <w:tcW w:w="1440" w:type="dxa"/>
            <w:vAlign w:val="bottom"/>
            <w:shd w:val="clear" w:color="auto" w:fill="CCEEFF"/>
          </w:tcPr>
          <w:p>
            <w:pPr>
              <w:spacing w:after="0"/>
              <w:rPr>
                <w:sz w:val="15"/>
                <w:szCs w:val="15"/>
                <w:color w:val="auto"/>
              </w:rPr>
            </w:pPr>
          </w:p>
        </w:tc>
        <w:tc>
          <w:tcPr>
            <w:tcW w:w="664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w w:val="98"/>
              </w:rPr>
              <w:t>25 %  Percent performance of the Company’s EBIT margin relative to selected competitors’</w:t>
            </w:r>
          </w:p>
        </w:tc>
        <w:tc>
          <w:tcPr>
            <w:tcW w:w="0" w:type="dxa"/>
            <w:vAlign w:val="bottom"/>
          </w:tcPr>
          <w:p>
            <w:pPr>
              <w:spacing w:after="0"/>
              <w:rPr>
                <w:sz w:val="1"/>
                <w:szCs w:val="1"/>
                <w:color w:val="auto"/>
              </w:rPr>
            </w:pPr>
          </w:p>
        </w:tc>
      </w:tr>
      <w:tr>
        <w:trPr>
          <w:trHeight w:val="237"/>
        </w:trPr>
        <w:tc>
          <w:tcPr>
            <w:tcW w:w="3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results for fiscal year 2023</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631"/>
        <w:spacing w:after="0" w:line="257" w:lineRule="auto"/>
        <w:rPr>
          <w:sz w:val="20"/>
          <w:szCs w:val="20"/>
          <w:color w:val="auto"/>
        </w:rPr>
      </w:pPr>
      <w:r>
        <w:rPr>
          <w:rFonts w:ascii="Times New Roman" w:cs="Times New Roman" w:eastAsia="Times New Roman" w:hAnsi="Times New Roman"/>
          <w:sz w:val="19"/>
          <w:szCs w:val="19"/>
          <w:color w:val="auto"/>
        </w:rPr>
        <w:t>For the 2023 Program, the Compensation Committee set the target level of performance of the Company’s U.S. operations at the average set forth in the Agri Stats Survey, or one-and-one-half cents per processed pound. For the determination of percent performance of the Company relative to its competitor in Mexico, the Compensation Committee set the target level of performance at 4.00% higher than the reported EBIT margin of the Company’s competitor based on historical performance and expectations for fiscal year 2023 performance. For the determination of percent performance of the Company relative to its competitors in the U.K. and Europe, the Compensation Committee set the target level at 0.75% higher than the average reported EBIT margin of the Company’s competitors listed above, based on historical performance and expectations for fiscal year 2023 performance. The Compensation Committee believes that these performance targets establish rigorous performance goals in each geographic business segment that are aligned with the Company’s short- and long-term operating and financial objectives.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9"/>
          <w:szCs w:val="19"/>
          <w:color w:val="auto"/>
        </w:rPr>
        <w:t>The following table sets forth the performance targets for the 2023 Program grants: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Payout Achievement Percentages</w:t>
            </w:r>
            <w:r>
              <w:rPr>
                <w:rFonts w:ascii="Times New Roman" w:cs="Times New Roman" w:eastAsia="Times New Roman" w:hAnsi="Times New Roman"/>
                <w:sz w:val="20"/>
                <w:szCs w:val="20"/>
                <w:b w:val="1"/>
                <w:bCs w:val="1"/>
                <w:color w:val="auto"/>
                <w:vertAlign w:val="superscript"/>
              </w:rPr>
              <w:t>(c)</w:t>
            </w: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Segment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50 %</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75 %</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125 %</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200 %</w:t>
            </w:r>
          </w:p>
        </w:tc>
      </w:tr>
      <w:tr>
        <w:trPr>
          <w:trHeight w:val="217"/>
        </w:trPr>
        <w:tc>
          <w:tcPr>
            <w:tcW w:w="3800" w:type="dxa"/>
            <w:vAlign w:val="bottom"/>
            <w:tcBorders>
              <w:top w:val="single" w:sz="8" w:color="auto"/>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22"/>
                <w:szCs w:val="22"/>
                <w:color w:val="auto"/>
                <w:vertAlign w:val="superscript"/>
              </w:rPr>
              <w:t>(a)</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390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Mexico</w:t>
            </w:r>
            <w:r>
              <w:rPr>
                <w:rFonts w:ascii="Times New Roman" w:cs="Times New Roman" w:eastAsia="Times New Roman" w:hAnsi="Times New Roman"/>
                <w:sz w:val="22"/>
                <w:szCs w:val="22"/>
                <w:color w:val="auto"/>
                <w:vertAlign w:val="superscript"/>
              </w:rPr>
              <w:t>(b)</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23"/>
        </w:trPr>
        <w:tc>
          <w:tcPr>
            <w:tcW w:w="390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U.K. and Europe</w:t>
            </w:r>
            <w:r>
              <w:rPr>
                <w:rFonts w:ascii="Times New Roman" w:cs="Times New Roman" w:eastAsia="Times New Roman" w:hAnsi="Times New Roman"/>
                <w:sz w:val="22"/>
                <w:szCs w:val="22"/>
                <w:color w:val="auto"/>
                <w:vertAlign w:val="superscript"/>
              </w:rPr>
              <w:t>(b)</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bl>
    <w:p>
      <w:pPr>
        <w:spacing w:after="0" w:line="65" w:lineRule="exact"/>
        <w:rPr>
          <w:sz w:val="20"/>
          <w:szCs w:val="20"/>
          <w:color w:val="auto"/>
        </w:rPr>
      </w:pPr>
    </w:p>
    <w:p>
      <w:pPr>
        <w:jc w:val="both"/>
        <w:ind w:left="320" w:hanging="315"/>
        <w:spacing w:after="0" w:line="257" w:lineRule="auto"/>
        <w:tabs>
          <w:tab w:leader="none" w:pos="31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 per processed pound above the average competition performance target (in cents). The payout achievement percentage described below is determined by comparing the EBIT per processed pound achieved by the Company’s U.S. operations in fiscal year 2023 to the EBIT per processed pound performance targets set forth in the table above.</w:t>
      </w:r>
    </w:p>
    <w:p>
      <w:pPr>
        <w:jc w:val="both"/>
        <w:ind w:left="320" w:hanging="315"/>
        <w:spacing w:after="0" w:line="250"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 percentage point differential in EBIT margin performance relative to competitors. The payout achievement percentage described below is determined by comparing the EBIT margin in fiscal year 2023 of the Company’s operations in Mexico or the U.K. and Europe, respectively, to the selected competitors’ EBIT margin and calculating the percentage point differential between the two EBIT margins. If the positive percentage point differential is achieved by the Company’s operations, then the payout percentage with respect to such achievement is determined by comparing such percentage point differential achieved for fiscal year 2023 to the percentage point differential targets set forth with respect to each geographic segment in the table above.</w:t>
      </w:r>
    </w:p>
    <w:p>
      <w:pPr>
        <w:spacing w:after="0" w:line="1" w:lineRule="exact"/>
        <w:rPr>
          <w:rFonts w:ascii="Times New Roman" w:cs="Times New Roman" w:eastAsia="Times New Roman" w:hAnsi="Times New Roman"/>
          <w:sz w:val="16"/>
          <w:szCs w:val="16"/>
          <w:color w:val="auto"/>
        </w:rPr>
      </w:pPr>
    </w:p>
    <w:p>
      <w:pPr>
        <w:ind w:left="320" w:hanging="315"/>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Payout percentage is a percentage of the target award corresponding to the achieved target set forth in the table.</w:t>
      </w:r>
    </w:p>
    <w:p>
      <w:pPr>
        <w:spacing w:after="0" w:line="149"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Messrs. Sandri and Galvanoni were entitled to receive a number of RSUs under the 2023 Program calculated as the approved target award multiplied by the weighted average payout amount determined by the level of payout achievement for each geographic segment, based on actual performance, rounded down to the nearest achievement metric with no proration between achievement levels. For Messrs. Sandri and Galvanoni, the payout achievement for the 2023 Program was calculated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80" w:type="dxa"/>
            <w:vAlign w:val="bottom"/>
          </w:tcPr>
          <w:p>
            <w:pPr>
              <w:jc w:val="center"/>
              <w:ind w:left="17"/>
              <w:spacing w:after="0"/>
              <w:rPr>
                <w:sz w:val="20"/>
                <w:szCs w:val="20"/>
                <w:color w:val="auto"/>
              </w:rPr>
            </w:pPr>
            <w:r>
              <w:rPr>
                <w:rFonts w:ascii="Times New Roman" w:cs="Times New Roman" w:eastAsia="Times New Roman" w:hAnsi="Times New Roman"/>
                <w:sz w:val="16"/>
                <w:szCs w:val="16"/>
                <w:b w:val="1"/>
                <w:bCs w:val="1"/>
                <w:color w:val="auto"/>
                <w:w w:val="97"/>
              </w:rPr>
              <w:t>2023 Payout</w:t>
            </w:r>
          </w:p>
        </w:tc>
        <w:tc>
          <w:tcPr>
            <w:tcW w:w="1860" w:type="dxa"/>
            <w:vAlign w:val="bottom"/>
            <w:vMerge w:val="restart"/>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Geographic Segment</w:t>
            </w:r>
          </w:p>
        </w:tc>
        <w:tc>
          <w:tcPr>
            <w:tcW w:w="1720" w:type="dxa"/>
            <w:vAlign w:val="bottom"/>
            <w:vMerge w:val="restart"/>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58"/>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Segment</w:t>
            </w:r>
          </w:p>
        </w:tc>
        <w:tc>
          <w:tcPr>
            <w:tcW w:w="2860" w:type="dxa"/>
            <w:vAlign w:val="bottom"/>
            <w:vMerge w:val="restart"/>
          </w:tcPr>
          <w:p>
            <w:pPr>
              <w:ind w:left="820"/>
              <w:spacing w:after="0"/>
              <w:rPr>
                <w:sz w:val="20"/>
                <w:szCs w:val="20"/>
                <w:color w:val="auto"/>
              </w:rPr>
            </w:pPr>
            <w:r>
              <w:rPr>
                <w:rFonts w:ascii="Times New Roman" w:cs="Times New Roman" w:eastAsia="Times New Roman" w:hAnsi="Times New Roman"/>
                <w:sz w:val="16"/>
                <w:szCs w:val="16"/>
                <w:b w:val="1"/>
                <w:bCs w:val="1"/>
                <w:color w:val="auto"/>
              </w:rPr>
              <w:t>Actual Performance</w:t>
            </w:r>
          </w:p>
        </w:tc>
        <w:tc>
          <w:tcPr>
            <w:tcW w:w="2080" w:type="dxa"/>
            <w:vAlign w:val="bottom"/>
          </w:tcPr>
          <w:p>
            <w:pPr>
              <w:jc w:val="center"/>
              <w:ind w:left="17"/>
              <w:spacing w:after="0" w:line="158" w:lineRule="exact"/>
              <w:rPr>
                <w:sz w:val="20"/>
                <w:szCs w:val="20"/>
                <w:color w:val="auto"/>
              </w:rPr>
            </w:pPr>
            <w:r>
              <w:rPr>
                <w:rFonts w:ascii="Times New Roman" w:cs="Times New Roman" w:eastAsia="Times New Roman" w:hAnsi="Times New Roman"/>
                <w:sz w:val="16"/>
                <w:szCs w:val="16"/>
                <w:b w:val="1"/>
                <w:bCs w:val="1"/>
                <w:color w:val="auto"/>
                <w:w w:val="96"/>
              </w:rPr>
              <w:t>Achievement</w:t>
            </w:r>
          </w:p>
        </w:tc>
        <w:tc>
          <w:tcPr>
            <w:tcW w:w="1860" w:type="dxa"/>
            <w:vAlign w:val="bottom"/>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680" w:type="dxa"/>
            <w:vAlign w:val="bottom"/>
            <w:gridSpan w:val="2"/>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2080" w:type="dxa"/>
            <w:vAlign w:val="bottom"/>
          </w:tcPr>
          <w:p>
            <w:pPr>
              <w:jc w:val="center"/>
              <w:ind w:left="17"/>
              <w:spacing w:after="0" w:line="210" w:lineRule="exact"/>
              <w:rPr>
                <w:sz w:val="20"/>
                <w:szCs w:val="20"/>
                <w:color w:val="auto"/>
              </w:rPr>
            </w:pPr>
            <w:r>
              <w:rPr>
                <w:rFonts w:ascii="Times New Roman" w:cs="Times New Roman" w:eastAsia="Times New Roman" w:hAnsi="Times New Roman"/>
                <w:sz w:val="16"/>
                <w:szCs w:val="16"/>
                <w:b w:val="1"/>
                <w:bCs w:val="1"/>
                <w:color w:val="auto"/>
                <w:w w:val="94"/>
              </w:rPr>
              <w:t>Percentage</w:t>
            </w:r>
            <w:r>
              <w:rPr>
                <w:rFonts w:ascii="Times New Roman" w:cs="Times New Roman" w:eastAsia="Times New Roman" w:hAnsi="Times New Roman"/>
                <w:sz w:val="20"/>
                <w:szCs w:val="20"/>
                <w:b w:val="1"/>
                <w:bCs w:val="1"/>
                <w:color w:val="auto"/>
                <w:w w:val="94"/>
                <w:vertAlign w:val="superscript"/>
              </w:rPr>
              <w:t>(a)</w:t>
            </w:r>
          </w:p>
        </w:tc>
        <w:tc>
          <w:tcPr>
            <w:tcW w:w="1860" w:type="dxa"/>
            <w:vAlign w:val="bottom"/>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Weighted %</w:t>
            </w:r>
          </w:p>
        </w:tc>
        <w:tc>
          <w:tcPr>
            <w:tcW w:w="1720" w:type="dxa"/>
            <w:vAlign w:val="bottom"/>
          </w:tcPr>
          <w:p>
            <w:pPr>
              <w:jc w:val="right"/>
              <w:ind w:right="475"/>
              <w:spacing w:after="0" w:line="210" w:lineRule="exact"/>
              <w:rPr>
                <w:sz w:val="20"/>
                <w:szCs w:val="20"/>
                <w:color w:val="auto"/>
              </w:rPr>
            </w:pPr>
            <w:r>
              <w:rPr>
                <w:rFonts w:ascii="Times New Roman" w:cs="Times New Roman" w:eastAsia="Times New Roman" w:hAnsi="Times New Roman"/>
                <w:sz w:val="16"/>
                <w:szCs w:val="16"/>
                <w:b w:val="1"/>
                <w:bCs w:val="1"/>
                <w:color w:val="auto"/>
              </w:rPr>
              <w:t>Payout</w:t>
            </w:r>
            <w:r>
              <w:rPr>
                <w:rFonts w:ascii="Times New Roman" w:cs="Times New Roman" w:eastAsia="Times New Roman" w:hAnsi="Times New Roman"/>
                <w:sz w:val="20"/>
                <w:szCs w:val="20"/>
                <w:b w:val="1"/>
                <w:bCs w:val="1"/>
                <w:color w:val="auto"/>
                <w:vertAlign w:val="superscript"/>
              </w:rPr>
              <w:t>(b)</w:t>
            </w:r>
          </w:p>
        </w:tc>
        <w:tc>
          <w:tcPr>
            <w:tcW w:w="0" w:type="dxa"/>
            <w:vAlign w:val="bottom"/>
          </w:tcPr>
          <w:p>
            <w:pPr>
              <w:spacing w:after="0"/>
              <w:rPr>
                <w:sz w:val="1"/>
                <w:szCs w:val="1"/>
                <w:color w:val="auto"/>
              </w:rPr>
            </w:pPr>
          </w:p>
        </w:tc>
      </w:tr>
      <w:tr>
        <w:trPr>
          <w:trHeight w:val="217"/>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 cents per processed pound</w:t>
            </w:r>
          </w:p>
        </w:tc>
        <w:tc>
          <w:tcPr>
            <w:tcW w:w="20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200 %</w:t>
            </w:r>
          </w:p>
        </w:tc>
        <w:tc>
          <w:tcPr>
            <w:tcW w:w="18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65 %</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Did not meet payout threshold</w:t>
            </w:r>
          </w:p>
        </w:tc>
        <w:tc>
          <w:tcPr>
            <w:tcW w:w="20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0 %</w:t>
            </w:r>
          </w:p>
        </w:tc>
        <w:tc>
          <w:tcPr>
            <w:tcW w:w="1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10 %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and Europe</w:t>
            </w: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Did not meet payout threshold</w:t>
            </w:r>
          </w:p>
        </w:tc>
        <w:tc>
          <w:tcPr>
            <w:tcW w:w="2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0 %</w:t>
            </w:r>
          </w:p>
        </w:tc>
        <w:tc>
          <w:tcPr>
            <w:tcW w:w="18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25 %</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7"/>
        </w:trPr>
        <w:tc>
          <w:tcPr>
            <w:tcW w:w="2680" w:type="dxa"/>
            <w:vAlign w:val="bottom"/>
            <w:gridSpan w:val="2"/>
          </w:tcPr>
          <w:p>
            <w:pPr>
              <w:ind w:left="20"/>
              <w:spacing w:after="0" w:line="217" w:lineRule="exact"/>
              <w:rPr>
                <w:sz w:val="20"/>
                <w:szCs w:val="20"/>
                <w:color w:val="auto"/>
              </w:rPr>
            </w:pPr>
            <w:r>
              <w:rPr>
                <w:rFonts w:ascii="Times New Roman" w:cs="Times New Roman" w:eastAsia="Times New Roman" w:hAnsi="Times New Roman"/>
                <w:sz w:val="18"/>
                <w:szCs w:val="18"/>
                <w:color w:val="auto"/>
              </w:rPr>
              <w:t>Total Payout Achievement</w:t>
            </w:r>
            <w:r>
              <w:rPr>
                <w:rFonts w:ascii="Times New Roman" w:cs="Times New Roman" w:eastAsia="Times New Roman" w:hAnsi="Times New Roman"/>
                <w:sz w:val="22"/>
                <w:szCs w:val="22"/>
                <w:color w:val="auto"/>
                <w:vertAlign w:val="superscript"/>
              </w:rPr>
              <w:t>(c)</w:t>
            </w:r>
          </w:p>
        </w:tc>
        <w:tc>
          <w:tcPr>
            <w:tcW w:w="2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320" w:hanging="315"/>
        <w:spacing w:after="0" w:line="265" w:lineRule="auto"/>
        <w:tabs>
          <w:tab w:leader="none" w:pos="31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Payout achievement percentage was the payout percentage achieved for each geographic segment in 2023, based on actual performance rounded down to the nearest achievement metric with no proration between achievement levels.</w:t>
      </w:r>
    </w:p>
    <w:p>
      <w:pPr>
        <w:spacing w:after="0" w:line="1" w:lineRule="exact"/>
        <w:rPr>
          <w:rFonts w:ascii="Times New Roman" w:cs="Times New Roman" w:eastAsia="Times New Roman" w:hAnsi="Times New Roman"/>
          <w:sz w:val="16"/>
          <w:szCs w:val="16"/>
          <w:color w:val="auto"/>
        </w:rPr>
      </w:pPr>
    </w:p>
    <w:p>
      <w:pPr>
        <w:ind w:left="320" w:hanging="315"/>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payout is determined by the payout achievement multiplied by the geographic segment weighted percentage.</w:t>
      </w:r>
    </w:p>
    <w:p>
      <w:pPr>
        <w:spacing w:after="0" w:line="22" w:lineRule="exact"/>
        <w:rPr>
          <w:rFonts w:ascii="Times New Roman" w:cs="Times New Roman" w:eastAsia="Times New Roman" w:hAnsi="Times New Roman"/>
          <w:sz w:val="16"/>
          <w:szCs w:val="16"/>
          <w:color w:val="auto"/>
        </w:rPr>
      </w:pPr>
    </w:p>
    <w:p>
      <w:pPr>
        <w:ind w:left="320" w:hanging="315"/>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payout achievement is the sum of the weighted average payouts for all three geographic segments.</w:t>
      </w:r>
    </w:p>
    <w:p>
      <w:pPr>
        <w:spacing w:after="0" w:line="153"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On February 20, 2024, the Compensation Committee determined that the performance conditions pertaining to the 2023 Program target awards were achieved at 130% of the approved 2023 Program targets. This resulted in 48,954 RSUs awarded to Mr. Sandri and 27,197 RSUs awarded to Mr. Galvanoni that will vest ratably over a three-year service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2024 Long-Term Incentive Program</w:t>
      </w:r>
    </w:p>
    <w:p>
      <w:pPr>
        <w:spacing w:after="0" w:line="178"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For fiscal year 2024 compensation, the Compensation Committee adopted the 2024 Long-Term Incentive Program (the “2024 Program”) under the Plan. Grants under the 2024 Program were made to Messrs. Sandri and Galvanoni in January 2024. Following a one-year performance period ending December 31, 2024, RSUs that are earned based on 2024 performance will vest ratably over a three-year service period and settle on each of December 31, 2025, December 31, 2026 and December 31, 2027.</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Retirement, Health and Welfare Benefit Plans</w:t>
      </w:r>
    </w:p>
    <w:p>
      <w:pPr>
        <w:spacing w:after="0" w:line="174"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401(k) Salary Deferral Plan. </w:t>
      </w:r>
      <w:r>
        <w:rPr>
          <w:rFonts w:ascii="Times New Roman" w:cs="Times New Roman" w:eastAsia="Times New Roman" w:hAnsi="Times New Roman"/>
          <w:sz w:val="19"/>
          <w:szCs w:val="19"/>
          <w:color w:val="auto"/>
        </w:rPr>
        <w:t>Our NEOs receive no special employee benefits. During 2023, our NEOs were eligible to participate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same basis as other employees in the Company’s 401(k) salary deferral plan (the “401(k) Plan”). Contributions to the 401(k) Plan are made up of a 30% matching contribution on the first 6% of pay to the extent such contributions are not in excess of the Internal Revenue Code limits on contributions to 401(k) plans. Due to their status as highly compensated employees, our NEOs are only able to contribute up to 2% of their base salaries. Under the 401(k) Plan, the Company may make additional matching contributions or other profit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9"/>
          <w:szCs w:val="19"/>
          <w:color w:val="auto"/>
        </w:rPr>
        <w:t>sharing contributions at its discretion. There were no discretionary contributions in 2023. We do not have any other pension plan for our NEOs.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2023, Messrs. Sandri and Galvanoni both participated in the 401(k) Plan.</w:t>
      </w:r>
    </w:p>
    <w:p>
      <w:pPr>
        <w:spacing w:after="0" w:line="146" w:lineRule="exact"/>
        <w:rPr>
          <w:sz w:val="20"/>
          <w:szCs w:val="20"/>
          <w:color w:val="auto"/>
        </w:rPr>
      </w:pPr>
    </w:p>
    <w:p>
      <w:pPr>
        <w:jc w:val="both"/>
        <w:ind w:firstLine="631"/>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Nonqualified Deferred Compensation. </w:t>
      </w:r>
      <w:r>
        <w:rPr>
          <w:rFonts w:ascii="Times New Roman" w:cs="Times New Roman" w:eastAsia="Times New Roman" w:hAnsi="Times New Roman"/>
          <w:sz w:val="19"/>
          <w:szCs w:val="19"/>
          <w:color w:val="auto"/>
        </w:rPr>
        <w:t>The Company sponsors the Pilgrim’s Pride Corporation 2015 Deferred Compensation Plan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“Deferred Compensation Plan”) to help provide for the long-term financial security of our U.S. employees who meet the Internal Revenue Service definition of a “highly compensated employee,” which includes our NEOs and certain other key personnel. Under the Deferred Compensation Plan, participants may elect to defer up to 80% of their base salary and/or up to 80% of their annual cash bonus payment as part of their personal retirement or financial planning. Highly compensated employees who elect to defer compensation in the Deferred Compensation Plan must do so annually prior to the beginning of each calendar year and may direct the investment of the amount deferred and retained by us. The Deferred Compensation Plan is administered by the administrative committee appointed by our Board, and deferred compensation may be invested in authorized funds which are similar to the investment options available under our 401(k) Plan. Under the Deferred Compensation Plan, the Company may make additional matching contributions at its discretion and currently makes a matching contribution of up to 40% on the first 3% of pay. In 2023, Messrs. Sandri and Galvanoni both participated in the Deferred Compensation Plan.</w:t>
      </w:r>
    </w:p>
    <w:p>
      <w:pPr>
        <w:spacing w:after="0" w:line="113"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Health and Welfare Benefit Plans. </w:t>
      </w:r>
      <w:r>
        <w:rPr>
          <w:rFonts w:ascii="Times New Roman" w:cs="Times New Roman" w:eastAsia="Times New Roman" w:hAnsi="Times New Roman"/>
          <w:sz w:val="19"/>
          <w:szCs w:val="19"/>
          <w:color w:val="auto"/>
        </w:rPr>
        <w:t>The Company also provides a variety of health and welfare benefit plans to all eligible employees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offer employees and their families protection against catastrophic loss and to encourage healthy lifestyles. The health and welfare programs include medical, wellness, pharmacy, dental, vision, life insurance and accidental death and disability. Our NEOs generally are eligible for the same benefit programs on the same basis as our other domestic employees.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Perquisites and Other Personal Benefits</w:t>
      </w:r>
    </w:p>
    <w:p>
      <w:pPr>
        <w:spacing w:after="0" w:line="163"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The Company provides certain limited perquisites and other personal benefits that we believe to be reasonable and consistent with our overall compensation program to better enable us to attract and retain competent executives for key positions. The Compensation Committee considers all and periodically reviews the levels of perquisites and other personal benefits in establishing the total compensation of our executive officers. During 2023, our NEOs were eligible to receive company-paid or company-subsidized life insurance and disability coverage on the same basis as our other U.S. employees. The Compensation Committee considered these perquisites and other personal benefits as essential and consistent with market practice in order to induce our NEOs to remain with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Severance Plan</w:t>
      </w:r>
    </w:p>
    <w:p>
      <w:pPr>
        <w:spacing w:after="0" w:line="167" w:lineRule="exact"/>
        <w:rPr>
          <w:sz w:val="20"/>
          <w:szCs w:val="20"/>
          <w:color w:val="auto"/>
        </w:rPr>
      </w:pPr>
    </w:p>
    <w:p>
      <w:pPr>
        <w:jc w:val="both"/>
        <w:ind w:firstLine="631"/>
        <w:spacing w:after="0" w:line="257" w:lineRule="auto"/>
        <w:rPr>
          <w:sz w:val="20"/>
          <w:szCs w:val="20"/>
          <w:color w:val="auto"/>
        </w:rPr>
      </w:pPr>
      <w:r>
        <w:rPr>
          <w:rFonts w:ascii="Times New Roman" w:cs="Times New Roman" w:eastAsia="Times New Roman" w:hAnsi="Times New Roman"/>
          <w:sz w:val="19"/>
          <w:szCs w:val="19"/>
          <w:color w:val="auto"/>
        </w:rPr>
        <w:t>The Company maintains the Pilgrim’s Pride Corporation Severance Plan (the “Severance Plan”) which provides severance payments to eligible employees if employment was terminated “without cause.” The Severance Plan does not cover termination due to death, disability or retirement, termination for cause or termination at the end of the leave of absence that exceeded the maximum permitted by the Company. Under the Severance Plan, in exchange for signing an enforceable waiver and release agreement, upon termination without cause, an NEO is entitled to receive as severance pay an amount equal to: 16 weeks of base pay plus two weeks of base pay per year of service in excess of two years up to a maximum of 52 weeks of base pay. In addition, if the Company provided less than two-weeks’ notice of termination without cause, an executive officer would have been entitled to up to two additional weeks of base pay in lieu of notice. Additional benefits available to eligible employees under the Severance Plan include career transition services as determined by the Company, including without limitation, written materials, company-sponsored training and job fairs. The terms of each NEO’s compensation do not provide for any change-in-control or retirement arrangements other than the vesting of RSUs granted to them under the Plan under certain circumstances in the case of a “change-in-control.” See the “2023 Potential Payments Upon Termination or Change-in-Control” table for additional information regarding the severance payable to our NEOs.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Policy on Hedging</w:t>
      </w:r>
    </w:p>
    <w:p>
      <w:pPr>
        <w:spacing w:after="0" w:line="18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The Company strongly discourages directors, officers and employees from engaging in hedging and monetization transactions with respect to Company securities. Hedging or monetization transactions can be accomplished through the use of various financial instruments, including prepaid variable forwards, equity swaps,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2" w:name="page33"/>
    <w:bookmarkEnd w:id="32"/>
    <w:p>
      <w:pPr>
        <w:jc w:val="both"/>
        <w:spacing w:after="0" w:line="267" w:lineRule="auto"/>
        <w:rPr>
          <w:sz w:val="20"/>
          <w:szCs w:val="20"/>
          <w:color w:val="auto"/>
        </w:rPr>
      </w:pPr>
      <w:r>
        <w:rPr>
          <w:rFonts w:ascii="Times New Roman" w:cs="Times New Roman" w:eastAsia="Times New Roman" w:hAnsi="Times New Roman"/>
          <w:sz w:val="19"/>
          <w:szCs w:val="19"/>
          <w:color w:val="auto"/>
        </w:rPr>
        <w:t>collars and exchange funds. These transactions may permit continued ownership of the Company’s securities obtained through employee benefit plans or otherwise without the full risks and rewards of ownership. Any director, officer or employee wishing to enter into such an arrangement must first obtain pre-clearance from the Company’s CFO. However, if any hedging transaction is considered a short-sale under Company policy, then it is prohibited.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Policy on Pledging</w:t>
      </w:r>
    </w:p>
    <w:p>
      <w:pPr>
        <w:spacing w:after="0" w:line="18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The Company also strongly discourages directors, officers and employees from holding Company securities in a margin account or pledging such securities as collateral. Consequently, any director, officer or employee wishing to enter into such an arrangement must first obtain pre-clearance from the CFO.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Clawback Policy</w:t>
      </w:r>
    </w:p>
    <w:p>
      <w:pPr>
        <w:spacing w:after="0" w:line="167" w:lineRule="exact"/>
        <w:rPr>
          <w:sz w:val="20"/>
          <w:szCs w:val="20"/>
          <w:color w:val="auto"/>
        </w:rPr>
      </w:pPr>
    </w:p>
    <w:p>
      <w:pPr>
        <w:jc w:val="both"/>
        <w:ind w:firstLine="631"/>
        <w:spacing w:after="0" w:line="259" w:lineRule="auto"/>
        <w:rPr>
          <w:sz w:val="20"/>
          <w:szCs w:val="20"/>
          <w:color w:val="auto"/>
        </w:rPr>
      </w:pPr>
      <w:r>
        <w:rPr>
          <w:rFonts w:ascii="Times New Roman" w:cs="Times New Roman" w:eastAsia="Times New Roman" w:hAnsi="Times New Roman"/>
          <w:sz w:val="19"/>
          <w:szCs w:val="19"/>
          <w:color w:val="auto"/>
        </w:rPr>
        <w:t>The Board of Directors has adopted a Compensation Recovery Policy (“Clawback Policy”) pursuant to Rule 10D-1 of the Exchange Act, the SEC’s regulations promulgated thereunder, and applicable Nasdaq listing standards. Pursuant to this policy, in the event that the Company has to prepare an accounting restatement due to material noncompliance of the Company with any financial reporting requirement under the securities laws, including any required accounting restatement to correct an error in previously issued financial statements that is (1) material to the previously issued financial statements, or (2) would result in material misstatement if the error were corrected in the current period or left uncorrected in the current period that was caused by any fraud, negligence, or intentional misconduct by an executive officer, the Company, as approved by the Compensation Committee, is required to seek recovery through repayment or return of any erroneously awarded compensation. The executive officers covered by this policy include each of the Company’s current and former Section 16 officers. We filed a copy of our Clawback Policy as an exhibit to our Annual Report on Form 10-K for the fiscal year ended December 31, 2023.</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3" w:name="page34"/>
    <w:bookmarkEnd w:id="33"/>
    <w:p>
      <w:pPr>
        <w:ind w:left="4240"/>
        <w:spacing w:after="0"/>
        <w:rPr>
          <w:sz w:val="20"/>
          <w:szCs w:val="20"/>
          <w:color w:val="auto"/>
        </w:rPr>
      </w:pPr>
      <w:r>
        <w:rPr>
          <w:rFonts w:ascii="Times New Roman" w:cs="Times New Roman" w:eastAsia="Times New Roman" w:hAnsi="Times New Roman"/>
          <w:sz w:val="19"/>
          <w:szCs w:val="19"/>
          <w:b w:val="1"/>
          <w:bCs w:val="1"/>
          <w:color w:val="auto"/>
        </w:rPr>
        <w:t>EXECUTIVE COMPENSATION</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Summary Compensation Table</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table below summarizes compensation paid to or earned by our NEOs for the fiscal years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1"/>
                <w:szCs w:val="11"/>
                <w:color w:val="auto"/>
              </w:rPr>
            </w:pPr>
          </w:p>
        </w:tc>
        <w:tc>
          <w:tcPr>
            <w:tcW w:w="1220" w:type="dxa"/>
            <w:vAlign w:val="bottom"/>
          </w:tcPr>
          <w:p>
            <w:pPr>
              <w:jc w:val="center"/>
              <w:ind w:right="66"/>
              <w:spacing w:after="0" w:line="133"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80" w:type="dxa"/>
            <w:vAlign w:val="bottom"/>
          </w:tcPr>
          <w:p>
            <w:pPr>
              <w:spacing w:after="0"/>
              <w:rPr>
                <w:sz w:val="11"/>
                <w:szCs w:val="11"/>
                <w:color w:val="auto"/>
              </w:rPr>
            </w:pPr>
          </w:p>
        </w:tc>
        <w:tc>
          <w:tcPr>
            <w:tcW w:w="12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60" w:type="dxa"/>
            <w:vAlign w:val="bottom"/>
          </w:tcPr>
          <w:p>
            <w:pPr>
              <w:spacing w:after="0"/>
              <w:rPr>
                <w:sz w:val="12"/>
                <w:szCs w:val="12"/>
                <w:color w:val="auto"/>
              </w:rPr>
            </w:pP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66"/>
              <w:spacing w:after="0" w:line="143" w:lineRule="exact"/>
              <w:rPr>
                <w:sz w:val="20"/>
                <w:szCs w:val="20"/>
                <w:color w:val="auto"/>
              </w:rPr>
            </w:pPr>
            <w:r>
              <w:rPr>
                <w:rFonts w:ascii="Times New Roman" w:cs="Times New Roman" w:eastAsia="Times New Roman" w:hAnsi="Times New Roman"/>
                <w:sz w:val="14"/>
                <w:szCs w:val="14"/>
                <w:b w:val="1"/>
                <w:bCs w:val="1"/>
                <w:color w:val="auto"/>
              </w:rPr>
              <w:t>Plan</w:t>
            </w: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w w:val="97"/>
              </w:rPr>
              <w:t>Awards</w:t>
            </w:r>
            <w:r>
              <w:rPr>
                <w:rFonts w:ascii="Times New Roman" w:cs="Times New Roman" w:eastAsia="Times New Roman" w:hAnsi="Times New Roman"/>
                <w:sz w:val="9"/>
                <w:szCs w:val="9"/>
                <w:b w:val="1"/>
                <w:bCs w:val="1"/>
                <w:color w:val="auto"/>
                <w:w w:val="97"/>
              </w:rPr>
              <w:t>(a)</w:t>
            </w:r>
          </w:p>
        </w:tc>
        <w:tc>
          <w:tcPr>
            <w:tcW w:w="180" w:type="dxa"/>
            <w:vAlign w:val="bottom"/>
          </w:tcPr>
          <w:p>
            <w:pPr>
              <w:spacing w:after="0"/>
              <w:rPr>
                <w:sz w:val="12"/>
                <w:szCs w:val="12"/>
                <w:color w:val="auto"/>
              </w:rPr>
            </w:pPr>
          </w:p>
        </w:tc>
        <w:tc>
          <w:tcPr>
            <w:tcW w:w="1220" w:type="dxa"/>
            <w:vAlign w:val="bottom"/>
          </w:tcPr>
          <w:p>
            <w:pPr>
              <w:jc w:val="center"/>
              <w:ind w:right="66"/>
              <w:spacing w:after="0" w:line="145"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16"/>
                <w:szCs w:val="16"/>
                <w:b w:val="1"/>
                <w:bCs w:val="1"/>
                <w:color w:val="auto"/>
                <w:vertAlign w:val="superscript"/>
              </w:rPr>
              <w:t>(b)</w:t>
            </w:r>
          </w:p>
        </w:tc>
        <w:tc>
          <w:tcPr>
            <w:tcW w:w="180" w:type="dxa"/>
            <w:vAlign w:val="bottom"/>
          </w:tcPr>
          <w:p>
            <w:pPr>
              <w:spacing w:after="0"/>
              <w:rPr>
                <w:sz w:val="12"/>
                <w:szCs w:val="12"/>
                <w:color w:val="auto"/>
              </w:rPr>
            </w:pPr>
          </w:p>
        </w:tc>
        <w:tc>
          <w:tcPr>
            <w:tcW w:w="120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Compensation</w:t>
            </w:r>
            <w:r>
              <w:rPr>
                <w:rFonts w:ascii="Times New Roman" w:cs="Times New Roman" w:eastAsia="Times New Roman" w:hAnsi="Times New Roman"/>
                <w:sz w:val="9"/>
                <w:szCs w:val="9"/>
                <w:b w:val="1"/>
                <w:bCs w:val="1"/>
                <w:color w:val="auto"/>
                <w:w w:val="99"/>
              </w:rPr>
              <w:t>(c)</w:t>
            </w: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Fabio Sandri</w:t>
            </w: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942,308</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613,554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22,103</w:t>
            </w: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2,577,965</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President and CEO</w:t>
            </w: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731,408</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3,011,423</w:t>
            </w:r>
          </w:p>
        </w:tc>
        <w:tc>
          <w:tcPr>
            <w:tcW w:w="0" w:type="dxa"/>
            <w:vAlign w:val="bottom"/>
          </w:tcPr>
          <w:p>
            <w:pPr>
              <w:spacing w:after="0"/>
              <w:rPr>
                <w:sz w:val="1"/>
                <w:szCs w:val="1"/>
                <w:color w:val="auto"/>
              </w:rPr>
            </w:pPr>
          </w:p>
        </w:tc>
      </w:tr>
      <w:tr>
        <w:trPr>
          <w:trHeight w:val="215"/>
        </w:trPr>
        <w:tc>
          <w:tcPr>
            <w:tcW w:w="3000" w:type="dxa"/>
            <w:vAlign w:val="bottom"/>
            <w:shd w:val="clear" w:color="auto" w:fill="CCEEFF"/>
          </w:tcPr>
          <w:p>
            <w:pPr>
              <w:spacing w:after="0"/>
              <w:rPr>
                <w:sz w:val="18"/>
                <w:szCs w:val="18"/>
                <w:color w:val="auto"/>
              </w:rPr>
            </w:pP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6,062,913</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8,581,691</w:t>
            </w:r>
          </w:p>
        </w:tc>
        <w:tc>
          <w:tcPr>
            <w:tcW w:w="0" w:type="dxa"/>
            <w:vAlign w:val="bottom"/>
          </w:tcPr>
          <w:p>
            <w:pPr>
              <w:spacing w:after="0"/>
              <w:rPr>
                <w:sz w:val="1"/>
                <w:szCs w:val="1"/>
                <w:color w:val="auto"/>
              </w:rPr>
            </w:pPr>
          </w:p>
        </w:tc>
      </w:tr>
      <w:tr>
        <w:trPr>
          <w:trHeight w:val="207"/>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Matthew Galvanoni</w:t>
            </w:r>
          </w:p>
        </w:tc>
        <w:tc>
          <w:tcPr>
            <w:tcW w:w="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508,461</w:t>
            </w:r>
          </w:p>
        </w:tc>
        <w:tc>
          <w:tcPr>
            <w:tcW w:w="260" w:type="dxa"/>
            <w:vAlign w:val="bottom"/>
          </w:tcPr>
          <w:p>
            <w:pPr>
              <w:spacing w:after="0"/>
              <w:rPr>
                <w:sz w:val="17"/>
                <w:szCs w:val="17"/>
                <w:color w:val="auto"/>
              </w:rPr>
            </w:pPr>
          </w:p>
        </w:tc>
        <w:tc>
          <w:tcPr>
            <w:tcW w:w="10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340,853</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18,447</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1,167,761</w:t>
            </w:r>
          </w:p>
        </w:tc>
        <w:tc>
          <w:tcPr>
            <w:tcW w:w="0" w:type="dxa"/>
            <w:vAlign w:val="bottom"/>
          </w:tcPr>
          <w:p>
            <w:pPr>
              <w:spacing w:after="0"/>
              <w:rPr>
                <w:sz w:val="1"/>
                <w:szCs w:val="1"/>
                <w:color w:val="auto"/>
              </w:rPr>
            </w:pPr>
          </w:p>
        </w:tc>
      </w:tr>
      <w:tr>
        <w:trPr>
          <w:trHeight w:val="209"/>
        </w:trPr>
        <w:tc>
          <w:tcPr>
            <w:tcW w:w="3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CFO</w:t>
            </w:r>
          </w:p>
        </w:tc>
        <w:tc>
          <w:tcPr>
            <w:tcW w:w="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60" w:type="dxa"/>
            <w:vAlign w:val="bottom"/>
          </w:tcPr>
          <w:p>
            <w:pPr>
              <w:spacing w:after="0"/>
              <w:rPr>
                <w:sz w:val="18"/>
                <w:szCs w:val="18"/>
                <w:color w:val="auto"/>
              </w:rPr>
            </w:pPr>
          </w:p>
        </w:tc>
        <w:tc>
          <w:tcPr>
            <w:tcW w:w="10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406,338</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665,025</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1,610,695</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384,615</w:t>
            </w:r>
          </w:p>
        </w:tc>
        <w:tc>
          <w:tcPr>
            <w:tcW w:w="260" w:type="dxa"/>
            <w:vAlign w:val="bottom"/>
          </w:tcPr>
          <w:p>
            <w:pPr>
              <w:spacing w:after="0"/>
              <w:rPr>
                <w:sz w:val="18"/>
                <w:szCs w:val="18"/>
                <w:color w:val="auto"/>
              </w:rPr>
            </w:pPr>
          </w:p>
        </w:tc>
        <w:tc>
          <w:tcPr>
            <w:tcW w:w="10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921,087</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99,594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1,905,296</w:t>
            </w:r>
          </w:p>
        </w:tc>
        <w:tc>
          <w:tcPr>
            <w:tcW w:w="0" w:type="dxa"/>
            <w:vAlign w:val="bottom"/>
          </w:tcPr>
          <w:p>
            <w:pPr>
              <w:spacing w:after="0"/>
              <w:rPr>
                <w:sz w:val="1"/>
                <w:szCs w:val="1"/>
                <w:color w:val="auto"/>
              </w:rPr>
            </w:pPr>
          </w:p>
        </w:tc>
      </w:tr>
    </w:tbl>
    <w:p>
      <w:pPr>
        <w:spacing w:after="0" w:line="96" w:lineRule="exact"/>
        <w:rPr>
          <w:sz w:val="20"/>
          <w:szCs w:val="20"/>
          <w:color w:val="auto"/>
        </w:rPr>
      </w:pPr>
    </w:p>
    <w:p>
      <w:pPr>
        <w:jc w:val="both"/>
        <w:ind w:left="320" w:right="100" w:hanging="315"/>
        <w:spacing w:after="0" w:line="250" w:lineRule="auto"/>
        <w:tabs>
          <w:tab w:leader="none" w:pos="31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represent the aggregate grant date fair value of stock awards granted during each of the years presented. The grant date fair value of an award is measured in accordance with FASB ASC Topic 718. For the awards subject to performance conditions, the grant date fair value is based upon the probable outcome of such conditions using an average of the most recent five years performance achievement. The 2022 Program awards were forfeited as of the end of 2022. For 2023, the dollar amount includes the grant date fair value of the 2023 Program for Messrs. Sandri and Galvanoni assuming a 67.3% achievement of performance targets is probable. Subsequent to the end of the 2023 fiscal year, the performance achievement was certified at a 130% achievement level for the 2023 Program.</w:t>
      </w:r>
    </w:p>
    <w:p>
      <w:pPr>
        <w:spacing w:after="0" w:line="1" w:lineRule="exact"/>
        <w:rPr>
          <w:rFonts w:ascii="Times New Roman" w:cs="Times New Roman" w:eastAsia="Times New Roman" w:hAnsi="Times New Roman"/>
          <w:sz w:val="16"/>
          <w:szCs w:val="16"/>
          <w:color w:val="auto"/>
        </w:rPr>
      </w:pPr>
    </w:p>
    <w:p>
      <w:pPr>
        <w:ind w:left="320" w:right="100" w:hanging="315"/>
        <w:spacing w:after="0" w:line="257"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annual incentive cash compensation earned for each fiscal year of service pursuant to the STIP. See “Compensation Discussion and Analysis - Components of Compensation - Annual Cash Incentive Compensation” for a discussion of the 2023 STIP.</w:t>
      </w:r>
    </w:p>
    <w:p>
      <w:pPr>
        <w:ind w:left="320" w:hanging="315"/>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“All Other Compensation” column includes the following items of compensation:</w:t>
      </w:r>
    </w:p>
    <w:p>
      <w:pPr>
        <w:spacing w:after="0" w:line="2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9"/>
              </w:rPr>
              <w:t>Long-term</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8"/>
              </w:rPr>
              <w:t>Group-term life</w:t>
            </w: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80" w:type="dxa"/>
            <w:vAlign w:val="bottom"/>
          </w:tcPr>
          <w:p>
            <w:pPr>
              <w:spacing w:after="0"/>
              <w:rPr>
                <w:sz w:val="11"/>
                <w:szCs w:val="11"/>
                <w:color w:val="auto"/>
              </w:rPr>
            </w:pPr>
          </w:p>
        </w:tc>
        <w:tc>
          <w:tcPr>
            <w:tcW w:w="1140" w:type="dxa"/>
            <w:vAlign w:val="bottom"/>
          </w:tcPr>
          <w:p>
            <w:pPr>
              <w:jc w:val="center"/>
              <w:ind w:right="85"/>
              <w:spacing w:after="0" w:line="131"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45"/>
              <w:spacing w:after="0" w:line="145"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85"/>
              <w:spacing w:after="0" w:line="145"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COBRA</w:t>
            </w:r>
          </w:p>
        </w:tc>
        <w:tc>
          <w:tcPr>
            <w:tcW w:w="104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020" w:type="dxa"/>
            <w:vAlign w:val="bottom"/>
          </w:tcPr>
          <w:p>
            <w:pPr>
              <w:jc w:val="center"/>
              <w:ind w:right="4"/>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insurance</w:t>
            </w:r>
          </w:p>
        </w:tc>
        <w:tc>
          <w:tcPr>
            <w:tcW w:w="180" w:type="dxa"/>
            <w:vAlign w:val="bottom"/>
          </w:tcPr>
          <w:p>
            <w:pPr>
              <w:spacing w:after="0"/>
              <w:rPr>
                <w:sz w:val="12"/>
                <w:szCs w:val="12"/>
                <w:color w:val="auto"/>
              </w:rPr>
            </w:pPr>
          </w:p>
        </w:tc>
        <w:tc>
          <w:tcPr>
            <w:tcW w:w="920" w:type="dxa"/>
            <w:vAlign w:val="bottom"/>
          </w:tcPr>
          <w:p>
            <w:pPr>
              <w:jc w:val="center"/>
              <w:ind w:right="45"/>
              <w:spacing w:after="0" w:line="145" w:lineRule="exact"/>
              <w:rPr>
                <w:sz w:val="20"/>
                <w:szCs w:val="20"/>
                <w:color w:val="auto"/>
              </w:rPr>
            </w:pPr>
            <w:r>
              <w:rPr>
                <w:rFonts w:ascii="Times New Roman" w:cs="Times New Roman" w:eastAsia="Times New Roman" w:hAnsi="Times New Roman"/>
                <w:sz w:val="14"/>
                <w:szCs w:val="14"/>
                <w:b w:val="1"/>
                <w:bCs w:val="1"/>
                <w:color w:val="auto"/>
              </w:rPr>
              <w:t>premium</w:t>
            </w:r>
          </w:p>
        </w:tc>
        <w:tc>
          <w:tcPr>
            <w:tcW w:w="180" w:type="dxa"/>
            <w:vAlign w:val="bottom"/>
          </w:tcPr>
          <w:p>
            <w:pPr>
              <w:spacing w:after="0"/>
              <w:rPr>
                <w:sz w:val="12"/>
                <w:szCs w:val="12"/>
                <w:color w:val="auto"/>
              </w:rPr>
            </w:pPr>
          </w:p>
        </w:tc>
        <w:tc>
          <w:tcPr>
            <w:tcW w:w="10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rPr>
              <w:t>401(k) Match</w:t>
            </w:r>
          </w:p>
        </w:tc>
        <w:tc>
          <w:tcPr>
            <w:tcW w:w="180" w:type="dxa"/>
            <w:vAlign w:val="bottom"/>
          </w:tcPr>
          <w:p>
            <w:pPr>
              <w:spacing w:after="0"/>
              <w:rPr>
                <w:sz w:val="12"/>
                <w:szCs w:val="12"/>
                <w:color w:val="auto"/>
              </w:rPr>
            </w:pPr>
          </w:p>
        </w:tc>
        <w:tc>
          <w:tcPr>
            <w:tcW w:w="1140" w:type="dxa"/>
            <w:vAlign w:val="bottom"/>
          </w:tcPr>
          <w:p>
            <w:pPr>
              <w:jc w:val="center"/>
              <w:ind w:right="45"/>
              <w:spacing w:after="0" w:line="145"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1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tcBorders>
              <w:bottom w:val="single" w:sz="8" w:color="auto"/>
            </w:tcBorders>
            <w:gridSpan w:val="3"/>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Relocation ($)  Reimbursement ($)</w:t>
            </w:r>
          </w:p>
        </w:tc>
        <w:tc>
          <w:tcPr>
            <w:tcW w:w="10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Fabio Sandri</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18,338</w:t>
            </w:r>
          </w:p>
        </w:tc>
        <w:tc>
          <w:tcPr>
            <w:tcW w:w="3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22,103</w:t>
            </w:r>
          </w:p>
        </w:tc>
        <w:tc>
          <w:tcPr>
            <w:tcW w:w="0" w:type="dxa"/>
            <w:vAlign w:val="bottom"/>
          </w:tcPr>
          <w:p>
            <w:pPr>
              <w:spacing w:after="0"/>
              <w:rPr>
                <w:sz w:val="1"/>
                <w:szCs w:val="1"/>
                <w:color w:val="auto"/>
              </w:rPr>
            </w:pPr>
          </w:p>
        </w:tc>
      </w:tr>
      <w:tr>
        <w:trPr>
          <w:trHeight w:val="209"/>
        </w:trPr>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30,015</w:t>
            </w:r>
          </w:p>
        </w:tc>
        <w:tc>
          <w:tcPr>
            <w:tcW w:w="0" w:type="dxa"/>
            <w:vAlign w:val="bottom"/>
          </w:tcPr>
          <w:p>
            <w:pPr>
              <w:spacing w:after="0"/>
              <w:rPr>
                <w:sz w:val="1"/>
                <w:szCs w:val="1"/>
                <w:color w:val="auto"/>
              </w:rPr>
            </w:pPr>
          </w:p>
        </w:tc>
      </w:tr>
      <w:tr>
        <w:trPr>
          <w:trHeight w:val="215"/>
        </w:trPr>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15,253</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18,778</w:t>
            </w:r>
          </w:p>
        </w:tc>
        <w:tc>
          <w:tcPr>
            <w:tcW w:w="0" w:type="dxa"/>
            <w:vAlign w:val="bottom"/>
          </w:tcPr>
          <w:p>
            <w:pPr>
              <w:spacing w:after="0"/>
              <w:rPr>
                <w:sz w:val="1"/>
                <w:szCs w:val="1"/>
                <w:color w:val="auto"/>
              </w:rPr>
            </w:pPr>
          </w:p>
        </w:tc>
      </w:tr>
      <w:tr>
        <w:trPr>
          <w:trHeight w:val="158"/>
        </w:trPr>
        <w:tc>
          <w:tcPr>
            <w:tcW w:w="11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Matthew</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14,082</w:t>
            </w:r>
          </w:p>
        </w:tc>
        <w:tc>
          <w:tcPr>
            <w:tcW w:w="300" w:type="dxa"/>
            <w:vAlign w:val="bottom"/>
          </w:tcPr>
          <w:p>
            <w:pPr>
              <w:spacing w:after="0"/>
              <w:rPr>
                <w:sz w:val="13"/>
                <w:szCs w:val="13"/>
                <w:color w:val="auto"/>
              </w:rPr>
            </w:pPr>
          </w:p>
        </w:tc>
        <w:tc>
          <w:tcPr>
            <w:tcW w:w="92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ind w:right="163"/>
              <w:spacing w:after="0"/>
              <w:rPr>
                <w:sz w:val="20"/>
                <w:szCs w:val="20"/>
                <w:color w:val="auto"/>
              </w:rPr>
            </w:pPr>
            <w:r>
              <w:rPr>
                <w:rFonts w:ascii="Times New Roman" w:cs="Times New Roman" w:eastAsia="Times New Roman" w:hAnsi="Times New Roman"/>
                <w:sz w:val="16"/>
                <w:szCs w:val="16"/>
                <w:color w:val="auto"/>
              </w:rPr>
              <w:t>600</w:t>
            </w: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w w:val="99"/>
              </w:rPr>
              <w:t>18,447</w:t>
            </w:r>
          </w:p>
        </w:tc>
        <w:tc>
          <w:tcPr>
            <w:tcW w:w="0" w:type="dxa"/>
            <w:vAlign w:val="bottom"/>
          </w:tcPr>
          <w:p>
            <w:pPr>
              <w:spacing w:after="0"/>
              <w:rPr>
                <w:sz w:val="1"/>
                <w:szCs w:val="1"/>
                <w:color w:val="auto"/>
              </w:rPr>
            </w:pPr>
          </w:p>
        </w:tc>
      </w:tr>
      <w:tr>
        <w:trPr>
          <w:trHeight w:val="207"/>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Galvanoni</w:t>
            </w: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300" w:type="dxa"/>
            <w:vAlign w:val="bottom"/>
          </w:tcPr>
          <w:p>
            <w:pPr>
              <w:spacing w:after="0"/>
              <w:rPr>
                <w:sz w:val="18"/>
                <w:szCs w:val="18"/>
                <w:color w:val="auto"/>
              </w:rPr>
            </w:pPr>
          </w:p>
        </w:tc>
        <w:tc>
          <w:tcPr>
            <w:tcW w:w="9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30,293</w:t>
            </w: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200</w:t>
            </w:r>
          </w:p>
        </w:tc>
        <w:tc>
          <w:tcPr>
            <w:tcW w:w="64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39,332</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93,093</w:t>
            </w: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5,669</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99,594</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Grants of Plan-Based Awards for Fiscal Year 2023</w:t>
      </w:r>
    </w:p>
    <w:p>
      <w:pPr>
        <w:sectPr>
          <w:pgSz w:w="11900" w:h="16838" w:orient="portrait"/>
          <w:cols w:equalWidth="0" w:num="1">
            <w:col w:w="11340"/>
          </w:cols>
          <w:pgMar w:left="320" w:top="10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900" w:type="dxa"/>
            <w:vAlign w:val="bottom"/>
            <w:gridSpan w:val="3"/>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 Equity</w:t>
            </w:r>
          </w:p>
        </w:tc>
        <w:tc>
          <w:tcPr>
            <w:tcW w:w="0" w:type="dxa"/>
            <w:vAlign w:val="bottom"/>
          </w:tcPr>
          <w:p>
            <w:pPr>
              <w:spacing w:after="0"/>
              <w:rPr>
                <w:sz w:val="1"/>
                <w:szCs w:val="1"/>
                <w:color w:val="auto"/>
              </w:rPr>
            </w:pPr>
          </w:p>
        </w:tc>
      </w:tr>
      <w:tr>
        <w:trPr>
          <w:trHeight w:val="191"/>
        </w:trPr>
        <w:tc>
          <w:tcPr>
            <w:tcW w:w="14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9"/>
              </w:rPr>
              <w:t>Non-Equity Incentive Plan Awards</w:t>
            </w:r>
            <w:r>
              <w:rPr>
                <w:rFonts w:ascii="Times New Roman" w:cs="Times New Roman" w:eastAsia="Times New Roman" w:hAnsi="Times New Roman"/>
                <w:sz w:val="9"/>
                <w:szCs w:val="9"/>
                <w:b w:val="1"/>
                <w:bCs w:val="1"/>
                <w:color w:val="auto"/>
                <w:w w:val="99"/>
              </w:rPr>
              <w:t>(a)</w:t>
            </w:r>
          </w:p>
        </w:tc>
        <w:tc>
          <w:tcPr>
            <w:tcW w:w="2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Incentive Plan Awards</w:t>
            </w:r>
            <w:r>
              <w:rPr>
                <w:rFonts w:ascii="Times New Roman" w:cs="Times New Roman" w:eastAsia="Times New Roman" w:hAnsi="Times New Roman"/>
                <w:sz w:val="9"/>
                <w:szCs w:val="9"/>
                <w:b w:val="1"/>
                <w:bCs w:val="1"/>
                <w:color w:val="auto"/>
                <w:w w:val="99"/>
              </w:rPr>
              <w:t>(b)</w:t>
            </w:r>
          </w:p>
        </w:tc>
        <w:tc>
          <w:tcPr>
            <w:tcW w:w="0" w:type="dxa"/>
            <w:vAlign w:val="bottom"/>
          </w:tcPr>
          <w:p>
            <w:pPr>
              <w:spacing w:after="0"/>
              <w:rPr>
                <w:sz w:val="1"/>
                <w:szCs w:val="1"/>
                <w:color w:val="auto"/>
              </w:rPr>
            </w:pPr>
          </w:p>
        </w:tc>
      </w:tr>
      <w:tr>
        <w:trPr>
          <w:trHeight w:val="131"/>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2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8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85"/>
        </w:trPr>
        <w:tc>
          <w:tcPr>
            <w:tcW w:w="14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All Other</w:t>
      </w:r>
    </w:p>
    <w:p>
      <w:pPr>
        <w:jc w:val="center"/>
        <w:ind w:right="1340"/>
        <w:spacing w:after="0" w:line="215" w:lineRule="auto"/>
        <w:rPr>
          <w:sz w:val="20"/>
          <w:szCs w:val="20"/>
          <w:color w:val="auto"/>
        </w:rPr>
      </w:pPr>
      <w:r>
        <w:rPr>
          <w:rFonts w:ascii="Times New Roman" w:cs="Times New Roman" w:eastAsia="Times New Roman" w:hAnsi="Times New Roman"/>
          <w:sz w:val="14"/>
          <w:szCs w:val="14"/>
          <w:b w:val="1"/>
          <w:bCs w:val="1"/>
          <w:color w:val="auto"/>
        </w:rPr>
        <w:t>Stock</w:t>
      </w:r>
    </w:p>
    <w:tbl>
      <w:tblPr>
        <w:tblLayout w:type="fixed"/>
        <w:tblInd w:w="0" w:type="dxa"/>
        <w:tblCellMar>
          <w:top w:w="0" w:type="dxa"/>
          <w:left w:w="0" w:type="dxa"/>
          <w:bottom w:w="0" w:type="dxa"/>
          <w:right w:w="0" w:type="dxa"/>
        </w:tblCellMar>
      </w:tblPr>
      <w:tr>
        <w:trPr>
          <w:trHeight w:val="127"/>
        </w:trPr>
        <w:tc>
          <w:tcPr>
            <w:tcW w:w="7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31"/>
        </w:trPr>
        <w:tc>
          <w:tcPr>
            <w:tcW w:w="720" w:type="dxa"/>
            <w:vAlign w:val="bottom"/>
          </w:tcPr>
          <w:p>
            <w:pPr>
              <w:jc w:val="center"/>
              <w:ind w:right="10"/>
              <w:spacing w:after="0" w:line="131"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1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Value of Stock</w:t>
            </w:r>
          </w:p>
        </w:tc>
        <w:tc>
          <w:tcPr>
            <w:tcW w:w="0" w:type="dxa"/>
            <w:vAlign w:val="bottom"/>
          </w:tcPr>
          <w:p>
            <w:pPr>
              <w:spacing w:after="0"/>
              <w:rPr>
                <w:sz w:val="1"/>
                <w:szCs w:val="1"/>
                <w:color w:val="auto"/>
              </w:rPr>
            </w:pPr>
          </w:p>
        </w:tc>
      </w:tr>
      <w:tr>
        <w:trPr>
          <w:trHeight w:val="145"/>
        </w:trPr>
        <w:tc>
          <w:tcPr>
            <w:tcW w:w="720" w:type="dxa"/>
            <w:vAlign w:val="bottom"/>
          </w:tcPr>
          <w:p>
            <w:pPr>
              <w:jc w:val="center"/>
              <w:ind w:right="10"/>
              <w:spacing w:after="0" w:line="145" w:lineRule="exact"/>
              <w:rPr>
                <w:sz w:val="20"/>
                <w:szCs w:val="20"/>
                <w:color w:val="auto"/>
              </w:rPr>
            </w:pPr>
            <w:r>
              <w:rPr>
                <w:rFonts w:ascii="Times New Roman" w:cs="Times New Roman" w:eastAsia="Times New Roman" w:hAnsi="Times New Roman"/>
                <w:sz w:val="14"/>
                <w:szCs w:val="14"/>
                <w:b w:val="1"/>
                <w:bCs w:val="1"/>
                <w:color w:val="auto"/>
              </w:rPr>
              <w:t>Units</w:t>
            </w:r>
          </w:p>
        </w:tc>
        <w:tc>
          <w:tcPr>
            <w:tcW w:w="1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85"/>
        </w:trPr>
        <w:tc>
          <w:tcPr>
            <w:tcW w:w="72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9240" w:space="100"/>
            <w:col w:w="2000"/>
          </w:cols>
          <w:pgMar w:left="320" w:top="1020" w:right="239" w:bottom="1440" w:gutter="0" w:footer="0" w:header="0"/>
          <w:type w:val="continuous"/>
        </w:sectPr>
      </w:pPr>
    </w:p>
    <w:tbl>
      <w:tblPr>
        <w:tblLayout w:type="fixed"/>
        <w:tblInd w:w="140" w:type="dxa"/>
        <w:tblCellMar>
          <w:top w:w="0" w:type="dxa"/>
          <w:left w:w="0" w:type="dxa"/>
          <w:bottom w:w="0" w:type="dxa"/>
          <w:right w:w="0" w:type="dxa"/>
        </w:tblCellMar>
      </w:tblPr>
      <w:tr>
        <w:trPr>
          <w:trHeight w:val="188"/>
        </w:trPr>
        <w:tc>
          <w:tcPr>
            <w:tcW w:w="1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Fabio Sandri</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2023</w:t>
            </w: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STIP</w:t>
            </w: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235,577</w:t>
            </w: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942,308</w:t>
            </w: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4"/>
                <w:szCs w:val="14"/>
                <w:color w:val="auto"/>
              </w:rPr>
              <w:t>1,884,616</w:t>
            </w:r>
          </w:p>
        </w:tc>
        <w:tc>
          <w:tcPr>
            <w:tcW w:w="9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191"/>
        </w:trPr>
        <w:tc>
          <w:tcPr>
            <w:tcW w:w="14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2023</w:t>
            </w:r>
          </w:p>
        </w:tc>
        <w:tc>
          <w:tcPr>
            <w:tcW w:w="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03/03/2023</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18,828</w:t>
            </w:r>
          </w:p>
        </w:tc>
        <w:tc>
          <w:tcPr>
            <w:tcW w:w="9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35,657</w:t>
            </w:r>
          </w:p>
        </w:tc>
        <w:tc>
          <w:tcPr>
            <w:tcW w:w="11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75,314</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1,227,108</w:t>
            </w:r>
          </w:p>
        </w:tc>
      </w:tr>
      <w:tr>
        <w:trPr>
          <w:trHeight w:val="183"/>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Matthew Galvanoni</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2023</w:t>
            </w: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STIP</w:t>
            </w:r>
          </w:p>
        </w:tc>
        <w:tc>
          <w:tcPr>
            <w:tcW w:w="100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127,115</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508,461</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jc w:val="right"/>
              <w:ind w:right="1110"/>
              <w:spacing w:after="0"/>
              <w:rPr>
                <w:sz w:val="20"/>
                <w:szCs w:val="20"/>
                <w:color w:val="auto"/>
              </w:rPr>
            </w:pPr>
            <w:r>
              <w:rPr>
                <w:rFonts w:ascii="Times New Roman" w:cs="Times New Roman" w:eastAsia="Times New Roman" w:hAnsi="Times New Roman"/>
                <w:sz w:val="14"/>
                <w:szCs w:val="14"/>
                <w:color w:val="auto"/>
              </w:rPr>
              <w:t>1,016,922</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8"/>
        </w:trPr>
        <w:tc>
          <w:tcPr>
            <w:tcW w:w="14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2023</w:t>
            </w: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Program</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03/03/2023</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10,460</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20,921</w:t>
            </w: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rPr>
              <w:t>41,841</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681,705</w:t>
            </w:r>
          </w:p>
        </w:tc>
      </w:tr>
    </w:tbl>
    <w:p>
      <w:pPr>
        <w:spacing w:after="0" w:line="115" w:lineRule="exact"/>
        <w:rPr>
          <w:sz w:val="20"/>
          <w:szCs w:val="20"/>
          <w:color w:val="auto"/>
        </w:rPr>
      </w:pPr>
    </w:p>
    <w:p>
      <w:pPr>
        <w:jc w:val="both"/>
        <w:ind w:left="320" w:right="100" w:hanging="315"/>
        <w:spacing w:after="0" w:line="255" w:lineRule="auto"/>
        <w:tabs>
          <w:tab w:leader="none" w:pos="31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these columns reflect the threshold, target and maximum amounts available under the 2023 STIP, as determined by the Compensation Committee. For more information, see “Compensation Discussion and Analysis - Annual Cash Incentive Compensation.” Actual payments were made in fiscal 2023 and the amounts were reported in the Summary Compensation Table above.</w:t>
      </w:r>
    </w:p>
    <w:p>
      <w:pPr>
        <w:spacing w:after="0" w:line="1" w:lineRule="exact"/>
        <w:rPr>
          <w:rFonts w:ascii="Times New Roman" w:cs="Times New Roman" w:eastAsia="Times New Roman" w:hAnsi="Times New Roman"/>
          <w:sz w:val="16"/>
          <w:szCs w:val="16"/>
          <w:color w:val="auto"/>
        </w:rPr>
      </w:pPr>
    </w:p>
    <w:p>
      <w:pPr>
        <w:ind w:left="320" w:right="100" w:hanging="315"/>
        <w:spacing w:after="0" w:line="274"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grants under the 2023 Program. As of the date of grant, we expect the probable achievement of the performance goals was 67.3% of target for each program which is reflected in the grant date fair value in table above. For more information, see “Compensation Discussion and Analysis - Long-Term Incentive Compensation.”</w:t>
      </w: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020" w:right="2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9"/>
          <w:szCs w:val="19"/>
          <w:b w:val="1"/>
          <w:bCs w:val="1"/>
          <w:color w:val="auto"/>
        </w:rPr>
        <w:t>Sandri and Galvanoni Employment Terms</w:t>
      </w:r>
    </w:p>
    <w:p>
      <w:pPr>
        <w:spacing w:after="0" w:line="18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Messrs. Sandri and Galvanoni do not have written employment agreements with the Company. For more information regarding compensation to our NEOs during fiscal year 2023 and the terms of our equity awards, see “Compensation Discussion and Analysis - Components of Compensation” and “Compensation Discussion and Analysis - Long-Term Incentive Compensation.”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Outstanding Equity Awards at December 31, 2023</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gridSpan w:val="4"/>
          </w:tcPr>
          <w:p>
            <w:pPr>
              <w:ind w:left="13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100" w:type="dxa"/>
            <w:vAlign w:val="bottom"/>
          </w:tcPr>
          <w:p>
            <w:pPr>
              <w:spacing w:after="0"/>
              <w:rPr>
                <w:sz w:val="10"/>
                <w:szCs w:val="10"/>
                <w:color w:val="auto"/>
              </w:rPr>
            </w:pPr>
          </w:p>
        </w:tc>
        <w:tc>
          <w:tcPr>
            <w:tcW w:w="1760" w:type="dxa"/>
            <w:vAlign w:val="bottom"/>
          </w:tcPr>
          <w:p>
            <w:pPr>
              <w:jc w:val="center"/>
              <w:ind w:right="28"/>
              <w:spacing w:after="0" w:line="125"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Market Value of Shares or</w:t>
            </w:r>
          </w:p>
        </w:tc>
        <w:tc>
          <w:tcPr>
            <w:tcW w:w="1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4"/>
                <w:szCs w:val="14"/>
                <w:b w:val="1"/>
                <w:bCs w:val="1"/>
                <w:color w:val="auto"/>
                <w:w w:val="99"/>
              </w:rPr>
              <w:t>Awards: Market or Payout</w:t>
            </w: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Number of Shares or Units of</w:t>
            </w:r>
          </w:p>
        </w:tc>
        <w:tc>
          <w:tcPr>
            <w:tcW w:w="12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9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Awards: Number of Unearned</w:t>
            </w:r>
          </w:p>
        </w:tc>
        <w:tc>
          <w:tcPr>
            <w:tcW w:w="100" w:type="dxa"/>
            <w:vAlign w:val="bottom"/>
          </w:tcPr>
          <w:p>
            <w:pPr>
              <w:spacing w:after="0"/>
              <w:rPr>
                <w:sz w:val="11"/>
                <w:szCs w:val="11"/>
                <w:color w:val="auto"/>
              </w:rPr>
            </w:pPr>
          </w:p>
        </w:tc>
        <w:tc>
          <w:tcPr>
            <w:tcW w:w="1760" w:type="dxa"/>
            <w:vAlign w:val="bottom"/>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w w:val="98"/>
              </w:rPr>
              <w:t>Value of Unearned Shares,</w:t>
            </w: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8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 That Have Not</w:t>
            </w:r>
          </w:p>
        </w:tc>
        <w:tc>
          <w:tcPr>
            <w:tcW w:w="19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 Units or Other Rights</w:t>
            </w:r>
          </w:p>
        </w:tc>
        <w:tc>
          <w:tcPr>
            <w:tcW w:w="100" w:type="dxa"/>
            <w:vAlign w:val="bottom"/>
          </w:tcPr>
          <w:p>
            <w:pPr>
              <w:spacing w:after="0"/>
              <w:rPr>
                <w:sz w:val="12"/>
                <w:szCs w:val="12"/>
                <w:color w:val="auto"/>
              </w:rPr>
            </w:pPr>
          </w:p>
        </w:tc>
        <w:tc>
          <w:tcPr>
            <w:tcW w:w="176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or Other Rights That</w:t>
            </w:r>
          </w:p>
        </w:tc>
        <w:tc>
          <w:tcPr>
            <w:tcW w:w="0" w:type="dxa"/>
            <w:vAlign w:val="bottom"/>
          </w:tcPr>
          <w:p>
            <w:pPr>
              <w:spacing w:after="0"/>
              <w:rPr>
                <w:sz w:val="1"/>
                <w:szCs w:val="1"/>
                <w:color w:val="auto"/>
              </w:rPr>
            </w:pPr>
          </w:p>
        </w:tc>
      </w:tr>
      <w:tr>
        <w:trPr>
          <w:trHeight w:val="145"/>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Stock That Have Not Vested</w:t>
            </w:r>
            <w:r>
              <w:rPr>
                <w:rFonts w:ascii="Times New Roman" w:cs="Times New Roman" w:eastAsia="Times New Roman" w:hAnsi="Times New Roman"/>
                <w:sz w:val="9"/>
                <w:szCs w:val="9"/>
                <w:b w:val="1"/>
                <w:bCs w:val="1"/>
                <w:color w:val="auto"/>
                <w:w w:val="99"/>
              </w:rPr>
              <w:t>(a)</w:t>
            </w:r>
          </w:p>
        </w:tc>
        <w:tc>
          <w:tcPr>
            <w:tcW w:w="120" w:type="dxa"/>
            <w:vAlign w:val="bottom"/>
          </w:tcPr>
          <w:p>
            <w:pPr>
              <w:spacing w:after="0"/>
              <w:rPr>
                <w:sz w:val="12"/>
                <w:szCs w:val="12"/>
                <w:color w:val="auto"/>
              </w:rPr>
            </w:pPr>
          </w:p>
        </w:tc>
        <w:tc>
          <w:tcPr>
            <w:tcW w:w="18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3"/>
                <w:szCs w:val="13"/>
                <w:b w:val="1"/>
                <w:bCs w:val="1"/>
                <w:color w:val="auto"/>
                <w:w w:val="98"/>
              </w:rPr>
              <w:t>Vested</w:t>
            </w:r>
            <w:r>
              <w:rPr>
                <w:rFonts w:ascii="Times New Roman" w:cs="Times New Roman" w:eastAsia="Times New Roman" w:hAnsi="Times New Roman"/>
                <w:sz w:val="16"/>
                <w:szCs w:val="16"/>
                <w:b w:val="1"/>
                <w:bCs w:val="1"/>
                <w:color w:val="auto"/>
                <w:w w:val="98"/>
                <w:vertAlign w:val="superscript"/>
              </w:rPr>
              <w:t>(b)</w:t>
            </w:r>
          </w:p>
        </w:tc>
        <w:tc>
          <w:tcPr>
            <w:tcW w:w="196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3"/>
                <w:szCs w:val="13"/>
                <w:b w:val="1"/>
                <w:bCs w:val="1"/>
                <w:color w:val="auto"/>
              </w:rPr>
              <w:t>That Have Not Vested</w:t>
            </w:r>
            <w:r>
              <w:rPr>
                <w:rFonts w:ascii="Times New Roman" w:cs="Times New Roman" w:eastAsia="Times New Roman" w:hAnsi="Times New Roman"/>
                <w:sz w:val="16"/>
                <w:szCs w:val="16"/>
                <w:b w:val="1"/>
                <w:bCs w:val="1"/>
                <w:color w:val="auto"/>
                <w:vertAlign w:val="superscript"/>
              </w:rPr>
              <w:t>(a)</w:t>
            </w:r>
          </w:p>
        </w:tc>
        <w:tc>
          <w:tcPr>
            <w:tcW w:w="100" w:type="dxa"/>
            <w:vAlign w:val="bottom"/>
          </w:tcPr>
          <w:p>
            <w:pPr>
              <w:spacing w:after="0"/>
              <w:rPr>
                <w:sz w:val="12"/>
                <w:szCs w:val="12"/>
                <w:color w:val="auto"/>
              </w:rPr>
            </w:pPr>
          </w:p>
        </w:tc>
        <w:tc>
          <w:tcPr>
            <w:tcW w:w="176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4"/>
                <w:szCs w:val="14"/>
                <w:b w:val="1"/>
                <w:bCs w:val="1"/>
                <w:color w:val="auto"/>
                <w:w w:val="98"/>
              </w:rPr>
              <w:t>Have Not Vested</w:t>
            </w:r>
            <w:r>
              <w:rPr>
                <w:rFonts w:ascii="Times New Roman" w:cs="Times New Roman" w:eastAsia="Times New Roman" w:hAnsi="Times New Roman"/>
                <w:sz w:val="9"/>
                <w:szCs w:val="9"/>
                <w:b w:val="1"/>
                <w:bCs w:val="1"/>
                <w:color w:val="auto"/>
                <w:w w:val="98"/>
              </w:rPr>
              <w:t>(b)</w:t>
            </w:r>
          </w:p>
        </w:tc>
        <w:tc>
          <w:tcPr>
            <w:tcW w:w="0" w:type="dxa"/>
            <w:vAlign w:val="bottom"/>
          </w:tcPr>
          <w:p>
            <w:pPr>
              <w:spacing w:after="0"/>
              <w:rPr>
                <w:sz w:val="1"/>
                <w:szCs w:val="1"/>
                <w:color w:val="auto"/>
              </w:rPr>
            </w:pPr>
          </w:p>
        </w:tc>
      </w:tr>
      <w:tr>
        <w:trPr>
          <w:trHeight w:val="191"/>
        </w:trPr>
        <w:tc>
          <w:tcPr>
            <w:tcW w:w="3400" w:type="dxa"/>
            <w:vAlign w:val="bottom"/>
            <w:gridSpan w:val="2"/>
            <w:vMerge w:val="continue"/>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Fabio Sandri</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39,746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1,099,374</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393,828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10,893,295</w:t>
            </w:r>
          </w:p>
        </w:tc>
        <w:tc>
          <w:tcPr>
            <w:tcW w:w="0" w:type="dxa"/>
            <w:vAlign w:val="bottom"/>
          </w:tcPr>
          <w:p>
            <w:pPr>
              <w:spacing w:after="0"/>
              <w:rPr>
                <w:sz w:val="1"/>
                <w:szCs w:val="1"/>
                <w:color w:val="auto"/>
              </w:rPr>
            </w:pPr>
          </w:p>
        </w:tc>
      </w:tr>
      <w:tr>
        <w:trPr>
          <w:trHeight w:val="207"/>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Matthew Galvanoni</w:t>
            </w:r>
          </w:p>
        </w:tc>
        <w:tc>
          <w:tcPr>
            <w:tcW w:w="18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9,118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252,204</w:t>
            </w:r>
          </w:p>
        </w:tc>
        <w:tc>
          <w:tcPr>
            <w:tcW w:w="120" w:type="dxa"/>
            <w:vAlign w:val="bottom"/>
          </w:tcPr>
          <w:p>
            <w:pPr>
              <w:spacing w:after="0"/>
              <w:rPr>
                <w:sz w:val="17"/>
                <w:szCs w:val="17"/>
                <w:color w:val="auto"/>
              </w:rPr>
            </w:pPr>
          </w:p>
        </w:tc>
        <w:tc>
          <w:tcPr>
            <w:tcW w:w="186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10,460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289,331</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r>
      <w:r>
        <w:rPr>
          <w:sz w:val="20"/>
          <w:szCs w:val="20"/>
          <w:color w:val="auto"/>
        </w:rPr>
        <w:tab/>
      </w:r>
      <w:r>
        <w:rPr>
          <w:rFonts w:ascii="Times New Roman" w:cs="Times New Roman" w:eastAsia="Times New Roman" w:hAnsi="Times New Roman"/>
          <w:sz w:val="15"/>
          <w:szCs w:val="15"/>
          <w:color w:val="auto"/>
        </w:rPr>
        <w:t>Consists of the following outstanding shares of our restricted stock:</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00" w:type="dxa"/>
            <w:vAlign w:val="bottom"/>
          </w:tcPr>
          <w:p>
            <w:pPr>
              <w:spacing w:after="0"/>
              <w:rPr>
                <w:sz w:val="16"/>
                <w:szCs w:val="16"/>
                <w:color w:val="auto"/>
              </w:rPr>
            </w:pPr>
          </w:p>
        </w:tc>
        <w:tc>
          <w:tcPr>
            <w:tcW w:w="188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28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24"/>
        </w:trPr>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Fabio Sandri</w:t>
            </w:r>
          </w:p>
        </w:tc>
        <w:tc>
          <w:tcPr>
            <w:tcW w:w="10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Time-vesting</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12/08/2020</w:t>
            </w:r>
          </w:p>
        </w:tc>
        <w:tc>
          <w:tcPr>
            <w:tcW w:w="1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23,334</w:t>
            </w:r>
          </w:p>
        </w:tc>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Vests on 07/01/2024</w:t>
            </w:r>
          </w:p>
        </w:tc>
        <w:tc>
          <w:tcPr>
            <w:tcW w:w="0" w:type="dxa"/>
            <w:vAlign w:val="bottom"/>
          </w:tcPr>
          <w:p>
            <w:pPr>
              <w:spacing w:after="0"/>
              <w:rPr>
                <w:sz w:val="1"/>
                <w:szCs w:val="1"/>
                <w:color w:val="auto"/>
              </w:rPr>
            </w:pPr>
          </w:p>
        </w:tc>
      </w:tr>
      <w:tr>
        <w:trPr>
          <w:trHeight w:val="216"/>
        </w:trPr>
        <w:tc>
          <w:tcPr>
            <w:tcW w:w="1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2021</w:t>
            </w: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02/10/2021</w:t>
            </w:r>
          </w:p>
        </w:tc>
        <w:tc>
          <w:tcPr>
            <w:tcW w:w="19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16,412</w:t>
            </w:r>
          </w:p>
        </w:tc>
        <w:tc>
          <w:tcPr>
            <w:tcW w:w="2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Vests on 12/31/2024</w:t>
            </w:r>
          </w:p>
        </w:tc>
        <w:tc>
          <w:tcPr>
            <w:tcW w:w="0" w:type="dxa"/>
            <w:vAlign w:val="bottom"/>
          </w:tcPr>
          <w:p>
            <w:pPr>
              <w:spacing w:after="0"/>
              <w:rPr>
                <w:sz w:val="1"/>
                <w:szCs w:val="1"/>
                <w:color w:val="auto"/>
              </w:rPr>
            </w:pPr>
          </w:p>
        </w:tc>
      </w:tr>
      <w:tr>
        <w:trPr>
          <w:trHeight w:val="230"/>
        </w:trPr>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39,746</w:t>
            </w: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Performance period 1/1/ 2021 through</w:t>
            </w:r>
          </w:p>
        </w:tc>
        <w:tc>
          <w:tcPr>
            <w:tcW w:w="0" w:type="dxa"/>
            <w:vAlign w:val="bottom"/>
          </w:tcPr>
          <w:p>
            <w:pPr>
              <w:spacing w:after="0"/>
              <w:rPr>
                <w:sz w:val="1"/>
                <w:szCs w:val="1"/>
                <w:color w:val="auto"/>
              </w:rPr>
            </w:pPr>
          </w:p>
        </w:tc>
      </w:tr>
      <w:tr>
        <w:trPr>
          <w:trHeight w:val="141"/>
        </w:trPr>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880" w:type="dxa"/>
            <w:vAlign w:val="bottom"/>
            <w:shd w:val="clear" w:color="auto" w:fill="CCEEFF"/>
          </w:tcPr>
          <w:p>
            <w:pPr>
              <w:ind w:left="120"/>
              <w:spacing w:after="0" w:line="141" w:lineRule="exact"/>
              <w:rPr>
                <w:sz w:val="20"/>
                <w:szCs w:val="20"/>
                <w:color w:val="auto"/>
              </w:rPr>
            </w:pPr>
            <w:r>
              <w:rPr>
                <w:rFonts w:ascii="Times New Roman" w:cs="Times New Roman" w:eastAsia="Times New Roman" w:hAnsi="Times New Roman"/>
                <w:sz w:val="14"/>
                <w:szCs w:val="14"/>
                <w:color w:val="auto"/>
              </w:rPr>
              <w:t>12/31/2023, then vests ratably over three years</w:t>
            </w: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2021</w:t>
            </w:r>
          </w:p>
        </w:tc>
        <w:tc>
          <w:tcPr>
            <w:tcW w:w="1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FCF Program</w:t>
            </w:r>
          </w:p>
        </w:tc>
        <w:tc>
          <w:tcPr>
            <w:tcW w:w="100" w:type="dxa"/>
            <w:vAlign w:val="bottom"/>
            <w:shd w:val="clear" w:color="auto" w:fill="CCEEFF"/>
          </w:tcPr>
          <w:p>
            <w:pPr>
              <w:spacing w:after="0"/>
              <w:rPr>
                <w:sz w:val="11"/>
                <w:szCs w:val="11"/>
                <w:color w:val="auto"/>
              </w:rPr>
            </w:pPr>
          </w:p>
        </w:tc>
        <w:tc>
          <w:tcPr>
            <w:tcW w:w="1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01/07/2021</w:t>
            </w:r>
          </w:p>
        </w:tc>
        <w:tc>
          <w:tcPr>
            <w:tcW w:w="198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375,000</w:t>
            </w:r>
          </w:p>
        </w:tc>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in equal installments on 7/1/2024, 7/1/2025, and</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vMerge w:val="continue"/>
            <w:shd w:val="clear" w:color="auto" w:fill="CCEEFF"/>
          </w:tcPr>
          <w:p>
            <w:pPr>
              <w:spacing w:after="0"/>
              <w:rPr>
                <w:sz w:val="15"/>
                <w:szCs w:val="15"/>
                <w:color w:val="auto"/>
              </w:rPr>
            </w:pPr>
          </w:p>
        </w:tc>
        <w:tc>
          <w:tcPr>
            <w:tcW w:w="1980" w:type="dxa"/>
            <w:vAlign w:val="bottom"/>
            <w:gridSpan w:val="2"/>
            <w:vMerge w:val="continue"/>
            <w:shd w:val="clear" w:color="auto" w:fill="CCEEFF"/>
          </w:tcPr>
          <w:p>
            <w:pPr>
              <w:spacing w:after="0"/>
              <w:rPr>
                <w:sz w:val="15"/>
                <w:szCs w:val="15"/>
                <w:color w:val="auto"/>
              </w:rPr>
            </w:pPr>
          </w:p>
        </w:tc>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7/1/2026</w:t>
            </w:r>
          </w:p>
        </w:tc>
        <w:tc>
          <w:tcPr>
            <w:tcW w:w="0" w:type="dxa"/>
            <w:vAlign w:val="bottom"/>
          </w:tcPr>
          <w:p>
            <w:pPr>
              <w:spacing w:after="0"/>
              <w:rPr>
                <w:sz w:val="1"/>
                <w:szCs w:val="1"/>
                <w:color w:val="auto"/>
              </w:rPr>
            </w:pPr>
          </w:p>
        </w:tc>
      </w:tr>
      <w:tr>
        <w:trPr>
          <w:trHeight w:val="159"/>
        </w:trPr>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288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4"/>
                <w:szCs w:val="14"/>
                <w:color w:val="auto"/>
              </w:rPr>
              <w:t>Performance period 1/1/2023 through</w:t>
            </w:r>
          </w:p>
        </w:tc>
        <w:tc>
          <w:tcPr>
            <w:tcW w:w="0" w:type="dxa"/>
            <w:vAlign w:val="bottom"/>
          </w:tcPr>
          <w:p>
            <w:pPr>
              <w:spacing w:after="0"/>
              <w:rPr>
                <w:sz w:val="1"/>
                <w:szCs w:val="1"/>
                <w:color w:val="auto"/>
              </w:rPr>
            </w:pPr>
          </w:p>
        </w:tc>
      </w:tr>
      <w:tr>
        <w:trPr>
          <w:trHeight w:val="141"/>
        </w:trPr>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880" w:type="dxa"/>
            <w:vAlign w:val="bottom"/>
            <w:shd w:val="clear" w:color="auto" w:fill="CCEEFF"/>
          </w:tcPr>
          <w:p>
            <w:pPr>
              <w:ind w:left="120"/>
              <w:spacing w:after="0" w:line="141" w:lineRule="exact"/>
              <w:rPr>
                <w:sz w:val="20"/>
                <w:szCs w:val="20"/>
                <w:color w:val="auto"/>
              </w:rPr>
            </w:pPr>
            <w:r>
              <w:rPr>
                <w:rFonts w:ascii="Times New Roman" w:cs="Times New Roman" w:eastAsia="Times New Roman" w:hAnsi="Times New Roman"/>
                <w:sz w:val="14"/>
                <w:szCs w:val="14"/>
                <w:color w:val="auto"/>
              </w:rPr>
              <w:t>12/31/2023, then vests ratably over three years</w:t>
            </w: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2023</w:t>
            </w:r>
          </w:p>
        </w:tc>
        <w:tc>
          <w:tcPr>
            <w:tcW w:w="1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1"/>
                <w:szCs w:val="11"/>
                <w:color w:val="auto"/>
              </w:rPr>
            </w:pPr>
          </w:p>
        </w:tc>
        <w:tc>
          <w:tcPr>
            <w:tcW w:w="1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03/03/2023</w:t>
            </w:r>
          </w:p>
        </w:tc>
        <w:tc>
          <w:tcPr>
            <w:tcW w:w="10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18,828</w:t>
            </w:r>
          </w:p>
        </w:tc>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w w:val="99"/>
              </w:rPr>
              <w:t>in equal installments on 12/31/2024, 12/31/2025,</w:t>
            </w:r>
          </w:p>
        </w:tc>
        <w:tc>
          <w:tcPr>
            <w:tcW w:w="0" w:type="dxa"/>
            <w:vAlign w:val="bottom"/>
          </w:tcPr>
          <w:p>
            <w:pPr>
              <w:spacing w:after="0"/>
              <w:rPr>
                <w:sz w:val="1"/>
                <w:szCs w:val="1"/>
                <w:color w:val="auto"/>
              </w:rPr>
            </w:pPr>
          </w:p>
        </w:tc>
      </w:tr>
      <w:tr>
        <w:trPr>
          <w:trHeight w:val="207"/>
        </w:trPr>
        <w:tc>
          <w:tcPr>
            <w:tcW w:w="1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vMerge w:val="continue"/>
            <w:shd w:val="clear" w:color="auto" w:fill="CCEEFF"/>
          </w:tcPr>
          <w:p>
            <w:pPr>
              <w:spacing w:after="0"/>
              <w:rPr>
                <w:sz w:val="17"/>
                <w:szCs w:val="17"/>
                <w:color w:val="auto"/>
              </w:rPr>
            </w:pPr>
          </w:p>
        </w:tc>
        <w:tc>
          <w:tcPr>
            <w:tcW w:w="154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auto"/>
            </w:tcBorders>
            <w:vMerge w:val="continue"/>
            <w:shd w:val="clear" w:color="auto" w:fill="CCEEFF"/>
          </w:tcPr>
          <w:p>
            <w:pPr>
              <w:spacing w:after="0"/>
              <w:rPr>
                <w:sz w:val="17"/>
                <w:szCs w:val="17"/>
                <w:color w:val="auto"/>
              </w:rPr>
            </w:pPr>
          </w:p>
        </w:tc>
        <w:tc>
          <w:tcPr>
            <w:tcW w:w="2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12/31/2026</w:t>
            </w:r>
          </w:p>
        </w:tc>
        <w:tc>
          <w:tcPr>
            <w:tcW w:w="0" w:type="dxa"/>
            <w:vAlign w:val="bottom"/>
          </w:tcPr>
          <w:p>
            <w:pPr>
              <w:spacing w:after="0"/>
              <w:rPr>
                <w:sz w:val="1"/>
                <w:szCs w:val="1"/>
                <w:color w:val="auto"/>
              </w:rPr>
            </w:pPr>
          </w:p>
        </w:tc>
      </w:tr>
      <w:tr>
        <w:trPr>
          <w:trHeight w:val="208"/>
        </w:trPr>
        <w:tc>
          <w:tcPr>
            <w:tcW w:w="1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393,828</w:t>
            </w:r>
          </w:p>
        </w:tc>
        <w:tc>
          <w:tcPr>
            <w:tcW w:w="2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gridSpan w:val="3"/>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Matthew Galvanoni</w:t>
            </w:r>
          </w:p>
        </w:tc>
        <w:tc>
          <w:tcPr>
            <w:tcW w:w="100" w:type="dxa"/>
            <w:vAlign w:val="bottom"/>
          </w:tcPr>
          <w:p>
            <w:pPr>
              <w:spacing w:after="0"/>
              <w:rPr>
                <w:sz w:val="21"/>
                <w:szCs w:val="21"/>
                <w:color w:val="auto"/>
              </w:rPr>
            </w:pP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2021 Program</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03/15/2021</w:t>
            </w:r>
          </w:p>
        </w:tc>
        <w:tc>
          <w:tcPr>
            <w:tcW w:w="19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9,118</w:t>
            </w:r>
          </w:p>
        </w:tc>
        <w:tc>
          <w:tcPr>
            <w:tcW w:w="2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Vests on 12/31/2024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Performance period 1/1/2023 through</w:t>
            </w:r>
          </w:p>
        </w:tc>
        <w:tc>
          <w:tcPr>
            <w:tcW w:w="0" w:type="dxa"/>
            <w:vAlign w:val="bottom"/>
          </w:tcPr>
          <w:p>
            <w:pPr>
              <w:spacing w:after="0" w:line="20" w:lineRule="exact"/>
              <w:rPr>
                <w:sz w:val="1"/>
                <w:szCs w:val="1"/>
                <w:color w:val="auto"/>
              </w:rPr>
            </w:pPr>
          </w:p>
        </w:tc>
      </w:tr>
      <w:tr>
        <w:trPr>
          <w:trHeight w:val="193"/>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80" w:type="dxa"/>
            <w:vAlign w:val="bottom"/>
          </w:tcPr>
          <w:p>
            <w:pPr>
              <w:ind w:left="120"/>
              <w:spacing w:after="0" w:line="141" w:lineRule="exact"/>
              <w:rPr>
                <w:sz w:val="20"/>
                <w:szCs w:val="20"/>
                <w:color w:val="auto"/>
              </w:rPr>
            </w:pPr>
            <w:r>
              <w:rPr>
                <w:rFonts w:ascii="Times New Roman" w:cs="Times New Roman" w:eastAsia="Times New Roman" w:hAnsi="Times New Roman"/>
                <w:sz w:val="14"/>
                <w:szCs w:val="14"/>
                <w:color w:val="auto"/>
              </w:rPr>
              <w:t>12/31/2023, then vests ratably over three years</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99"/>
              </w:rPr>
              <w:t>2023</w:t>
            </w: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Program</w:t>
            </w:r>
            <w:r>
              <w:rPr>
                <w:rFonts w:ascii="Times New Roman" w:cs="Times New Roman" w:eastAsia="Times New Roman" w:hAnsi="Times New Roman"/>
                <w:sz w:val="18"/>
                <w:szCs w:val="18"/>
                <w:color w:val="auto"/>
                <w:vertAlign w:val="superscript"/>
              </w:rPr>
              <w:t>(1)</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03/03/2023</w:t>
            </w:r>
          </w:p>
        </w:tc>
        <w:tc>
          <w:tcPr>
            <w:tcW w:w="19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10,460</w:t>
            </w:r>
          </w:p>
        </w:tc>
        <w:tc>
          <w:tcPr>
            <w:tcW w:w="288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w w:val="99"/>
              </w:rPr>
              <w:t>in equal installments on 12/31/2024, 12/31/2025,</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12/31/2026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640" w:hanging="319"/>
        <w:spacing w:after="0" w:line="257" w:lineRule="auto"/>
        <w:tabs>
          <w:tab w:leader="none" w:pos="6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SEC rules, this reflects the threshold payout of shares of the 2023 Program for Messrs. Sandri and Galvanoni as that is the next higher achievement level from the prior year achievement.</w:t>
      </w:r>
    </w:p>
    <w:p>
      <w:pPr>
        <w:ind w:left="320" w:hanging="315"/>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Values determined based on December 31, 2023 closing market price of our common stock of $27.66 per share.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9"/>
          <w:szCs w:val="19"/>
          <w:b w:val="1"/>
          <w:bCs w:val="1"/>
          <w:color w:val="auto"/>
        </w:rPr>
        <w:t>Stock Vested in Fiscal Year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following table provides information regarding shares that vested during fiscal year 2023 of our NEOs:</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8"/>
                <w:szCs w:val="18"/>
                <w:b w:val="1"/>
                <w:bCs w:val="1"/>
                <w:color w:val="auto"/>
                <w:vertAlign w:val="superscript"/>
              </w:rPr>
              <w:t>(a)</w:t>
            </w:r>
          </w:p>
        </w:tc>
        <w:tc>
          <w:tcPr>
            <w:tcW w:w="2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4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tcPr>
          <w:p>
            <w:pPr>
              <w:jc w:val="center"/>
              <w:ind w:left="710"/>
              <w:spacing w:after="0" w:line="125" w:lineRule="exact"/>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80" w:type="dxa"/>
            <w:vAlign w:val="bottom"/>
          </w:tcPr>
          <w:p>
            <w:pPr>
              <w:jc w:val="center"/>
              <w:ind w:right="728"/>
              <w:spacing w:after="0" w:line="125" w:lineRule="exact"/>
              <w:rPr>
                <w:sz w:val="20"/>
                <w:szCs w:val="20"/>
                <w:color w:val="auto"/>
              </w:rPr>
            </w:pPr>
            <w:r>
              <w:rPr>
                <w:rFonts w:ascii="Times New Roman" w:cs="Times New Roman" w:eastAsia="Times New Roman" w:hAnsi="Times New Roman"/>
                <w:sz w:val="14"/>
                <w:szCs w:val="14"/>
                <w:b w:val="1"/>
                <w:bCs w:val="1"/>
                <w:color w:val="auto"/>
                <w:w w:val="97"/>
              </w:rPr>
              <w:t>Value Realized</w:t>
            </w:r>
          </w:p>
        </w:tc>
        <w:tc>
          <w:tcPr>
            <w:tcW w:w="0" w:type="dxa"/>
            <w:vAlign w:val="bottom"/>
          </w:tcPr>
          <w:p>
            <w:pPr>
              <w:spacing w:after="0"/>
              <w:rPr>
                <w:sz w:val="1"/>
                <w:szCs w:val="1"/>
                <w:color w:val="auto"/>
              </w:rPr>
            </w:pPr>
          </w:p>
        </w:tc>
      </w:tr>
      <w:tr>
        <w:trPr>
          <w:trHeight w:val="146"/>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40" w:type="dxa"/>
            <w:vAlign w:val="bottom"/>
          </w:tcPr>
          <w:p>
            <w:pPr>
              <w:jc w:val="center"/>
              <w:ind w:left="69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Acquired on Vesting</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tcPr>
          <w:p>
            <w:pPr>
              <w:jc w:val="center"/>
              <w:ind w:right="728"/>
              <w:spacing w:after="0" w:line="146" w:lineRule="exact"/>
              <w:rPr>
                <w:sz w:val="20"/>
                <w:szCs w:val="20"/>
                <w:color w:val="auto"/>
              </w:rPr>
            </w:pPr>
            <w:r>
              <w:rPr>
                <w:rFonts w:ascii="Times New Roman" w:cs="Times New Roman" w:eastAsia="Times New Roman" w:hAnsi="Times New Roman"/>
                <w:sz w:val="13"/>
                <w:szCs w:val="13"/>
                <w:b w:val="1"/>
                <w:bCs w:val="1"/>
                <w:color w:val="auto"/>
              </w:rPr>
              <w:t>on Vesting</w:t>
            </w:r>
            <w:r>
              <w:rPr>
                <w:rFonts w:ascii="Times New Roman" w:cs="Times New Roman" w:eastAsia="Times New Roman" w:hAnsi="Times New Roman"/>
                <w:sz w:val="16"/>
                <w:szCs w:val="16"/>
                <w:b w:val="1"/>
                <w:bCs w:val="1"/>
                <w:color w:val="auto"/>
                <w:vertAlign w:val="superscript"/>
              </w:rPr>
              <w:t>(b)</w:t>
            </w:r>
          </w:p>
        </w:tc>
        <w:tc>
          <w:tcPr>
            <w:tcW w:w="0" w:type="dxa"/>
            <w:vAlign w:val="bottom"/>
          </w:tcPr>
          <w:p>
            <w:pPr>
              <w:spacing w:after="0"/>
              <w:rPr>
                <w:sz w:val="1"/>
                <w:szCs w:val="1"/>
                <w:color w:val="auto"/>
              </w:rPr>
            </w:pPr>
          </w:p>
        </w:tc>
      </w:tr>
      <w:tr>
        <w:trPr>
          <w:trHeight w:val="190"/>
        </w:trPr>
        <w:tc>
          <w:tcPr>
            <w:tcW w:w="4500" w:type="dxa"/>
            <w:vAlign w:val="bottom"/>
            <w:gridSpan w:val="2"/>
            <w:vMerge w:val="continue"/>
          </w:tcPr>
          <w:p>
            <w:pPr>
              <w:spacing w:after="0"/>
              <w:rPr>
                <w:sz w:val="16"/>
                <w:szCs w:val="16"/>
                <w:color w:val="auto"/>
              </w:rPr>
            </w:pPr>
          </w:p>
        </w:tc>
        <w:tc>
          <w:tcPr>
            <w:tcW w:w="2540" w:type="dxa"/>
            <w:vAlign w:val="bottom"/>
          </w:tcPr>
          <w:p>
            <w:pPr>
              <w:jc w:val="center"/>
              <w:ind w:left="71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Fabio Sandri</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97,265</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2,540,550</w:t>
            </w:r>
          </w:p>
        </w:tc>
        <w:tc>
          <w:tcPr>
            <w:tcW w:w="0" w:type="dxa"/>
            <w:vAlign w:val="bottom"/>
          </w:tcPr>
          <w:p>
            <w:pPr>
              <w:spacing w:after="0"/>
              <w:rPr>
                <w:sz w:val="1"/>
                <w:szCs w:val="1"/>
                <w:color w:val="auto"/>
              </w:rPr>
            </w:pPr>
          </w:p>
        </w:tc>
      </w:tr>
      <w:tr>
        <w:trPr>
          <w:trHeight w:val="207"/>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Matthew Galvanoni</w:t>
            </w:r>
          </w:p>
        </w:tc>
        <w:tc>
          <w:tcPr>
            <w:tcW w:w="25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18,232</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513,322</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r>
      <w:r>
        <w:rPr>
          <w:sz w:val="20"/>
          <w:szCs w:val="20"/>
          <w:color w:val="auto"/>
        </w:rPr>
        <w:tab/>
      </w:r>
      <w:r>
        <w:rPr>
          <w:rFonts w:ascii="Times New Roman" w:cs="Times New Roman" w:eastAsia="Times New Roman" w:hAnsi="Times New Roman"/>
          <w:sz w:val="15"/>
          <w:szCs w:val="15"/>
          <w:color w:val="auto"/>
        </w:rPr>
        <w:t>Reflects the vesting of equity awards during fiscal year 2023, as further described below:</w:t>
      </w:r>
    </w:p>
    <w:p>
      <w:pPr>
        <w:spacing w:after="0" w:line="55"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21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6"/>
                <w:szCs w:val="16"/>
                <w:color w:val="auto"/>
              </w:rPr>
            </w:pPr>
          </w:p>
        </w:tc>
        <w:tc>
          <w:tcPr>
            <w:tcW w:w="2140" w:type="dxa"/>
            <w:vAlign w:val="bottom"/>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Date of Vesting</w:t>
            </w:r>
          </w:p>
        </w:tc>
      </w:tr>
      <w:tr>
        <w:trPr>
          <w:trHeight w:val="24"/>
        </w:trPr>
        <w:tc>
          <w:tcPr>
            <w:tcW w:w="3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Fabio Sandri</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 Program</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12/31/2022</w:t>
            </w:r>
          </w:p>
        </w:tc>
      </w:tr>
      <w:tr>
        <w:trPr>
          <w:trHeight w:val="209"/>
        </w:trPr>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 Program</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15,323</w:t>
            </w:r>
          </w:p>
        </w:tc>
        <w:tc>
          <w:tcPr>
            <w:tcW w:w="2280" w:type="dxa"/>
            <w:vAlign w:val="bottom"/>
            <w:gridSpan w:val="3"/>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12/31/2022</w:t>
            </w:r>
          </w:p>
        </w:tc>
      </w:tr>
      <w:tr>
        <w:trPr>
          <w:trHeight w:val="210"/>
        </w:trPr>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 Program</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16,411</w:t>
            </w:r>
          </w:p>
        </w:tc>
        <w:tc>
          <w:tcPr>
            <w:tcW w:w="2280" w:type="dxa"/>
            <w:vAlign w:val="bottom"/>
            <w:gridSpan w:val="3"/>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12/31/2022</w:t>
            </w:r>
          </w:p>
        </w:tc>
      </w:tr>
      <w:tr>
        <w:trPr>
          <w:trHeight w:val="210"/>
        </w:trPr>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Time-vesting</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w:t>
            </w:r>
          </w:p>
        </w:tc>
        <w:tc>
          <w:tcPr>
            <w:tcW w:w="2280" w:type="dxa"/>
            <w:vAlign w:val="bottom"/>
            <w:gridSpan w:val="3"/>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07/01/2023</w:t>
            </w:r>
          </w:p>
        </w:tc>
      </w:tr>
      <w:tr>
        <w:trPr>
          <w:trHeight w:val="210"/>
        </w:trPr>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 Program</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15,323</w:t>
            </w:r>
          </w:p>
        </w:tc>
        <w:tc>
          <w:tcPr>
            <w:tcW w:w="2280" w:type="dxa"/>
            <w:vAlign w:val="bottom"/>
            <w:gridSpan w:val="3"/>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12/31/2023</w:t>
            </w:r>
          </w:p>
        </w:tc>
      </w:tr>
      <w:tr>
        <w:trPr>
          <w:trHeight w:val="213"/>
        </w:trPr>
        <w:tc>
          <w:tcPr>
            <w:tcW w:w="3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 Program</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16,411</w:t>
            </w:r>
          </w:p>
        </w:tc>
        <w:tc>
          <w:tcPr>
            <w:tcW w:w="2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CCEEFF"/>
            </w:tcBorders>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8"/>
              </w:rPr>
              <w:t>12/31/2023</w:t>
            </w:r>
          </w:p>
        </w:tc>
      </w:tr>
      <w:tr>
        <w:trPr>
          <w:trHeight w:val="229"/>
        </w:trPr>
        <w:tc>
          <w:tcPr>
            <w:tcW w:w="3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97,265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r>
        <w:trPr>
          <w:trHeight w:val="25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22"/>
                <w:szCs w:val="22"/>
                <w:color w:val="auto"/>
              </w:rPr>
            </w:pPr>
          </w:p>
        </w:tc>
        <w:tc>
          <w:tcPr>
            <w:tcW w:w="21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22"/>
                <w:szCs w:val="22"/>
                <w:color w:val="auto"/>
              </w:rPr>
            </w:pPr>
          </w:p>
        </w:tc>
        <w:tc>
          <w:tcPr>
            <w:tcW w:w="2140" w:type="dxa"/>
            <w:vAlign w:val="bottom"/>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Date of Vesting</w:t>
            </w:r>
          </w:p>
        </w:tc>
      </w:tr>
      <w:tr>
        <w:trPr>
          <w:trHeight w:val="24"/>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2280" w:type="dxa"/>
            <w:vAlign w:val="bottom"/>
            <w:gridSpan w:val="3"/>
          </w:tcPr>
          <w:p>
            <w:pPr>
              <w:spacing w:after="0"/>
              <w:rPr>
                <w:sz w:val="2"/>
                <w:szCs w:val="2"/>
                <w:color w:val="auto"/>
              </w:rPr>
            </w:pPr>
          </w:p>
        </w:tc>
      </w:tr>
      <w:tr>
        <w:trPr>
          <w:trHeight w:val="200"/>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Matthew Galvanoni</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 Program</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9,116</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12/31/2022</w:t>
            </w:r>
          </w:p>
        </w:tc>
      </w:tr>
      <w:tr>
        <w:trPr>
          <w:trHeight w:val="212"/>
        </w:trPr>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 Program</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9,116</w:t>
            </w:r>
          </w:p>
        </w:tc>
        <w:tc>
          <w:tcPr>
            <w:tcW w:w="2280" w:type="dxa"/>
            <w:vAlign w:val="bottom"/>
            <w:gridSpan w:val="3"/>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12/31/2023</w:t>
            </w:r>
          </w:p>
        </w:tc>
      </w:tr>
      <w:tr>
        <w:trPr>
          <w:trHeight w:val="229"/>
        </w:trPr>
        <w:tc>
          <w:tcPr>
            <w:tcW w:w="3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1" w:lineRule="exact"/>
        <w:rPr>
          <w:sz w:val="20"/>
          <w:szCs w:val="20"/>
          <w:color w:val="auto"/>
        </w:rPr>
      </w:pPr>
    </w:p>
    <w:p>
      <w:pPr>
        <w:ind w:left="320" w:hanging="315"/>
        <w:spacing w:after="0" w:line="269"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market value of shares of our common stock vested on the applicable dates of vesting (including, for awards settled in cash, the aggregate cash value received from the Company).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Nonqualified Deferred Compensation for Fiscal Year 2023</w:t>
      </w:r>
    </w:p>
    <w:p>
      <w:pPr>
        <w:spacing w:after="0" w:line="180" w:lineRule="exact"/>
        <w:rPr>
          <w:sz w:val="20"/>
          <w:szCs w:val="20"/>
          <w:color w:val="auto"/>
        </w:rPr>
      </w:pPr>
    </w:p>
    <w:p>
      <w:pPr>
        <w:ind w:firstLine="631"/>
        <w:spacing w:after="0" w:line="296" w:lineRule="auto"/>
        <w:rPr>
          <w:sz w:val="20"/>
          <w:szCs w:val="20"/>
          <w:color w:val="auto"/>
        </w:rPr>
      </w:pPr>
      <w:r>
        <w:rPr>
          <w:rFonts w:ascii="Times New Roman" w:cs="Times New Roman" w:eastAsia="Times New Roman" w:hAnsi="Times New Roman"/>
          <w:sz w:val="19"/>
          <w:szCs w:val="19"/>
          <w:color w:val="auto"/>
        </w:rPr>
        <w:t>The following table sets forth information regarding the deferral of components of our NEOs’ compensation on a basis that is not tax-qualified for the fiscal year 2023:</w:t>
      </w:r>
    </w:p>
    <w:tbl>
      <w:tblPr>
        <w:tblLayout w:type="fixed"/>
        <w:tblInd w:w="160" w:type="dxa"/>
        <w:tblCellMar>
          <w:top w:w="0" w:type="dxa"/>
          <w:left w:w="0" w:type="dxa"/>
          <w:bottom w:w="0" w:type="dxa"/>
          <w:right w:w="0" w:type="dxa"/>
        </w:tblCellMar>
      </w:tblPr>
      <w:tr>
        <w:trPr>
          <w:trHeight w:val="156"/>
        </w:trPr>
        <w:tc>
          <w:tcPr>
            <w:tcW w:w="1880" w:type="dxa"/>
            <w:vAlign w:val="bottom"/>
          </w:tcPr>
          <w:p>
            <w:pPr>
              <w:spacing w:after="0"/>
              <w:rPr>
                <w:sz w:val="13"/>
                <w:szCs w:val="13"/>
                <w:color w:val="auto"/>
              </w:rPr>
            </w:pPr>
          </w:p>
        </w:tc>
        <w:tc>
          <w:tcPr>
            <w:tcW w:w="5700" w:type="dxa"/>
            <w:vAlign w:val="bottom"/>
            <w:gridSpan w:val="3"/>
            <w:vMerge w:val="restart"/>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Executive Contributions in Registrant Contributions in Aggregate Earnings (Loss)</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Aggregate Withdrawals/</w:t>
            </w:r>
          </w:p>
        </w:tc>
        <w:tc>
          <w:tcPr>
            <w:tcW w:w="17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Aggregate Balance at Last</w:t>
            </w:r>
          </w:p>
        </w:tc>
        <w:tc>
          <w:tcPr>
            <w:tcW w:w="0" w:type="dxa"/>
            <w:vAlign w:val="bottom"/>
          </w:tcPr>
          <w:p>
            <w:pPr>
              <w:spacing w:after="0"/>
              <w:rPr>
                <w:sz w:val="1"/>
                <w:szCs w:val="1"/>
                <w:color w:val="auto"/>
              </w:rPr>
            </w:pPr>
          </w:p>
        </w:tc>
      </w:tr>
      <w:tr>
        <w:trPr>
          <w:trHeight w:val="143"/>
        </w:trPr>
        <w:tc>
          <w:tcPr>
            <w:tcW w:w="1880" w:type="dxa"/>
            <w:vAlign w:val="bottom"/>
          </w:tcPr>
          <w:p>
            <w:pPr>
              <w:spacing w:after="0"/>
              <w:rPr>
                <w:sz w:val="12"/>
                <w:szCs w:val="12"/>
                <w:color w:val="auto"/>
              </w:rPr>
            </w:pPr>
          </w:p>
        </w:tc>
        <w:tc>
          <w:tcPr>
            <w:tcW w:w="5700" w:type="dxa"/>
            <w:vAlign w:val="bottom"/>
            <w:gridSpan w:val="3"/>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7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Fiscal</w:t>
            </w:r>
          </w:p>
        </w:tc>
        <w:tc>
          <w:tcPr>
            <w:tcW w:w="0" w:type="dxa"/>
            <w:vAlign w:val="bottom"/>
          </w:tcPr>
          <w:p>
            <w:pPr>
              <w:spacing w:after="0"/>
              <w:rPr>
                <w:sz w:val="1"/>
                <w:szCs w:val="1"/>
                <w:color w:val="auto"/>
              </w:rPr>
            </w:pPr>
          </w:p>
        </w:tc>
      </w:tr>
      <w:tr>
        <w:trPr>
          <w:trHeight w:val="145"/>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80" w:type="dxa"/>
            <w:vAlign w:val="bottom"/>
          </w:tcPr>
          <w:p>
            <w:pPr>
              <w:jc w:val="right"/>
              <w:ind w:right="348"/>
              <w:spacing w:after="0" w:line="145" w:lineRule="exact"/>
              <w:rPr>
                <w:sz w:val="20"/>
                <w:szCs w:val="20"/>
                <w:color w:val="auto"/>
              </w:rPr>
            </w:pPr>
            <w:r>
              <w:rPr>
                <w:rFonts w:ascii="Times New Roman" w:cs="Times New Roman" w:eastAsia="Times New Roman" w:hAnsi="Times New Roman"/>
                <w:sz w:val="13"/>
                <w:szCs w:val="13"/>
                <w:b w:val="1"/>
                <w:bCs w:val="1"/>
                <w:color w:val="auto"/>
              </w:rPr>
              <w:t>Last Fiscal Year</w:t>
            </w:r>
            <w:r>
              <w:rPr>
                <w:rFonts w:ascii="Times New Roman" w:cs="Times New Roman" w:eastAsia="Times New Roman" w:hAnsi="Times New Roman"/>
                <w:sz w:val="16"/>
                <w:szCs w:val="16"/>
                <w:b w:val="1"/>
                <w:bCs w:val="1"/>
                <w:color w:val="auto"/>
                <w:vertAlign w:val="superscript"/>
              </w:rPr>
              <w:t>(a)</w:t>
            </w:r>
          </w:p>
        </w:tc>
        <w:tc>
          <w:tcPr>
            <w:tcW w:w="1660" w:type="dxa"/>
            <w:vAlign w:val="bottom"/>
          </w:tcPr>
          <w:p>
            <w:pPr>
              <w:jc w:val="center"/>
              <w:ind w:right="127"/>
              <w:spacing w:after="0" w:line="145" w:lineRule="exact"/>
              <w:rPr>
                <w:sz w:val="20"/>
                <w:szCs w:val="20"/>
                <w:color w:val="auto"/>
              </w:rPr>
            </w:pPr>
            <w:r>
              <w:rPr>
                <w:rFonts w:ascii="Times New Roman" w:cs="Times New Roman" w:eastAsia="Times New Roman" w:hAnsi="Times New Roman"/>
                <w:sz w:val="13"/>
                <w:szCs w:val="13"/>
                <w:b w:val="1"/>
                <w:bCs w:val="1"/>
                <w:color w:val="auto"/>
              </w:rPr>
              <w:t>Last Fiscal Year</w:t>
            </w:r>
            <w:r>
              <w:rPr>
                <w:rFonts w:ascii="Times New Roman" w:cs="Times New Roman" w:eastAsia="Times New Roman" w:hAnsi="Times New Roman"/>
                <w:sz w:val="16"/>
                <w:szCs w:val="16"/>
                <w:b w:val="1"/>
                <w:bCs w:val="1"/>
                <w:color w:val="auto"/>
                <w:vertAlign w:val="superscript"/>
              </w:rPr>
              <w:t>(b)</w:t>
            </w:r>
          </w:p>
        </w:tc>
        <w:tc>
          <w:tcPr>
            <w:tcW w:w="1660" w:type="dxa"/>
            <w:vAlign w:val="bottom"/>
          </w:tcPr>
          <w:p>
            <w:pPr>
              <w:jc w:val="right"/>
              <w:ind w:right="207"/>
              <w:spacing w:after="0" w:line="145" w:lineRule="exact"/>
              <w:rPr>
                <w:sz w:val="20"/>
                <w:szCs w:val="20"/>
                <w:color w:val="auto"/>
              </w:rPr>
            </w:pPr>
            <w:r>
              <w:rPr>
                <w:rFonts w:ascii="Times New Roman" w:cs="Times New Roman" w:eastAsia="Times New Roman" w:hAnsi="Times New Roman"/>
                <w:sz w:val="13"/>
                <w:szCs w:val="13"/>
                <w:b w:val="1"/>
                <w:bCs w:val="1"/>
                <w:color w:val="auto"/>
              </w:rPr>
              <w:t>in Last Fiscal Year</w:t>
            </w:r>
            <w:r>
              <w:rPr>
                <w:rFonts w:ascii="Times New Roman" w:cs="Times New Roman" w:eastAsia="Times New Roman" w:hAnsi="Times New Roman"/>
                <w:sz w:val="16"/>
                <w:szCs w:val="16"/>
                <w:b w:val="1"/>
                <w:bCs w:val="1"/>
                <w:color w:val="auto"/>
                <w:vertAlign w:val="superscript"/>
              </w:rPr>
              <w:t>(c)</w:t>
            </w:r>
          </w:p>
        </w:tc>
        <w:tc>
          <w:tcPr>
            <w:tcW w:w="1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Year End</w:t>
            </w:r>
          </w:p>
        </w:tc>
        <w:tc>
          <w:tcPr>
            <w:tcW w:w="0" w:type="dxa"/>
            <w:vAlign w:val="bottom"/>
          </w:tcPr>
          <w:p>
            <w:pPr>
              <w:spacing w:after="0"/>
              <w:rPr>
                <w:sz w:val="1"/>
                <w:szCs w:val="1"/>
                <w:color w:val="auto"/>
              </w:rPr>
            </w:pPr>
          </w:p>
        </w:tc>
      </w:tr>
      <w:tr>
        <w:trPr>
          <w:trHeight w:val="191"/>
        </w:trPr>
        <w:tc>
          <w:tcPr>
            <w:tcW w:w="1880" w:type="dxa"/>
            <w:vAlign w:val="bottom"/>
            <w:tcBorders>
              <w:bottom w:val="single" w:sz="8" w:color="auto"/>
            </w:tcBorders>
            <w:vMerge w:val="continue"/>
          </w:tcPr>
          <w:p>
            <w:pPr>
              <w:spacing w:after="0"/>
              <w:rPr>
                <w:sz w:val="16"/>
                <w:szCs w:val="16"/>
                <w:color w:val="auto"/>
              </w:rPr>
            </w:pPr>
          </w:p>
        </w:tc>
        <w:tc>
          <w:tcPr>
            <w:tcW w:w="238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Borders>
              <w:bottom w:val="single" w:sz="8" w:color="auto"/>
            </w:tcBorders>
          </w:tcPr>
          <w:p>
            <w:pPr>
              <w:jc w:val="right"/>
              <w:ind w:right="747"/>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Fabio Sandri</w:t>
            </w:r>
          </w:p>
        </w:tc>
        <w:tc>
          <w:tcPr>
            <w:tcW w:w="2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45,846</w:t>
            </w:r>
          </w:p>
        </w:tc>
        <w:tc>
          <w:tcPr>
            <w:tcW w:w="166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18,338</w:t>
            </w:r>
          </w:p>
        </w:tc>
        <w:tc>
          <w:tcPr>
            <w:tcW w:w="16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(40,813)</w:t>
            </w:r>
          </w:p>
        </w:tc>
        <w:tc>
          <w:tcPr>
            <w:tcW w:w="16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342,409</w:t>
            </w:r>
          </w:p>
        </w:tc>
        <w:tc>
          <w:tcPr>
            <w:tcW w:w="0" w:type="dxa"/>
            <w:vAlign w:val="bottom"/>
          </w:tcPr>
          <w:p>
            <w:pPr>
              <w:spacing w:after="0"/>
              <w:rPr>
                <w:sz w:val="1"/>
                <w:szCs w:val="1"/>
                <w:color w:val="auto"/>
              </w:rPr>
            </w:pPr>
          </w:p>
        </w:tc>
      </w:tr>
      <w:tr>
        <w:trPr>
          <w:trHeight w:val="207"/>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Matthew Galvanoni</w:t>
            </w:r>
          </w:p>
        </w:tc>
        <w:tc>
          <w:tcPr>
            <w:tcW w:w="2380" w:type="dxa"/>
            <w:vAlign w:val="bottom"/>
          </w:tcPr>
          <w:p>
            <w:pPr>
              <w:jc w:val="right"/>
              <w:ind w:right="108"/>
              <w:spacing w:after="0"/>
              <w:rPr>
                <w:sz w:val="20"/>
                <w:szCs w:val="20"/>
                <w:color w:val="auto"/>
              </w:rPr>
            </w:pPr>
            <w:r>
              <w:rPr>
                <w:rFonts w:ascii="Times New Roman" w:cs="Times New Roman" w:eastAsia="Times New Roman" w:hAnsi="Times New Roman"/>
                <w:sz w:val="16"/>
                <w:szCs w:val="16"/>
                <w:color w:val="auto"/>
              </w:rPr>
              <w:t>45,374</w:t>
            </w:r>
          </w:p>
        </w:tc>
        <w:tc>
          <w:tcPr>
            <w:tcW w:w="166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14,082</w:t>
            </w:r>
          </w:p>
        </w:tc>
        <w:tc>
          <w:tcPr>
            <w:tcW w:w="166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(10,932)</w:t>
            </w:r>
          </w:p>
        </w:tc>
        <w:tc>
          <w:tcPr>
            <w:tcW w:w="164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95,220</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20" w:right="460" w:hanging="315"/>
        <w:spacing w:after="0" w:line="257" w:lineRule="auto"/>
        <w:tabs>
          <w:tab w:leader="none" w:pos="31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for the Deferred Compensation Plan represent salary and bonus deferrals pursuant to the Deferred Compensation Plan and are included in the “Salary” amounts in the Summary Compensation Table above.</w:t>
      </w:r>
    </w:p>
    <w:p>
      <w:pPr>
        <w:jc w:val="both"/>
        <w:ind w:left="320" w:hanging="315"/>
        <w:spacing w:after="0" w:line="252"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for the Deferred Compensation Plan represent company-matching awards pursuant to the Deferred Compensation Plan and are included in the “All Other Compensation” amounts in the Summary Compensation Table above. For 2023 and 2022, Mr. Sandri received $18,338 and $26,400 in matching contributions, respectively, and Mr. Galvanoni received $14,082 and $6,000 in matching contributions, respectively. As a result, these sums were included as compensation in the Summary Compensation Table in previous years for the year earned, as applicable.</w:t>
      </w:r>
    </w:p>
    <w:p>
      <w:pPr>
        <w:spacing w:after="0" w:line="2" w:lineRule="exact"/>
        <w:rPr>
          <w:rFonts w:ascii="Times New Roman" w:cs="Times New Roman" w:eastAsia="Times New Roman" w:hAnsi="Times New Roman"/>
          <w:sz w:val="16"/>
          <w:szCs w:val="16"/>
          <w:color w:val="auto"/>
        </w:rPr>
      </w:pPr>
    </w:p>
    <w:p>
      <w:pPr>
        <w:ind w:left="320" w:hanging="315"/>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above-market or preferential earnings with respect to any deferred compensation balances.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2023 Potential Payments Upon Termination or Change-in-Control</w:t>
      </w:r>
    </w:p>
    <w:p>
      <w:pPr>
        <w:spacing w:after="0" w:line="180"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The information below describes certain compensation that would be paid to our NEOs in the event of a termination of their respective employment with the Company or under certain circumstances in the event of a change-in-control of the Company as of the last business day of fiscal year 2023. Our NEOs would not receive any payments or benefits upon termination for cause. The Company also has no arrangements under which the NEOs would receive any payments or benefits upon a change-in-control of the Company other than immediate vesting under certain circumstances of RSUs granted to the NEOs under the Plan.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36" w:name="page37"/>
    <w:bookmarkEnd w:id="36"/>
    <w:tbl>
      <w:tblPr>
        <w:tblLayout w:type="fixed"/>
        <w:tblInd w:w="106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Termination Other than</w:t>
            </w: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Termination due to Death</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rPr>
              <w:t>for Cause,</w:t>
            </w: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rPr>
              <w:t>Death or</w:t>
            </w:r>
          </w:p>
        </w:tc>
        <w:tc>
          <w:tcPr>
            <w:tcW w:w="160" w:type="dxa"/>
            <w:vAlign w:val="bottom"/>
          </w:tcPr>
          <w:p>
            <w:pPr>
              <w:spacing w:after="0"/>
              <w:rPr>
                <w:sz w:val="12"/>
                <w:szCs w:val="12"/>
                <w:color w:val="auto"/>
              </w:rPr>
            </w:pPr>
          </w:p>
        </w:tc>
        <w:tc>
          <w:tcPr>
            <w:tcW w:w="1440" w:type="dxa"/>
            <w:vAlign w:val="bottom"/>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Change-in-Control</w:t>
            </w:r>
          </w:p>
        </w:tc>
        <w:tc>
          <w:tcPr>
            <w:tcW w:w="0" w:type="dxa"/>
            <w:vAlign w:val="bottom"/>
          </w:tcPr>
          <w:p>
            <w:pPr>
              <w:spacing w:after="0"/>
              <w:rPr>
                <w:sz w:val="1"/>
                <w:szCs w:val="1"/>
                <w:color w:val="auto"/>
              </w:rPr>
            </w:pPr>
          </w:p>
        </w:tc>
      </w:tr>
      <w:tr>
        <w:trPr>
          <w:trHeight w:val="145"/>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 / Element of Compensation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ind w:right="323"/>
              <w:spacing w:after="0" w:line="145"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Fabio Sandri</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120"/>
              <w:spacing w:after="0" w:line="214" w:lineRule="exact"/>
              <w:rPr>
                <w:sz w:val="20"/>
                <w:szCs w:val="20"/>
                <w:color w:val="auto"/>
              </w:rPr>
            </w:pPr>
            <w:r>
              <w:rPr>
                <w:rFonts w:ascii="Times New Roman" w:cs="Times New Roman" w:eastAsia="Times New Roman" w:hAnsi="Times New Roman"/>
                <w:sz w:val="16"/>
                <w:szCs w:val="16"/>
                <w:color w:val="auto"/>
              </w:rPr>
              <w:t>Severance payment</w:t>
            </w:r>
            <w:r>
              <w:rPr>
                <w:rFonts w:ascii="Times New Roman" w:cs="Times New Roman" w:eastAsia="Times New Roman" w:hAnsi="Times New Roman"/>
                <w:sz w:val="20"/>
                <w:szCs w:val="20"/>
                <w:color w:val="auto"/>
                <w:vertAlign w:val="superscript"/>
              </w:rPr>
              <w:t>(a)</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711,538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6"/>
                <w:szCs w:val="16"/>
                <w:color w:val="auto"/>
              </w:rPr>
              <w:t>Self-insured payments</w:t>
            </w:r>
            <w:r>
              <w:rPr>
                <w:rFonts w:ascii="Times New Roman" w:cs="Times New Roman" w:eastAsia="Times New Roman" w:hAnsi="Times New Roman"/>
                <w:sz w:val="20"/>
                <w:szCs w:val="20"/>
                <w:color w:val="auto"/>
                <w:vertAlign w:val="superscript"/>
              </w:rPr>
              <w:t>(b)</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6"/>
                <w:szCs w:val="16"/>
                <w:color w:val="auto"/>
              </w:rPr>
              <w:t>Immediate vesting of RSUs</w:t>
            </w:r>
            <w:r>
              <w:rPr>
                <w:rFonts w:ascii="Times New Roman" w:cs="Times New Roman" w:eastAsia="Times New Roman" w:hAnsi="Times New Roman"/>
                <w:sz w:val="20"/>
                <w:szCs w:val="20"/>
                <w:color w:val="auto"/>
                <w:vertAlign w:val="superscript"/>
              </w:rPr>
              <w:t>(c)</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8,715,362</w:t>
            </w:r>
          </w:p>
        </w:tc>
        <w:tc>
          <w:tcPr>
            <w:tcW w:w="0" w:type="dxa"/>
            <w:vAlign w:val="bottom"/>
          </w:tcPr>
          <w:p>
            <w:pPr>
              <w:spacing w:after="0"/>
              <w:rPr>
                <w:sz w:val="1"/>
                <w:szCs w:val="1"/>
                <w:color w:val="auto"/>
              </w:rPr>
            </w:pPr>
          </w:p>
        </w:tc>
      </w:tr>
      <w:tr>
        <w:trPr>
          <w:trHeight w:val="228"/>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for Mr. Sandri</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8,515,000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711,538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8,715,362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Matthew Galvanoni</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120"/>
              <w:spacing w:after="0" w:line="210" w:lineRule="exact"/>
              <w:rPr>
                <w:sz w:val="20"/>
                <w:szCs w:val="20"/>
                <w:color w:val="auto"/>
              </w:rPr>
            </w:pPr>
            <w:r>
              <w:rPr>
                <w:rFonts w:ascii="Times New Roman" w:cs="Times New Roman" w:eastAsia="Times New Roman" w:hAnsi="Times New Roman"/>
                <w:sz w:val="16"/>
                <w:szCs w:val="16"/>
                <w:color w:val="auto"/>
              </w:rPr>
              <w:t>Severance payment</w:t>
            </w:r>
            <w:r>
              <w:rPr>
                <w:rFonts w:ascii="Times New Roman" w:cs="Times New Roman" w:eastAsia="Times New Roman" w:hAnsi="Times New Roman"/>
                <w:sz w:val="20"/>
                <w:szCs w:val="20"/>
                <w:color w:val="auto"/>
                <w:vertAlign w:val="superscript"/>
              </w:rPr>
              <w:t>(a)</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180,000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020" w:type="dxa"/>
            <w:vAlign w:val="bottom"/>
          </w:tcPr>
          <w:p>
            <w:pPr>
              <w:ind w:left="120"/>
              <w:spacing w:after="0" w:line="210" w:lineRule="exact"/>
              <w:rPr>
                <w:sz w:val="20"/>
                <w:szCs w:val="20"/>
                <w:color w:val="auto"/>
              </w:rPr>
            </w:pPr>
            <w:r>
              <w:rPr>
                <w:rFonts w:ascii="Times New Roman" w:cs="Times New Roman" w:eastAsia="Times New Roman" w:hAnsi="Times New Roman"/>
                <w:sz w:val="16"/>
                <w:szCs w:val="16"/>
                <w:color w:val="auto"/>
              </w:rPr>
              <w:t>Self-insured payments</w:t>
            </w:r>
            <w:r>
              <w:rPr>
                <w:rFonts w:ascii="Times New Roman" w:cs="Times New Roman" w:eastAsia="Times New Roman" w:hAnsi="Times New Roman"/>
                <w:sz w:val="20"/>
                <w:szCs w:val="20"/>
                <w:color w:val="auto"/>
                <w:vertAlign w:val="superscript"/>
              </w:rPr>
              <w:t>(b)</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020" w:type="dxa"/>
            <w:vAlign w:val="bottom"/>
          </w:tcPr>
          <w:p>
            <w:pPr>
              <w:ind w:left="120"/>
              <w:spacing w:after="0" w:line="220" w:lineRule="exact"/>
              <w:rPr>
                <w:sz w:val="20"/>
                <w:szCs w:val="20"/>
                <w:color w:val="auto"/>
              </w:rPr>
            </w:pPr>
            <w:r>
              <w:rPr>
                <w:rFonts w:ascii="Times New Roman" w:cs="Times New Roman" w:eastAsia="Times New Roman" w:hAnsi="Times New Roman"/>
                <w:sz w:val="16"/>
                <w:szCs w:val="16"/>
                <w:color w:val="auto"/>
              </w:rPr>
              <w:t>Immediate vesting of RSUs</w:t>
            </w:r>
            <w:r>
              <w:rPr>
                <w:rFonts w:ascii="Times New Roman" w:cs="Times New Roman" w:eastAsia="Times New Roman" w:hAnsi="Times New Roman"/>
                <w:sz w:val="20"/>
                <w:szCs w:val="20"/>
                <w:color w:val="auto"/>
                <w:vertAlign w:val="superscript"/>
              </w:rPr>
              <w:t>(c)</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641,629</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Total for Mr. Galvanoni</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180,000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641,629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320" w:hanging="315"/>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pursuant to the Severance Plan, as described in the Compensation Discussion and Analysis.</w:t>
      </w:r>
    </w:p>
    <w:p>
      <w:pPr>
        <w:spacing w:after="0" w:line="22" w:lineRule="exact"/>
        <w:rPr>
          <w:rFonts w:ascii="Times New Roman" w:cs="Times New Roman" w:eastAsia="Times New Roman" w:hAnsi="Times New Roman"/>
          <w:sz w:val="16"/>
          <w:szCs w:val="16"/>
          <w:color w:val="auto"/>
        </w:rPr>
      </w:pPr>
    </w:p>
    <w:p>
      <w:pPr>
        <w:jc w:val="both"/>
        <w:ind w:left="320" w:hanging="315"/>
        <w:spacing w:after="0" w:line="262" w:lineRule="auto"/>
        <w:tabs>
          <w:tab w:leader="none" w:pos="3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termination due to death not related to a business travel accident, the estate of Messrs. Sandri or Galvanoni would receive $1,000,000 from third-party insurers. For termination due to death related to a business travel accident, the estate of Messrs. Sandri or Galvanoni would receive $1,600,000 from third-party insurers. For termination due to long-term disability, Messrs. Sandri or Galvanoni may receive approximately $15,000 per month in long-term disability payments from third-party insurers.</w:t>
      </w:r>
    </w:p>
    <w:p>
      <w:pPr>
        <w:jc w:val="both"/>
        <w:ind w:left="320" w:hanging="315"/>
        <w:spacing w:after="0" w:line="250" w:lineRule="auto"/>
        <w:tabs>
          <w:tab w:leader="none" w:pos="31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2023 Program, if the NEO’s employment with the Company ends for any reason, including death, the outstanding awards are immediately forfeited. For Mr. Sandri, this amount reflects the target amount of 2021 FCF Program awards that would vest upon termination due to death or disability. The amount that would immediately vest would be prorated at the time of termination. If a change-in-control occurs and the equity awards are not converted, assumed or replaced by a successor entity, then immediately prior to the change-in-control the awards will become fully exercisable and all forfeiture restrictions on the awards will lapse. These amounts represent the value of each NEO’s unvested RSUs at the target level that would vest in the event of a change-in-control using the closing price of the Company’s common stock on the last trading day of the fiscal year ended December 31, 2023 of $27.66.</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CEO Pay Ratio for Fiscal Year End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Pay Ratio</w:t>
      </w:r>
    </w:p>
    <w:p>
      <w:pPr>
        <w:spacing w:after="0" w:line="167" w:lineRule="exact"/>
        <w:rPr>
          <w:sz w:val="20"/>
          <w:szCs w:val="20"/>
          <w:color w:val="auto"/>
        </w:rPr>
      </w:pPr>
    </w:p>
    <w:p>
      <w:pPr>
        <w:jc w:val="both"/>
        <w:ind w:firstLine="631"/>
        <w:spacing w:after="0" w:line="265" w:lineRule="auto"/>
        <w:rPr>
          <w:sz w:val="20"/>
          <w:szCs w:val="20"/>
          <w:color w:val="auto"/>
        </w:rPr>
      </w:pPr>
      <w:r>
        <w:rPr>
          <w:rFonts w:ascii="Times New Roman" w:cs="Times New Roman" w:eastAsia="Times New Roman" w:hAnsi="Times New Roman"/>
          <w:sz w:val="19"/>
          <w:szCs w:val="19"/>
          <w:color w:val="auto"/>
        </w:rPr>
        <w:t>Our CEO to median employee pay ratio has been calculated in accordance with SEC rules under the Dodd-Frank Wall Street Reform and Consumer Protection Act and in a manner consistent with Item 402(u) of Regulation S-K. Mr. Sandri’s annual total compensation in 2023 was $2,577,965. The median employee’s annual total compensation in 2023 was $33,072 calculated using the same methodology as used in the calculation of compensation for the Summary Compensation Table. As a result, the ratio of Mr. Sandri’s 2023 annual total compensation to the median employee’s 2023 annual total compensation was 77:1.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Identification of Median Employee</w:t>
      </w:r>
    </w:p>
    <w:p>
      <w:pPr>
        <w:spacing w:after="0" w:line="180"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For purposes of identifying the median employee, we evaluated all employees, other than Mr. Sandri, employed by Pilgrim’s Pride as of December 31, 2023 and calculated each such employee’s total cash compensation as of December 31, 2023. Total cash compensation consists of annual base pay, annual wages (not including overtime), and target incentive compensation and bonuses at 100% of bonus opportunity. We did not make any material assumptions, adjustments, or estimates with respect to total cash compensation. The total compensation of each employee other than Mr. Sandri was then ranked lowest to highest to identify the median employee for 2023.</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7" w:name="page38"/>
    <w:bookmarkEnd w:id="37"/>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PAY VERSUS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Pay Versus Performance Table</w:t>
      </w:r>
    </w:p>
    <w:p>
      <w:pPr>
        <w:spacing w:after="0" w:line="167" w:lineRule="exact"/>
        <w:rPr>
          <w:sz w:val="20"/>
          <w:szCs w:val="20"/>
          <w:color w:val="auto"/>
        </w:rPr>
      </w:pPr>
    </w:p>
    <w:p>
      <w:pPr>
        <w:jc w:val="both"/>
        <w:ind w:right="100" w:firstLine="631"/>
        <w:spacing w:after="0" w:line="270" w:lineRule="auto"/>
        <w:rPr>
          <w:sz w:val="20"/>
          <w:szCs w:val="20"/>
          <w:color w:val="auto"/>
        </w:rPr>
      </w:pPr>
      <w:r>
        <w:rPr>
          <w:rFonts w:ascii="Times New Roman" w:cs="Times New Roman" w:eastAsia="Times New Roman" w:hAnsi="Times New Roman"/>
          <w:sz w:val="19"/>
          <w:szCs w:val="19"/>
          <w:color w:val="auto"/>
        </w:rPr>
        <w:t>As discussed in our CD&amp;A above, our Compensation Committee aligns our executive pay with performance. The following table sets forth information regarding the compensation information for our NEOs and specific performance measures, including our company selected measure (“CSM”) for the 4 most recent fiscal years: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4"/>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Cumulative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4"/>
          </w:tcPr>
          <w:p>
            <w:pPr>
              <w:jc w:val="center"/>
              <w:ind w:right="80"/>
              <w:spacing w:after="0" w:line="197" w:lineRule="exact"/>
              <w:rPr>
                <w:sz w:val="20"/>
                <w:szCs w:val="20"/>
                <w:color w:val="auto"/>
              </w:rPr>
            </w:pPr>
            <w:r>
              <w:rPr>
                <w:rFonts w:ascii="Times New Roman" w:cs="Times New Roman" w:eastAsia="Times New Roman" w:hAnsi="Times New Roman"/>
                <w:sz w:val="19"/>
                <w:szCs w:val="19"/>
                <w:b w:val="1"/>
                <w:bCs w:val="1"/>
                <w:color w:val="auto"/>
                <w:w w:val="96"/>
              </w:rPr>
              <w:t>Total</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jc w:val="center"/>
              <w:ind w:right="100"/>
              <w:spacing w:after="0" w:line="184" w:lineRule="exact"/>
              <w:rPr>
                <w:sz w:val="20"/>
                <w:szCs w:val="20"/>
                <w:color w:val="auto"/>
              </w:rPr>
            </w:pPr>
            <w:r>
              <w:rPr>
                <w:rFonts w:ascii="Times New Roman" w:cs="Times New Roman" w:eastAsia="Times New Roman" w:hAnsi="Times New Roman"/>
                <w:sz w:val="19"/>
                <w:szCs w:val="19"/>
                <w:b w:val="1"/>
                <w:bCs w:val="1"/>
                <w:color w:val="auto"/>
                <w:w w:val="99"/>
              </w:rPr>
              <w:t>Shareholder</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4"/>
          </w:tcPr>
          <w:p>
            <w:pPr>
              <w:jc w:val="center"/>
              <w:ind w:right="100"/>
              <w:spacing w:after="0" w:line="197" w:lineRule="exact"/>
              <w:rPr>
                <w:sz w:val="20"/>
                <w:szCs w:val="20"/>
                <w:color w:val="auto"/>
              </w:rPr>
            </w:pPr>
            <w:r>
              <w:rPr>
                <w:rFonts w:ascii="Times New Roman" w:cs="Times New Roman" w:eastAsia="Times New Roman" w:hAnsi="Times New Roman"/>
                <w:sz w:val="19"/>
                <w:szCs w:val="19"/>
                <w:b w:val="1"/>
                <w:bCs w:val="1"/>
                <w:color w:val="auto"/>
              </w:rPr>
              <w:t>Return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4"/>
          </w:tcPr>
          <w:p>
            <w:pPr>
              <w:jc w:val="center"/>
              <w:ind w:right="100"/>
              <w:spacing w:after="0" w:line="197" w:lineRule="exact"/>
              <w:rPr>
                <w:sz w:val="20"/>
                <w:szCs w:val="20"/>
                <w:color w:val="auto"/>
              </w:rPr>
            </w:pPr>
            <w:r>
              <w:rPr>
                <w:rFonts w:ascii="Times New Roman" w:cs="Times New Roman" w:eastAsia="Times New Roman" w:hAnsi="Times New Roman"/>
                <w:sz w:val="19"/>
                <w:szCs w:val="19"/>
                <w:b w:val="1"/>
                <w:bCs w:val="1"/>
                <w:color w:val="auto"/>
              </w:rPr>
              <w:t>(“TSR”) on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jc w:val="center"/>
              <w:ind w:right="80"/>
              <w:spacing w:after="0" w:line="184" w:lineRule="exact"/>
              <w:rPr>
                <w:sz w:val="20"/>
                <w:szCs w:val="20"/>
                <w:color w:val="auto"/>
              </w:rPr>
            </w:pPr>
            <w:r>
              <w:rPr>
                <w:rFonts w:ascii="Times New Roman" w:cs="Times New Roman" w:eastAsia="Times New Roman" w:hAnsi="Times New Roman"/>
                <w:sz w:val="19"/>
                <w:szCs w:val="19"/>
                <w:b w:val="1"/>
                <w:bCs w:val="1"/>
                <w:color w:val="auto"/>
              </w:rPr>
              <w:t>$100 Initial</w:t>
            </w:r>
          </w:p>
        </w:tc>
        <w:tc>
          <w:tcPr>
            <w:tcW w:w="1600" w:type="dxa"/>
            <w:vAlign w:val="bottom"/>
            <w:gridSpan w:val="3"/>
            <w:vMerge w:val="restart"/>
          </w:tcPr>
          <w:p>
            <w:pPr>
              <w:jc w:val="right"/>
              <w:ind w:right="124"/>
              <w:spacing w:after="0"/>
              <w:rPr>
                <w:sz w:val="20"/>
                <w:szCs w:val="20"/>
                <w:color w:val="auto"/>
              </w:rPr>
            </w:pPr>
            <w:r>
              <w:rPr>
                <w:rFonts w:ascii="Times New Roman" w:cs="Times New Roman" w:eastAsia="Times New Roman" w:hAnsi="Times New Roman"/>
                <w:sz w:val="19"/>
                <w:szCs w:val="19"/>
                <w:b w:val="1"/>
                <w:bCs w:val="1"/>
                <w:color w:val="auto"/>
              </w:rPr>
              <w:t>(in thousands)</w:t>
            </w:r>
          </w:p>
        </w:tc>
        <w:tc>
          <w:tcPr>
            <w:tcW w:w="0" w:type="dxa"/>
            <w:vAlign w:val="bottom"/>
          </w:tcPr>
          <w:p>
            <w:pPr>
              <w:spacing w:after="0"/>
              <w:rPr>
                <w:sz w:val="1"/>
                <w:szCs w:val="1"/>
                <w:color w:val="auto"/>
              </w:rPr>
            </w:pPr>
          </w:p>
        </w:tc>
      </w:tr>
      <w:tr>
        <w:trPr>
          <w:trHeight w:val="256"/>
        </w:trPr>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gridSpan w:val="4"/>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Investment</w:t>
            </w:r>
          </w:p>
        </w:tc>
        <w:tc>
          <w:tcPr>
            <w:tcW w:w="160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13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Summary</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Summary</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9"/>
                <w:szCs w:val="19"/>
                <w:b w:val="1"/>
                <w:bCs w:val="1"/>
                <w:color w:val="auto"/>
                <w:w w:val="99"/>
              </w:rPr>
              <w:t>Summary</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Compensation</w:t>
            </w: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9"/>
                <w:szCs w:val="19"/>
                <w:b w:val="1"/>
                <w:bCs w:val="1"/>
                <w:color w:val="auto"/>
              </w:rPr>
              <w:t>CSM:</w:t>
            </w: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Compensation</w:t>
            </w:r>
          </w:p>
        </w:tc>
        <w:tc>
          <w:tcPr>
            <w:tcW w:w="1300" w:type="dxa"/>
            <w:vAlign w:val="bottom"/>
            <w:gridSpan w:val="2"/>
            <w:vMerge w:val="continue"/>
          </w:tcPr>
          <w:p>
            <w:pPr>
              <w:spacing w:after="0"/>
              <w:rPr>
                <w:sz w:val="17"/>
                <w:szCs w:val="17"/>
                <w:color w:val="auto"/>
              </w:rPr>
            </w:pPr>
          </w:p>
        </w:tc>
        <w:tc>
          <w:tcPr>
            <w:tcW w:w="13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Compensation</w:t>
            </w:r>
          </w:p>
        </w:tc>
        <w:tc>
          <w:tcPr>
            <w:tcW w:w="1320" w:type="dxa"/>
            <w:vAlign w:val="bottom"/>
            <w:gridSpan w:val="2"/>
          </w:tcPr>
          <w:p>
            <w:pPr>
              <w:jc w:val="center"/>
              <w:ind w:right="80"/>
              <w:spacing w:after="0" w:line="197" w:lineRule="exact"/>
              <w:rPr>
                <w:sz w:val="20"/>
                <w:szCs w:val="20"/>
                <w:color w:val="auto"/>
              </w:rPr>
            </w:pPr>
            <w:r>
              <w:rPr>
                <w:rFonts w:ascii="Times New Roman" w:cs="Times New Roman" w:eastAsia="Times New Roman" w:hAnsi="Times New Roman"/>
                <w:sz w:val="19"/>
                <w:szCs w:val="19"/>
                <w:b w:val="1"/>
                <w:bCs w:val="1"/>
                <w:color w:val="auto"/>
              </w:rPr>
              <w:t>Compensation</w:t>
            </w:r>
          </w:p>
        </w:tc>
        <w:tc>
          <w:tcPr>
            <w:tcW w:w="132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line="197" w:lineRule="exact"/>
              <w:rPr>
                <w:sz w:val="20"/>
                <w:szCs w:val="20"/>
                <w:color w:val="auto"/>
              </w:rPr>
            </w:pPr>
            <w:r>
              <w:rPr>
                <w:rFonts w:ascii="Times New Roman" w:cs="Times New Roman" w:eastAsia="Times New Roman" w:hAnsi="Times New Roman"/>
                <w:sz w:val="19"/>
                <w:szCs w:val="19"/>
                <w:b w:val="1"/>
                <w:bCs w:val="1"/>
                <w:color w:val="auto"/>
              </w:rPr>
              <w:t>Profit</w:t>
            </w: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1320" w:type="dxa"/>
            <w:vAlign w:val="bottom"/>
            <w:gridSpan w:val="2"/>
          </w:tcPr>
          <w:p>
            <w:pPr>
              <w:jc w:val="center"/>
              <w:ind w:right="80"/>
              <w:spacing w:after="0" w:line="197" w:lineRule="exact"/>
              <w:rPr>
                <w:sz w:val="20"/>
                <w:szCs w:val="20"/>
                <w:color w:val="auto"/>
              </w:rPr>
            </w:pPr>
            <w:r>
              <w:rPr>
                <w:rFonts w:ascii="Times New Roman" w:cs="Times New Roman" w:eastAsia="Times New Roman" w:hAnsi="Times New Roman"/>
                <w:sz w:val="19"/>
                <w:szCs w:val="19"/>
                <w:b w:val="1"/>
                <w:bCs w:val="1"/>
                <w:color w:val="auto"/>
              </w:rPr>
              <w:t>Compensation</w:t>
            </w:r>
          </w:p>
        </w:tc>
        <w:tc>
          <w:tcPr>
            <w:tcW w:w="1320" w:type="dxa"/>
            <w:vAlign w:val="bottom"/>
            <w:gridSpan w:val="2"/>
            <w:vMerge w:val="continue"/>
          </w:tcPr>
          <w:p>
            <w:pPr>
              <w:spacing w:after="0"/>
              <w:rPr>
                <w:sz w:val="17"/>
                <w:szCs w:val="17"/>
                <w:color w:val="auto"/>
              </w:rPr>
            </w:pPr>
          </w:p>
        </w:tc>
        <w:tc>
          <w:tcPr>
            <w:tcW w:w="1300" w:type="dxa"/>
            <w:vAlign w:val="bottom"/>
            <w:gridSpan w:val="2"/>
          </w:tcPr>
          <w:p>
            <w:pPr>
              <w:jc w:val="center"/>
              <w:ind w:right="80"/>
              <w:spacing w:after="0" w:line="197" w:lineRule="exact"/>
              <w:rPr>
                <w:sz w:val="20"/>
                <w:szCs w:val="20"/>
                <w:color w:val="auto"/>
              </w:rPr>
            </w:pPr>
            <w:r>
              <w:rPr>
                <w:rFonts w:ascii="Times New Roman" w:cs="Times New Roman" w:eastAsia="Times New Roman" w:hAnsi="Times New Roman"/>
                <w:sz w:val="19"/>
                <w:szCs w:val="19"/>
                <w:b w:val="1"/>
                <w:bCs w:val="1"/>
                <w:color w:val="auto"/>
              </w:rPr>
              <w:t>Compensation</w:t>
            </w:r>
          </w:p>
        </w:tc>
        <w:tc>
          <w:tcPr>
            <w:tcW w:w="1320" w:type="dxa"/>
            <w:vAlign w:val="bottom"/>
            <w:gridSpan w:val="2"/>
            <w:vMerge w:val="continue"/>
          </w:tcPr>
          <w:p>
            <w:pPr>
              <w:spacing w:after="0"/>
              <w:rPr>
                <w:sz w:val="17"/>
                <w:szCs w:val="17"/>
                <w:color w:val="auto"/>
              </w:rPr>
            </w:pPr>
          </w:p>
        </w:tc>
        <w:tc>
          <w:tcPr>
            <w:tcW w:w="1320" w:type="dxa"/>
            <w:vAlign w:val="bottom"/>
            <w:gridSpan w:val="2"/>
          </w:tcPr>
          <w:p>
            <w:pPr>
              <w:jc w:val="center"/>
              <w:ind w:right="80"/>
              <w:spacing w:after="0" w:line="197" w:lineRule="exact"/>
              <w:rPr>
                <w:sz w:val="20"/>
                <w:szCs w:val="20"/>
                <w:color w:val="auto"/>
              </w:rPr>
            </w:pPr>
            <w:r>
              <w:rPr>
                <w:rFonts w:ascii="Times New Roman" w:cs="Times New Roman" w:eastAsia="Times New Roman" w:hAnsi="Times New Roman"/>
                <w:sz w:val="19"/>
                <w:szCs w:val="19"/>
                <w:b w:val="1"/>
                <w:bCs w:val="1"/>
                <w:color w:val="auto"/>
                <w:w w:val="94"/>
              </w:rPr>
              <w:t>Table</w:t>
            </w:r>
          </w:p>
        </w:tc>
        <w:tc>
          <w:tcPr>
            <w:tcW w:w="1320" w:type="dxa"/>
            <w:vAlign w:val="bottom"/>
            <w:gridSpan w:val="2"/>
          </w:tcPr>
          <w:p>
            <w:pPr>
              <w:jc w:val="center"/>
              <w:ind w:right="80"/>
              <w:spacing w:after="0" w:line="197" w:lineRule="exact"/>
              <w:rPr>
                <w:sz w:val="20"/>
                <w:szCs w:val="20"/>
                <w:color w:val="auto"/>
              </w:rPr>
            </w:pPr>
            <w:r>
              <w:rPr>
                <w:rFonts w:ascii="Times New Roman" w:cs="Times New Roman" w:eastAsia="Times New Roman" w:hAnsi="Times New Roman"/>
                <w:sz w:val="19"/>
                <w:szCs w:val="19"/>
                <w:b w:val="1"/>
                <w:bCs w:val="1"/>
                <w:color w:val="auto"/>
              </w:rPr>
              <w:t>Actually Paid</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w w:val="97"/>
              </w:rPr>
              <w:t>Peer</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Net</w:t>
            </w:r>
          </w:p>
        </w:tc>
        <w:tc>
          <w:tcPr>
            <w:tcW w:w="820" w:type="dxa"/>
            <w:vAlign w:val="bottom"/>
          </w:tcPr>
          <w:p>
            <w:pPr>
              <w:jc w:val="center"/>
              <w:spacing w:after="0" w:line="197" w:lineRule="exact"/>
              <w:rPr>
                <w:sz w:val="20"/>
                <w:szCs w:val="20"/>
                <w:color w:val="auto"/>
              </w:rPr>
            </w:pPr>
            <w:r>
              <w:rPr>
                <w:rFonts w:ascii="Times New Roman" w:cs="Times New Roman" w:eastAsia="Times New Roman" w:hAnsi="Times New Roman"/>
                <w:sz w:val="19"/>
                <w:szCs w:val="19"/>
                <w:b w:val="1"/>
                <w:bCs w:val="1"/>
                <w:color w:val="auto"/>
              </w:rPr>
              <w:t>Before</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1320" w:type="dxa"/>
            <w:vAlign w:val="bottom"/>
            <w:gridSpan w:val="2"/>
          </w:tcPr>
          <w:p>
            <w:pPr>
              <w:jc w:val="center"/>
              <w:ind w:right="60"/>
              <w:spacing w:after="0" w:line="184" w:lineRule="exact"/>
              <w:rPr>
                <w:sz w:val="20"/>
                <w:szCs w:val="20"/>
                <w:color w:val="auto"/>
              </w:rPr>
            </w:pPr>
            <w:r>
              <w:rPr>
                <w:rFonts w:ascii="Times New Roman" w:cs="Times New Roman" w:eastAsia="Times New Roman" w:hAnsi="Times New Roman"/>
                <w:sz w:val="19"/>
                <w:szCs w:val="19"/>
                <w:b w:val="1"/>
                <w:bCs w:val="1"/>
                <w:color w:val="auto"/>
                <w:w w:val="98"/>
              </w:rPr>
              <w:t>Table</w:t>
            </w:r>
          </w:p>
        </w:tc>
        <w:tc>
          <w:tcPr>
            <w:tcW w:w="13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9"/>
                <w:szCs w:val="19"/>
                <w:b w:val="1"/>
                <w:bCs w:val="1"/>
                <w:color w:val="auto"/>
              </w:rPr>
              <w:t>Actually Paid</w:t>
            </w:r>
          </w:p>
        </w:tc>
        <w:tc>
          <w:tcPr>
            <w:tcW w:w="13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9"/>
                <w:szCs w:val="19"/>
                <w:b w:val="1"/>
                <w:bCs w:val="1"/>
                <w:color w:val="auto"/>
                <w:w w:val="98"/>
              </w:rPr>
              <w:t>Table</w:t>
            </w:r>
          </w:p>
        </w:tc>
        <w:tc>
          <w:tcPr>
            <w:tcW w:w="13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9"/>
                <w:szCs w:val="19"/>
                <w:b w:val="1"/>
                <w:bCs w:val="1"/>
                <w:color w:val="auto"/>
              </w:rPr>
              <w:t>Actually Paid</w:t>
            </w:r>
          </w:p>
        </w:tc>
        <w:tc>
          <w:tcPr>
            <w:tcW w:w="13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9"/>
                <w:szCs w:val="19"/>
                <w:b w:val="1"/>
                <w:bCs w:val="1"/>
                <w:color w:val="auto"/>
              </w:rPr>
              <w:t>- Non-PEO</w:t>
            </w:r>
          </w:p>
        </w:tc>
        <w:tc>
          <w:tcPr>
            <w:tcW w:w="13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9"/>
                <w:szCs w:val="19"/>
                <w:b w:val="1"/>
                <w:bCs w:val="1"/>
                <w:color w:val="auto"/>
              </w:rPr>
              <w:t>- Non-PEO</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9"/>
                <w:szCs w:val="19"/>
                <w:b w:val="1"/>
                <w:bCs w:val="1"/>
                <w:color w:val="auto"/>
              </w:rPr>
              <w:t>PPC</w:t>
            </w:r>
          </w:p>
        </w:tc>
        <w:tc>
          <w:tcPr>
            <w:tcW w:w="7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20" w:type="dxa"/>
            <w:vAlign w:val="bottom"/>
          </w:tcPr>
          <w:p>
            <w:pPr>
              <w:jc w:val="center"/>
              <w:spacing w:after="0" w:line="184" w:lineRule="exact"/>
              <w:rPr>
                <w:sz w:val="20"/>
                <w:szCs w:val="20"/>
                <w:color w:val="auto"/>
              </w:rPr>
            </w:pPr>
            <w:r>
              <w:rPr>
                <w:rFonts w:ascii="Times New Roman" w:cs="Times New Roman" w:eastAsia="Times New Roman" w:hAnsi="Times New Roman"/>
                <w:sz w:val="19"/>
                <w:szCs w:val="19"/>
                <w:b w:val="1"/>
                <w:bCs w:val="1"/>
                <w:color w:val="auto"/>
                <w:w w:val="96"/>
              </w:rPr>
              <w:t>Taxes</w:t>
            </w: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132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7"/>
                <w:szCs w:val="17"/>
                <w:b w:val="1"/>
                <w:bCs w:val="1"/>
                <w:color w:val="auto"/>
              </w:rPr>
              <w:t>- PEO #1</w:t>
            </w:r>
            <w:r>
              <w:rPr>
                <w:rFonts w:ascii="Times New Roman" w:cs="Times New Roman" w:eastAsia="Times New Roman" w:hAnsi="Times New Roman"/>
                <w:sz w:val="22"/>
                <w:szCs w:val="22"/>
                <w:b w:val="1"/>
                <w:bCs w:val="1"/>
                <w:color w:val="auto"/>
                <w:vertAlign w:val="superscript"/>
              </w:rPr>
              <w:t>(1)</w:t>
            </w:r>
          </w:p>
        </w:tc>
        <w:tc>
          <w:tcPr>
            <w:tcW w:w="132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7"/>
                <w:szCs w:val="17"/>
                <w:b w:val="1"/>
                <w:bCs w:val="1"/>
                <w:color w:val="auto"/>
              </w:rPr>
              <w:t>- PEO #1</w:t>
            </w:r>
            <w:r>
              <w:rPr>
                <w:rFonts w:ascii="Times New Roman" w:cs="Times New Roman" w:eastAsia="Times New Roman" w:hAnsi="Times New Roman"/>
                <w:sz w:val="22"/>
                <w:szCs w:val="22"/>
                <w:b w:val="1"/>
                <w:bCs w:val="1"/>
                <w:color w:val="auto"/>
                <w:vertAlign w:val="superscript"/>
              </w:rPr>
              <w:t>(2)</w:t>
            </w:r>
          </w:p>
        </w:tc>
        <w:tc>
          <w:tcPr>
            <w:tcW w:w="13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7"/>
                <w:szCs w:val="17"/>
                <w:b w:val="1"/>
                <w:bCs w:val="1"/>
                <w:color w:val="auto"/>
              </w:rPr>
              <w:t>- PEO #2</w:t>
            </w:r>
            <w:r>
              <w:rPr>
                <w:rFonts w:ascii="Times New Roman" w:cs="Times New Roman" w:eastAsia="Times New Roman" w:hAnsi="Times New Roman"/>
                <w:sz w:val="22"/>
                <w:szCs w:val="22"/>
                <w:b w:val="1"/>
                <w:bCs w:val="1"/>
                <w:color w:val="auto"/>
                <w:vertAlign w:val="superscript"/>
              </w:rPr>
              <w:t>(1)</w:t>
            </w:r>
          </w:p>
        </w:tc>
        <w:tc>
          <w:tcPr>
            <w:tcW w:w="132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7"/>
                <w:szCs w:val="17"/>
                <w:b w:val="1"/>
                <w:bCs w:val="1"/>
                <w:color w:val="auto"/>
              </w:rPr>
              <w:t>- PEO #2</w:t>
            </w:r>
            <w:r>
              <w:rPr>
                <w:rFonts w:ascii="Times New Roman" w:cs="Times New Roman" w:eastAsia="Times New Roman" w:hAnsi="Times New Roman"/>
                <w:sz w:val="22"/>
                <w:szCs w:val="22"/>
                <w:b w:val="1"/>
                <w:bCs w:val="1"/>
                <w:color w:val="auto"/>
                <w:vertAlign w:val="superscript"/>
              </w:rPr>
              <w:t>(2)</w:t>
            </w:r>
          </w:p>
        </w:tc>
        <w:tc>
          <w:tcPr>
            <w:tcW w:w="132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7"/>
                <w:szCs w:val="17"/>
                <w:b w:val="1"/>
                <w:bCs w:val="1"/>
                <w:color w:val="auto"/>
              </w:rPr>
              <w:t>NEO</w:t>
            </w:r>
            <w:r>
              <w:rPr>
                <w:rFonts w:ascii="Times New Roman" w:cs="Times New Roman" w:eastAsia="Times New Roman" w:hAnsi="Times New Roman"/>
                <w:sz w:val="22"/>
                <w:szCs w:val="22"/>
                <w:b w:val="1"/>
                <w:bCs w:val="1"/>
                <w:color w:val="auto"/>
                <w:vertAlign w:val="superscript"/>
              </w:rPr>
              <w:t>(1)</w:t>
            </w:r>
          </w:p>
        </w:tc>
        <w:tc>
          <w:tcPr>
            <w:tcW w:w="132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7"/>
                <w:szCs w:val="17"/>
                <w:b w:val="1"/>
                <w:bCs w:val="1"/>
                <w:color w:val="auto"/>
              </w:rPr>
              <w:t>NEO</w:t>
            </w:r>
            <w:r>
              <w:rPr>
                <w:rFonts w:ascii="Times New Roman" w:cs="Times New Roman" w:eastAsia="Times New Roman" w:hAnsi="Times New Roman"/>
                <w:sz w:val="22"/>
                <w:szCs w:val="22"/>
                <w:b w:val="1"/>
                <w:bCs w:val="1"/>
                <w:color w:val="auto"/>
                <w:vertAlign w:val="superscript"/>
              </w:rPr>
              <w:t>(2)</w:t>
            </w:r>
          </w:p>
        </w:tc>
        <w:tc>
          <w:tcPr>
            <w:tcW w:w="700" w:type="dxa"/>
            <w:vAlign w:val="bottom"/>
            <w:gridSpan w:val="2"/>
            <w:vMerge w:val="continue"/>
          </w:tcPr>
          <w:p>
            <w:pPr>
              <w:spacing w:after="0"/>
              <w:rPr>
                <w:sz w:val="17"/>
                <w:szCs w:val="17"/>
                <w:color w:val="auto"/>
              </w:rPr>
            </w:pPr>
          </w:p>
        </w:tc>
        <w:tc>
          <w:tcPr>
            <w:tcW w:w="720" w:type="dxa"/>
            <w:vAlign w:val="bottom"/>
            <w:gridSpan w:val="2"/>
          </w:tcPr>
          <w:p>
            <w:pPr>
              <w:jc w:val="center"/>
              <w:ind w:right="100"/>
              <w:spacing w:after="0" w:line="197" w:lineRule="exact"/>
              <w:rPr>
                <w:sz w:val="20"/>
                <w:szCs w:val="20"/>
                <w:color w:val="auto"/>
              </w:rPr>
            </w:pPr>
            <w:r>
              <w:rPr>
                <w:rFonts w:ascii="Times New Roman" w:cs="Times New Roman" w:eastAsia="Times New Roman" w:hAnsi="Times New Roman"/>
                <w:sz w:val="19"/>
                <w:szCs w:val="19"/>
                <w:b w:val="1"/>
                <w:bCs w:val="1"/>
                <w:color w:val="auto"/>
              </w:rPr>
              <w:t>Group</w:t>
            </w:r>
          </w:p>
        </w:tc>
        <w:tc>
          <w:tcPr>
            <w:tcW w:w="780" w:type="dxa"/>
            <w:vAlign w:val="bottom"/>
            <w:gridSpan w:val="2"/>
          </w:tcPr>
          <w:p>
            <w:pPr>
              <w:jc w:val="center"/>
              <w:ind w:right="80"/>
              <w:spacing w:after="0" w:line="197" w:lineRule="exact"/>
              <w:rPr>
                <w:sz w:val="20"/>
                <w:szCs w:val="20"/>
                <w:color w:val="auto"/>
              </w:rPr>
            </w:pPr>
            <w:r>
              <w:rPr>
                <w:rFonts w:ascii="Times New Roman" w:cs="Times New Roman" w:eastAsia="Times New Roman" w:hAnsi="Times New Roman"/>
                <w:sz w:val="19"/>
                <w:szCs w:val="19"/>
                <w:b w:val="1"/>
                <w:bCs w:val="1"/>
                <w:color w:val="auto"/>
              </w:rPr>
              <w:t>Income</w:t>
            </w:r>
          </w:p>
        </w:tc>
        <w:tc>
          <w:tcPr>
            <w:tcW w:w="820" w:type="dxa"/>
            <w:vAlign w:val="bottom"/>
          </w:tcPr>
          <w:p>
            <w:pPr>
              <w:jc w:val="center"/>
              <w:spacing w:after="0" w:line="197" w:lineRule="exact"/>
              <w:rPr>
                <w:sz w:val="20"/>
                <w:szCs w:val="20"/>
                <w:color w:val="auto"/>
              </w:rPr>
            </w:pPr>
            <w:r>
              <w:rPr>
                <w:rFonts w:ascii="Times New Roman" w:cs="Times New Roman" w:eastAsia="Times New Roman" w:hAnsi="Times New Roman"/>
                <w:sz w:val="19"/>
                <w:szCs w:val="19"/>
                <w:b w:val="1"/>
                <w:bCs w:val="1"/>
                <w:color w:val="auto"/>
              </w:rPr>
              <w:t>Margin</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w:t>
            </w:r>
          </w:p>
        </w:tc>
        <w:tc>
          <w:tcPr>
            <w:tcW w:w="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w:t>
            </w:r>
          </w:p>
        </w:tc>
        <w:tc>
          <w:tcPr>
            <w:tcW w:w="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80" w:type="dxa"/>
            <w:vAlign w:val="bottom"/>
          </w:tcPr>
          <w:p>
            <w:pPr>
              <w:spacing w:after="0"/>
              <w:rPr>
                <w:sz w:val="21"/>
                <w:szCs w:val="21"/>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9"/>
                <w:szCs w:val="19"/>
                <w:b w:val="1"/>
                <w:bCs w:val="1"/>
                <w:color w:val="auto"/>
              </w:rPr>
              <w:t>TSR</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TSR</w:t>
            </w: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99"/>
              </w:rPr>
              <w:t>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2,577,965</w:t>
            </w:r>
          </w:p>
        </w:tc>
        <w:tc>
          <w:tcPr>
            <w:tcW w:w="8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4,660,929</w:t>
            </w:r>
          </w:p>
        </w:tc>
        <w:tc>
          <w:tcPr>
            <w:tcW w:w="8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1,167,761</w:t>
            </w:r>
          </w:p>
        </w:tc>
        <w:tc>
          <w:tcPr>
            <w:tcW w:w="8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1,339,968</w:t>
            </w:r>
          </w:p>
        </w:tc>
        <w:tc>
          <w:tcPr>
            <w:tcW w:w="8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99"/>
              </w:rPr>
              <w:t>$83.89</w:t>
            </w:r>
          </w:p>
        </w:tc>
        <w:tc>
          <w:tcPr>
            <w:tcW w:w="8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$70.57</w:t>
            </w:r>
          </w:p>
        </w:tc>
        <w:tc>
          <w:tcPr>
            <w:tcW w:w="8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322,317</w:t>
            </w:r>
          </w:p>
        </w:tc>
        <w:tc>
          <w:tcPr>
            <w:tcW w:w="8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2.5 %</w:t>
            </w:r>
          </w:p>
        </w:tc>
        <w:tc>
          <w:tcPr>
            <w:tcW w:w="0" w:type="dxa"/>
            <w:vAlign w:val="bottom"/>
          </w:tcPr>
          <w:p>
            <w:pPr>
              <w:spacing w:after="0"/>
              <w:rPr>
                <w:sz w:val="1"/>
                <w:szCs w:val="1"/>
                <w:color w:val="auto"/>
              </w:rPr>
            </w:pPr>
          </w:p>
        </w:tc>
      </w:tr>
      <w:tr>
        <w:trPr>
          <w:trHeight w:val="250"/>
        </w:trPr>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3,011,423</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95,033</w:t>
            </w:r>
          </w:p>
        </w:tc>
        <w:tc>
          <w:tcPr>
            <w:tcW w:w="8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1,609,641</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1,203,303</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72.19</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87.04</w:t>
            </w:r>
          </w:p>
        </w:tc>
        <w:tc>
          <w:tcPr>
            <w:tcW w:w="8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746,538</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6.1 %</w:t>
            </w:r>
          </w:p>
        </w:tc>
        <w:tc>
          <w:tcPr>
            <w:tcW w:w="0" w:type="dxa"/>
            <w:vAlign w:val="bottom"/>
          </w:tcPr>
          <w:p>
            <w:pPr>
              <w:spacing w:after="0"/>
              <w:rPr>
                <w:sz w:val="1"/>
                <w:szCs w:val="1"/>
                <w:color w:val="auto"/>
              </w:rPr>
            </w:pPr>
          </w:p>
        </w:tc>
      </w:tr>
      <w:tr>
        <w:trPr>
          <w:trHeight w:val="250"/>
        </w:trPr>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99"/>
              </w:rPr>
              <w:t>2021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8,581,691</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16,487,836</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1,905,296</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2,716,224</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83.56</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102.90</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9"/>
              </w:rPr>
              <w:t>31,268</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5.1 %</w:t>
            </w:r>
          </w:p>
        </w:tc>
        <w:tc>
          <w:tcPr>
            <w:tcW w:w="0" w:type="dxa"/>
            <w:vAlign w:val="bottom"/>
          </w:tcPr>
          <w:p>
            <w:pPr>
              <w:spacing w:after="0"/>
              <w:rPr>
                <w:sz w:val="1"/>
                <w:szCs w:val="1"/>
                <w:color w:val="auto"/>
              </w:rPr>
            </w:pPr>
          </w:p>
        </w:tc>
      </w:tr>
      <w:tr>
        <w:trPr>
          <w:trHeight w:val="252"/>
        </w:trPr>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2020</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2,546,931</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(2,709,606)</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723,665</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(11,406,682)</w:t>
            </w:r>
          </w:p>
        </w:tc>
        <w:tc>
          <w:tcPr>
            <w:tcW w:w="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58.69</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86.84</w:t>
            </w:r>
          </w:p>
        </w:tc>
        <w:tc>
          <w:tcPr>
            <w:tcW w:w="8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95,070</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3.1 %</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The PEOs and Other NEOs for each year reported in this table are:</w:t>
      </w:r>
    </w:p>
    <w:p>
      <w:pPr>
        <w:spacing w:after="0" w:line="64"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PEO #1</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PEO #2</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 NEOs</w:t>
            </w:r>
          </w:p>
        </w:tc>
      </w:tr>
      <w:tr>
        <w:trPr>
          <w:trHeight w:val="206"/>
        </w:trPr>
        <w:tc>
          <w:tcPr>
            <w:tcW w:w="15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Fabio Sandri</w:t>
            </w:r>
          </w:p>
        </w:tc>
        <w:tc>
          <w:tcPr>
            <w:tcW w:w="2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2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Matthew Galvanoni</w:t>
            </w:r>
          </w:p>
        </w:tc>
      </w:tr>
      <w:tr>
        <w:trPr>
          <w:trHeight w:val="208"/>
        </w:trPr>
        <w:tc>
          <w:tcPr>
            <w:tcW w:w="1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Fabio Sandri</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4"/>
              </w:rPr>
              <w:t>N/A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Matthew Galvanoni</w:t>
            </w:r>
          </w:p>
        </w:tc>
      </w:tr>
      <w:tr>
        <w:trPr>
          <w:trHeight w:val="212"/>
        </w:trPr>
        <w:tc>
          <w:tcPr>
            <w:tcW w:w="1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7"/>
              </w:rPr>
              <w:t>Fabio Sandri</w:t>
            </w:r>
          </w:p>
        </w:tc>
        <w:tc>
          <w:tcPr>
            <w:tcW w:w="15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4"/>
              </w:rPr>
              <w:t>N/A</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Matthew Galvanoni</w:t>
            </w:r>
          </w:p>
        </w:tc>
      </w:tr>
      <w:tr>
        <w:trPr>
          <w:trHeight w:val="207"/>
        </w:trPr>
        <w:tc>
          <w:tcPr>
            <w:tcW w:w="1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2020</w:t>
            </w:r>
          </w:p>
        </w:tc>
        <w:tc>
          <w:tcPr>
            <w:tcW w:w="200" w:type="dxa"/>
            <w:vAlign w:val="bottom"/>
          </w:tcPr>
          <w:p>
            <w:pPr>
              <w:spacing w:after="0"/>
              <w:rPr>
                <w:sz w:val="17"/>
                <w:szCs w:val="17"/>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Fabio Sandri</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Jayson Penn</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r>
    </w:tbl>
    <w:p>
      <w:pPr>
        <w:spacing w:after="0" w:line="95" w:lineRule="exact"/>
        <w:rPr>
          <w:sz w:val="20"/>
          <w:szCs w:val="20"/>
          <w:color w:val="auto"/>
        </w:rPr>
      </w:pPr>
    </w:p>
    <w:p>
      <w:pPr>
        <w:jc w:val="both"/>
        <w:ind w:left="640" w:right="100" w:hanging="319"/>
        <w:spacing w:after="0" w:line="263" w:lineRule="auto"/>
        <w:tabs>
          <w:tab w:leader="none" w:pos="6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None of our NEOs participate in a pension plan; therefore, we did not report a change in pension value for any of the years reflected in this table, and a deduction from the SCT total related to pension value is not needed. The following table shows items added to or deducted from the Total Compensation in the Summary Compensation Table in order to calculate</w:t>
      </w:r>
    </w:p>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020" w:right="239" w:bottom="1440" w:gutter="0" w:footer="0" w:header="0"/>
        </w:sectPr>
      </w:pPr>
    </w:p>
    <w:bookmarkStart w:id="38" w:name="page39"/>
    <w:bookmarkEnd w:id="38"/>
    <w:tbl>
      <w:tblPr>
        <w:tblLayout w:type="fixed"/>
        <w:tblInd w:w="64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the</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of</w:t>
            </w: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executive</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Compensation</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Actually</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Paid</w:t>
            </w:r>
          </w:p>
        </w:tc>
        <w:tc>
          <w:tcPr>
            <w:tcW w:w="8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(or</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“CAP”),</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89"/>
              </w:rPr>
              <w:t>as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shown</w:t>
            </w: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in</w:t>
            </w: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table</w:t>
            </w:r>
          </w:p>
        </w:tc>
        <w:tc>
          <w:tcPr>
            <w:tcW w:w="62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3"/>
              </w:rPr>
              <w:t>above:</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80" w:type="dxa"/>
            <w:vAlign w:val="bottom"/>
            <w:gridSpan w:val="4"/>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3"/>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gridSpan w:val="4"/>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PEO #1</w:t>
            </w:r>
          </w:p>
        </w:tc>
        <w:tc>
          <w:tcPr>
            <w:tcW w:w="80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6"/>
              </w:rPr>
              <w:t>Average of</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PEO #1</w:t>
            </w:r>
          </w:p>
        </w:tc>
        <w:tc>
          <w:tcPr>
            <w:tcW w:w="800" w:type="dxa"/>
            <w:vAlign w:val="bottom"/>
            <w:tcBorders>
              <w:top w:val="single" w:sz="8" w:color="auto"/>
            </w:tcBorders>
            <w:gridSpan w:val="2"/>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6"/>
              </w:rPr>
              <w:t>Average of</w:t>
            </w:r>
          </w:p>
        </w:tc>
        <w:tc>
          <w:tcPr>
            <w:tcW w:w="80" w:type="dxa"/>
            <w:vAlign w:val="bottom"/>
          </w:tcPr>
          <w:p>
            <w:pPr>
              <w:spacing w:after="0"/>
              <w:rPr>
                <w:sz w:val="13"/>
                <w:szCs w:val="13"/>
                <w:color w:val="auto"/>
              </w:rPr>
            </w:pPr>
          </w:p>
        </w:tc>
        <w:tc>
          <w:tcPr>
            <w:tcW w:w="880" w:type="dxa"/>
            <w:vAlign w:val="bottom"/>
            <w:tcBorders>
              <w:top w:val="single" w:sz="8" w:color="auto"/>
            </w:tcBorders>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PEO #1</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6"/>
              </w:rPr>
              <w:t>Average of</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PEO #1</w:t>
            </w: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PEO #2</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11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w w:val="96"/>
              </w:rPr>
              <w:t>Adjustments</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NEOs ($)</w:t>
            </w:r>
          </w:p>
        </w:tc>
        <w:tc>
          <w:tcPr>
            <w:tcW w:w="120" w:type="dxa"/>
            <w:vAlign w:val="bottom"/>
          </w:tcPr>
          <w:p>
            <w:pPr>
              <w:spacing w:after="0"/>
              <w:rPr>
                <w:sz w:val="18"/>
                <w:szCs w:val="18"/>
                <w:color w:val="auto"/>
              </w:rPr>
            </w:pPr>
          </w:p>
        </w:tc>
        <w:tc>
          <w:tcPr>
            <w:tcW w:w="70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NEOs ($)</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NEOs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20" w:type="dxa"/>
            <w:vAlign w:val="bottom"/>
            <w:tcBorders>
              <w:top w:val="single" w:sz="8" w:color="auto"/>
            </w:tcBorders>
            <w:gridSpan w:val="3"/>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Total Compensation from</w:t>
            </w:r>
          </w:p>
        </w:tc>
        <w:tc>
          <w:tcPr>
            <w:tcW w:w="8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$2,577,965</w:t>
            </w: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7"/>
              </w:rPr>
              <w:t>$1,167,761</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$ 3,011,423</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$1,609,641</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$ 8,581,691</w:t>
            </w:r>
          </w:p>
        </w:tc>
        <w:tc>
          <w:tcPr>
            <w:tcW w:w="8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$1,905,296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2,546,931</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723,665</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89"/>
              </w:rPr>
              <w:t>SCT</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Adjustments for stock and</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(Subtraction): SCT amounts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(613,554)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(731,408)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(406,338)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(6,062,913)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(921,087)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(1,425,900)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20" w:type="dxa"/>
            <w:vAlign w:val="bottom"/>
            <w:gridSpan w:val="3"/>
          </w:tcPr>
          <w:p>
            <w:pPr>
              <w:ind w:left="180"/>
              <w:spacing w:after="0" w:line="158" w:lineRule="exact"/>
              <w:rPr>
                <w:sz w:val="20"/>
                <w:szCs w:val="20"/>
                <w:color w:val="auto"/>
              </w:rPr>
            </w:pPr>
            <w:r>
              <w:rPr>
                <w:rFonts w:ascii="Times New Roman" w:cs="Times New Roman" w:eastAsia="Times New Roman" w:hAnsi="Times New Roman"/>
                <w:sz w:val="16"/>
                <w:szCs w:val="16"/>
                <w:color w:val="auto"/>
              </w:rPr>
              <w:t>Fair value at year-end of</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17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w w:val="99"/>
              </w:rPr>
              <w:t>awards granted in the year</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700,990</w:t>
            </w:r>
          </w:p>
        </w:tc>
        <w:tc>
          <w:tcPr>
            <w:tcW w:w="12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389,439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13,044,043</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1,506,985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2,472,077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unvested at year end</w:t>
            </w: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20" w:type="dxa"/>
            <w:vAlign w:val="bottom"/>
            <w:gridSpan w:val="3"/>
            <w:shd w:val="clear" w:color="auto" w:fill="CCEEFF"/>
          </w:tcPr>
          <w:p>
            <w:pPr>
              <w:ind w:left="180"/>
              <w:spacing w:after="0" w:line="160" w:lineRule="exact"/>
              <w:rPr>
                <w:sz w:val="20"/>
                <w:szCs w:val="20"/>
                <w:color w:val="auto"/>
              </w:rPr>
            </w:pPr>
            <w:r>
              <w:rPr>
                <w:rFonts w:ascii="Times New Roman" w:cs="Times New Roman" w:eastAsia="Times New Roman" w:hAnsi="Times New Roman"/>
                <w:sz w:val="16"/>
                <w:szCs w:val="16"/>
                <w:color w:val="auto"/>
              </w:rPr>
              <w:t>Change in fair value from</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prior year end of</w:t>
            </w: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outstanding and unvested</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awards granted in prior</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1,737,787</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38,204</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(2,289,880)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1,149,663</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(559,648)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years</w:t>
            </w:r>
          </w:p>
        </w:tc>
        <w:tc>
          <w:tcPr>
            <w:tcW w:w="5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20" w:type="dxa"/>
            <w:vAlign w:val="bottom"/>
            <w:gridSpan w:val="3"/>
          </w:tcPr>
          <w:p>
            <w:pPr>
              <w:ind w:left="180"/>
              <w:spacing w:after="0" w:line="158" w:lineRule="exact"/>
              <w:rPr>
                <w:sz w:val="20"/>
                <w:szCs w:val="20"/>
                <w:color w:val="auto"/>
              </w:rPr>
            </w:pPr>
            <w:r>
              <w:rPr>
                <w:rFonts w:ascii="Times New Roman" w:cs="Times New Roman" w:eastAsia="Times New Roman" w:hAnsi="Times New Roman"/>
                <w:sz w:val="16"/>
                <w:szCs w:val="16"/>
                <w:color w:val="auto"/>
              </w:rPr>
              <w:t>Vesting date fair value of</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2680" w:type="dxa"/>
            <w:vAlign w:val="bottom"/>
            <w:gridSpan w:val="5"/>
          </w:tcPr>
          <w:p>
            <w:pPr>
              <w:spacing w:after="0" w:line="158" w:lineRule="exact"/>
              <w:rPr>
                <w:sz w:val="20"/>
                <w:szCs w:val="20"/>
                <w:color w:val="auto"/>
              </w:rPr>
            </w:pPr>
            <w:r>
              <w:rPr>
                <w:rFonts w:ascii="Times New Roman" w:cs="Times New Roman" w:eastAsia="Times New Roman" w:hAnsi="Times New Roman"/>
                <w:sz w:val="16"/>
                <w:szCs w:val="16"/>
                <w:color w:val="auto"/>
              </w:rPr>
              <w:t>awards granted and vesting</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225,030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during such year</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20" w:type="dxa"/>
            <w:vAlign w:val="bottom"/>
            <w:gridSpan w:val="3"/>
            <w:shd w:val="clear" w:color="auto" w:fill="CCEEFF"/>
          </w:tcPr>
          <w:p>
            <w:pPr>
              <w:ind w:left="180"/>
              <w:spacing w:after="0" w:line="160" w:lineRule="exact"/>
              <w:rPr>
                <w:sz w:val="20"/>
                <w:szCs w:val="20"/>
                <w:color w:val="auto"/>
              </w:rPr>
            </w:pPr>
            <w:r>
              <w:rPr>
                <w:rFonts w:ascii="Times New Roman" w:cs="Times New Roman" w:eastAsia="Times New Roman" w:hAnsi="Times New Roman"/>
                <w:sz w:val="16"/>
                <w:szCs w:val="16"/>
                <w:color w:val="auto"/>
              </w:rPr>
              <w:t>Change in fair value from</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prior year end of vested</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awards granted in prior</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257,741</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85,417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104,898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(1,786,666)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(1,787,262)</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years</w:t>
            </w:r>
          </w:p>
        </w:tc>
        <w:tc>
          <w:tcPr>
            <w:tcW w:w="5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00" w:type="dxa"/>
            <w:vAlign w:val="bottom"/>
            <w:gridSpan w:val="6"/>
          </w:tcPr>
          <w:p>
            <w:pPr>
              <w:ind w:left="180"/>
              <w:spacing w:after="0" w:line="158" w:lineRule="exact"/>
              <w:rPr>
                <w:sz w:val="20"/>
                <w:szCs w:val="20"/>
                <w:color w:val="auto"/>
              </w:rPr>
            </w:pPr>
            <w:r>
              <w:rPr>
                <w:rFonts w:ascii="Times New Roman" w:cs="Times New Roman" w:eastAsia="Times New Roman" w:hAnsi="Times New Roman"/>
                <w:sz w:val="16"/>
                <w:szCs w:val="16"/>
                <w:color w:val="auto"/>
              </w:rPr>
              <w:t>Fair value at end of prior year</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17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of awards granted in prior</w:t>
            </w:r>
          </w:p>
        </w:tc>
        <w:tc>
          <w:tcPr>
            <w:tcW w:w="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(229,237)</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(3,956,400)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(10,343,085)</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2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years that were forfeited</w:t>
            </w:r>
          </w:p>
        </w:tc>
        <w:tc>
          <w:tcPr>
            <w:tcW w:w="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20" w:type="dxa"/>
            <w:vAlign w:val="bottom"/>
            <w:gridSpan w:val="3"/>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b w:val="1"/>
                <w:bCs w:val="1"/>
                <w:color w:val="auto"/>
              </w:rPr>
              <w:t>Compensation Actually Paid</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4,660,929</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7"/>
              </w:rPr>
              <w:t>$</w:t>
            </w:r>
            <w:r>
              <w:rPr>
                <w:rFonts w:ascii="Times New Roman" w:cs="Times New Roman" w:eastAsia="Times New Roman" w:hAnsi="Times New Roman"/>
                <w:sz w:val="16"/>
                <w:szCs w:val="16"/>
                <w:color w:val="auto"/>
                <w:w w:val="97"/>
              </w:rPr>
              <w:t>1,339,968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95,033</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1,203,303</w:t>
            </w: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16,487,836</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2,716,224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(2,709,606)</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(11,406,682)</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calculated)</w:t>
            </w:r>
          </w:p>
        </w:tc>
        <w:tc>
          <w:tcPr>
            <w:tcW w:w="5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640" w:hanging="319"/>
        <w:spacing w:after="0" w:line="257" w:lineRule="auto"/>
        <w:tabs>
          <w:tab w:leader="none" w:pos="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shareholder return as calculated based on a fixed investment of one hundred dollars measured from the market close on December 29, 2019 (the last trading day of 2019) through and including the end of the fiscal year for each year reported in the table.</w:t>
      </w:r>
    </w:p>
    <w:p>
      <w:pPr>
        <w:ind w:left="640" w:hanging="319"/>
        <w:spacing w:after="0" w:line="257" w:lineRule="auto"/>
        <w:tabs>
          <w:tab w:leader="none" w:pos="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peer group used for the TSR calculation is the peer group used to show our performance in our Form 10-K, which is comprised of two companies: Hormel Foods Corp and Tyson Foods Inc.</w:t>
      </w:r>
    </w:p>
    <w:p>
      <w:pPr>
        <w:jc w:val="both"/>
        <w:ind w:left="640" w:hanging="319"/>
        <w:spacing w:after="0" w:line="255" w:lineRule="auto"/>
        <w:tabs>
          <w:tab w:leader="none" w:pos="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company-selected measure, which is the measure we believe represents the most important financial performance not otherwise presented in the table above that we use to link CAP to our NEOs for fiscal 2023 to our company’s performance, is Profit Before Taxes Margin (or “PBT Margin”). PBT Margin is a non-GAAP financial measure that takes GAAP Profit Before Taxes, adds back litigation settlement expense and in prior years, other nonrecurring items, and divides by Net Sales. For a reconciliation of this non-GAAP financial measure for fiscal year 2023, see Annex A at the end of this proxy statement.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List of Most Important Pay-for-Performance Financial Performance Measures</w:t>
      </w:r>
    </w:p>
    <w:p>
      <w:pPr>
        <w:spacing w:after="0" w:line="163" w:lineRule="exact"/>
        <w:rPr>
          <w:sz w:val="20"/>
          <w:szCs w:val="20"/>
          <w:color w:val="auto"/>
        </w:rPr>
      </w:pPr>
    </w:p>
    <w:p>
      <w:pPr>
        <w:ind w:firstLine="631"/>
        <w:spacing w:after="0" w:line="268" w:lineRule="auto"/>
        <w:rPr>
          <w:sz w:val="20"/>
          <w:szCs w:val="20"/>
          <w:color w:val="auto"/>
        </w:rPr>
      </w:pPr>
      <w:r>
        <w:rPr>
          <w:rFonts w:ascii="Times New Roman" w:cs="Times New Roman" w:eastAsia="Times New Roman" w:hAnsi="Times New Roman"/>
          <w:sz w:val="18"/>
          <w:szCs w:val="18"/>
          <w:color w:val="auto"/>
        </w:rPr>
        <w:t>The following table lists the four most important financial performance measures that we use to align executive compensation with performance as discussed in the CD&amp;A above:</w:t>
      </w:r>
    </w:p>
    <w:p>
      <w:pPr>
        <w:spacing w:after="0" w:line="15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6130" cy="150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150495"/>
                    </a:xfrm>
                    <a:prstGeom prst="rect">
                      <a:avLst/>
                    </a:prstGeom>
                    <a:noFill/>
                  </pic:spPr>
                </pic:pic>
              </a:graphicData>
            </a:graphic>
          </wp:anchor>
        </w:drawing>
      </w:r>
    </w:p>
    <w:p>
      <w:pPr>
        <w:spacing w:after="0" w:line="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PBT Margin</w:t>
      </w:r>
      <w:r>
        <w:rPr>
          <w:rFonts w:ascii="Times New Roman" w:cs="Times New Roman" w:eastAsia="Times New Roman" w:hAnsi="Times New Roman"/>
          <w:sz w:val="22"/>
          <w:szCs w:val="22"/>
          <w:color w:val="auto"/>
          <w:vertAlign w:val="superscript"/>
        </w:rPr>
        <w:t>(1)</w:t>
      </w:r>
    </w:p>
    <w:p>
      <w:pPr>
        <w:jc w:val="center"/>
        <w:spacing w:after="0" w:line="211" w:lineRule="auto"/>
        <w:rPr>
          <w:sz w:val="20"/>
          <w:szCs w:val="20"/>
          <w:color w:val="auto"/>
        </w:rPr>
      </w:pPr>
      <w:r>
        <w:rPr>
          <w:rFonts w:ascii="Times New Roman" w:cs="Times New Roman" w:eastAsia="Times New Roman" w:hAnsi="Times New Roman"/>
          <w:sz w:val="18"/>
          <w:szCs w:val="18"/>
          <w:color w:val="auto"/>
        </w:rPr>
        <w:t>U.S. EBIT per processed pound</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36130" cy="141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jc w:val="center"/>
        <w:spacing w:after="0" w:line="212" w:lineRule="auto"/>
        <w:rPr>
          <w:sz w:val="20"/>
          <w:szCs w:val="20"/>
          <w:color w:val="auto"/>
        </w:rPr>
      </w:pPr>
      <w:r>
        <w:rPr>
          <w:rFonts w:ascii="Times New Roman" w:cs="Times New Roman" w:eastAsia="Times New Roman" w:hAnsi="Times New Roman"/>
          <w:sz w:val="18"/>
          <w:szCs w:val="18"/>
          <w:color w:val="auto"/>
        </w:rPr>
        <w:t>Mexico EBIT margin</w:t>
      </w:r>
      <w:r>
        <w:rPr>
          <w:rFonts w:ascii="Times New Roman" w:cs="Times New Roman" w:eastAsia="Times New Roman" w:hAnsi="Times New Roman"/>
          <w:sz w:val="22"/>
          <w:szCs w:val="22"/>
          <w:color w:val="auto"/>
          <w:vertAlign w:val="superscript"/>
        </w:rPr>
        <w:t>(3)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U.K. and Europe EBIT margin</w:t>
      </w:r>
      <w:r>
        <w:rPr>
          <w:rFonts w:ascii="Times New Roman" w:cs="Times New Roman" w:eastAsia="Times New Roman" w:hAnsi="Times New Roman"/>
          <w:sz w:val="22"/>
          <w:szCs w:val="22"/>
          <w:color w:val="auto"/>
          <w:vertAlign w:val="superscript"/>
        </w:rPr>
        <w:t>(4)</w:t>
      </w:r>
    </w:p>
    <w:p>
      <w:pPr>
        <w:spacing w:after="0" w:line="47" w:lineRule="exact"/>
        <w:rPr>
          <w:sz w:val="20"/>
          <w:szCs w:val="20"/>
          <w:color w:val="auto"/>
        </w:rPr>
      </w:pPr>
    </w:p>
    <w:p>
      <w:pPr>
        <w:ind w:left="640" w:hanging="319"/>
        <w:spacing w:after="0" w:line="265" w:lineRule="auto"/>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PBT Margin is defined as income (loss) before income taxes as a percentage of the Company’s net sales. For a reconciliation of this non-GAAP financial measure for fiscal year 2023, see Annex A at the end of this proxy statement.</w:t>
      </w:r>
    </w:p>
    <w:p>
      <w:pPr>
        <w:spacing w:after="0" w:line="1"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EBIT per processed pound (in cents) is defined in the CD&amp;A under “Performance Metrics for 2023 Program.”</w:t>
      </w:r>
    </w:p>
    <w:p>
      <w:pPr>
        <w:spacing w:after="0" w:line="22"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Mexico EBIT margin is defined in the CD&amp;A under “Performance Metrics for 2023 Program.”</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39" w:name="page40"/>
    <w:bookmarkEnd w:id="39"/>
    <w:p>
      <w:pPr>
        <w:ind w:left="320"/>
        <w:spacing w:after="0"/>
        <w:tabs>
          <w:tab w:leader="none" w:pos="620" w:val="left"/>
        </w:tabs>
        <w:rPr>
          <w:sz w:val="20"/>
          <w:szCs w:val="20"/>
          <w:color w:val="auto"/>
        </w:rPr>
      </w:pPr>
      <w:r>
        <w:rPr>
          <w:rFonts w:ascii="Times New Roman" w:cs="Times New Roman" w:eastAsia="Times New Roman" w:hAnsi="Times New Roman"/>
          <w:sz w:val="16"/>
          <w:szCs w:val="16"/>
          <w:color w:val="auto"/>
        </w:rPr>
        <w:t>(4)</w:t>
      </w:r>
      <w:r>
        <w:rPr>
          <w:sz w:val="20"/>
          <w:szCs w:val="20"/>
          <w:color w:val="auto"/>
        </w:rPr>
        <w:tab/>
      </w:r>
      <w:r>
        <w:rPr>
          <w:rFonts w:ascii="Times New Roman" w:cs="Times New Roman" w:eastAsia="Times New Roman" w:hAnsi="Times New Roman"/>
          <w:sz w:val="15"/>
          <w:szCs w:val="15"/>
          <w:color w:val="auto"/>
        </w:rPr>
        <w:t>U.K. and Europe EBIT margin is defined in the CD&amp;A under “Performance Metrics for 2023 Program.”</w:t>
      </w:r>
    </w:p>
    <w:p>
      <w:pPr>
        <w:spacing w:after="0" w:line="166" w:lineRule="exact"/>
        <w:rPr>
          <w:sz w:val="20"/>
          <w:szCs w:val="20"/>
          <w:color w:val="auto"/>
        </w:rPr>
      </w:pPr>
    </w:p>
    <w:p>
      <w:pPr>
        <w:ind w:firstLine="631"/>
        <w:spacing w:after="0" w:line="268" w:lineRule="auto"/>
        <w:rPr>
          <w:sz w:val="20"/>
          <w:szCs w:val="20"/>
          <w:color w:val="auto"/>
        </w:rPr>
      </w:pPr>
      <w:r>
        <w:rPr>
          <w:rFonts w:ascii="Times New Roman" w:cs="Times New Roman" w:eastAsia="Times New Roman" w:hAnsi="Times New Roman"/>
          <w:sz w:val="18"/>
          <w:szCs w:val="18"/>
          <w:color w:val="auto"/>
        </w:rPr>
        <w:t>The charts shown below compare the company-selected financial measure of PBT margin, net income, and PPC and peer group TSR as described above with executive compensation actually paid (or “CAP”) for each of the three most recent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85090</wp:posOffset>
            </wp:positionV>
            <wp:extent cx="5116195" cy="31718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1619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67945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1416685</wp:posOffset>
            </wp:positionH>
            <wp:positionV relativeFrom="page">
              <wp:posOffset>664845</wp:posOffset>
            </wp:positionV>
            <wp:extent cx="5116195" cy="31718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11619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67945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9"/>
          <w:szCs w:val="19"/>
          <w:b w:val="1"/>
          <w:bCs w:val="1"/>
          <w:color w:val="auto"/>
        </w:rPr>
        <w:t>COMPENSATION RISKS</w:t>
      </w:r>
    </w:p>
    <w:p>
      <w:pPr>
        <w:spacing w:after="0" w:line="180"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The Company has reviewed and assessed our compensation policies and practices to determine whether they are reasonably likely to have a material adverse effect on the Company. The Company’s management reviews compensation policies for the presence of certain elements that could encourage employees to take unnecessary or excessive risks; the ratios and level of incentive to fixed compensation, annual to long-term compensation and cash to equity compensation; and the comparison of compensation expense to earnings of the Company. Management’s assessment of the Company’s compensation policies is reviewed by the Compensation Committee as part of its risk oversight function.</w:t>
      </w:r>
    </w:p>
    <w:p>
      <w:pPr>
        <w:spacing w:after="0" w:line="126"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The Company believes that its compensation programs for employees and executive officers are appropriately tailored to encourage employees to grow our business, but not to encourage them to do so in a way that poses unnecessary or excessive material risk. In particular, in 2023, the Company’s compensation programs were designed to provide the following:</w:t>
      </w:r>
    </w:p>
    <w:p>
      <w:pPr>
        <w:spacing w:after="0" w:line="104" w:lineRule="exact"/>
        <w:rPr>
          <w:sz w:val="20"/>
          <w:szCs w:val="20"/>
          <w:color w:val="auto"/>
        </w:rPr>
      </w:pPr>
    </w:p>
    <w:p>
      <w:pPr>
        <w:ind w:left="640" w:hanging="3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elements that balance short-term and long-term compensation;</w:t>
      </w:r>
    </w:p>
    <w:p>
      <w:pPr>
        <w:spacing w:after="0" w:line="17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incentive compensation that rewards performance; and</w:t>
      </w:r>
    </w:p>
    <w:p>
      <w:pPr>
        <w:spacing w:after="0" w:line="17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compensation with fixed and variable components.</w:t>
      </w:r>
    </w:p>
    <w:p>
      <w:pPr>
        <w:spacing w:after="0" w:line="163"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As a result, the Company believes that executive officers and key employees receive a balance between competitive remuneration to encourage retention and compensation designed to provide opportunities to earn more by successfully executing our business strategy. The Company believes the design of these programs encourages our executive officers and key employees to perform at high levels and maximize Company performance without focusing exclusively on compensation performance metrics to the detriment of other important business metrics.</w:t>
      </w:r>
    </w:p>
    <w:p>
      <w:pPr>
        <w:spacing w:after="0" w:line="119" w:lineRule="exact"/>
        <w:rPr>
          <w:sz w:val="20"/>
          <w:szCs w:val="20"/>
          <w:color w:val="auto"/>
        </w:rPr>
      </w:pPr>
    </w:p>
    <w:p>
      <w:pPr>
        <w:jc w:val="both"/>
        <w:ind w:firstLine="631"/>
        <w:spacing w:after="0" w:line="258" w:lineRule="auto"/>
        <w:rPr>
          <w:sz w:val="20"/>
          <w:szCs w:val="20"/>
          <w:color w:val="auto"/>
        </w:rPr>
      </w:pPr>
      <w:r>
        <w:rPr>
          <w:rFonts w:ascii="Times New Roman" w:cs="Times New Roman" w:eastAsia="Times New Roman" w:hAnsi="Times New Roman"/>
          <w:sz w:val="19"/>
          <w:szCs w:val="19"/>
          <w:color w:val="auto"/>
        </w:rPr>
        <w:t>The Company also believes that its compensation program does not encourage excessive risk taking because the above compensation elements coupled with equity ownership in the Company provide a proper mix between long and short-term incentives. A significant portion of the NEOs’ total compensation is performance-based and tied to the profitability of the Company. Specifically, in 2023, Messrs. Sandri and Galvanoni were eligible to receive an annual cash bonus payable based on the Company’s PBT Margin. Additionally, Messrs. Sandri and Galvanoni have been granted equity awards and currently own a level of equity that the Company believes provides sufficient long-term incentives. The Company believes that the NEOs’ beneficial ownership of Pilgrim’s Pride common stock, which encourages long-term focus on sustainable performance, aligns their interests with those of our stockholders. For 2023, approximately 63.0% of the total target compensation of each of our CEO and CFO was “at risk,” or dependent upon the Company’s performance.</w:t>
      </w:r>
    </w:p>
    <w:p>
      <w:pPr>
        <w:spacing w:after="0" w:line="119" w:lineRule="exact"/>
        <w:rPr>
          <w:sz w:val="20"/>
          <w:szCs w:val="20"/>
          <w:color w:val="auto"/>
        </w:rPr>
      </w:pPr>
    </w:p>
    <w:p>
      <w:pPr>
        <w:jc w:val="both"/>
        <w:ind w:firstLine="631"/>
        <w:spacing w:after="0" w:line="296" w:lineRule="auto"/>
        <w:rPr>
          <w:sz w:val="20"/>
          <w:szCs w:val="20"/>
          <w:color w:val="auto"/>
        </w:rPr>
      </w:pPr>
      <w:r>
        <w:rPr>
          <w:rFonts w:ascii="Times New Roman" w:cs="Times New Roman" w:eastAsia="Times New Roman" w:hAnsi="Times New Roman"/>
          <w:sz w:val="19"/>
          <w:szCs w:val="19"/>
          <w:color w:val="auto"/>
        </w:rPr>
        <w:t>Overall, the Company concluded that there were no risks arising from our compensation policies and practices that are reasonably likely to have a material adverse effect on the Company.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COMPENSATION COMMITTEE INTERLOCKS AND INSIDER PARTICIPATION</w:t>
      </w:r>
    </w:p>
    <w:p>
      <w:pPr>
        <w:spacing w:after="0" w:line="180"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During 2023, the members of the Compensation Committee were Arquimedes Celis, Gilberto Tomazoni, and Andre Nogueira de Souza. No member of the Committee was, during 2023, an officer, former officer or employee of the Company or any of our subsidiaries. We did not have any compensation committee interlocks in 2023. See “Related Party Transactions - Reportable Transactions” for additional information on the Company’s transactions with JBS.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DELINQUENT SECTION 16(A) REPORTS</w:t>
      </w:r>
    </w:p>
    <w:p>
      <w:pPr>
        <w:spacing w:after="0" w:line="180"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Section 16(a) of the Exchange Act requires our officers and Directors, and persons who own more than ten percent of our common stock (“Reporting Persons”), to file reports of ownership and changes in ownership with the SEC. Based on a review of such reports filed with the SEC during the most recent fiscal year, our internal records and any written representations from Reporting Persons, we believe that the Reporting Persons complied with all Section 16(a) filing requirements applicable to our Reporting Persons for the fiscal year ended December 31, 2023.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9"/>
          <w:szCs w:val="19"/>
          <w:b w:val="1"/>
          <w:bCs w:val="1"/>
          <w:color w:val="auto"/>
        </w:rPr>
        <w:t>SECURITY OWNERSHIP</w:t>
      </w:r>
    </w:p>
    <w:p>
      <w:pPr>
        <w:spacing w:after="0" w:line="180"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9"/>
          <w:szCs w:val="19"/>
          <w:color w:val="auto"/>
        </w:rPr>
        <w:t>The following table sets forth certain information with respect to the beneficial ownership of our common stock by (1) each person known by us to own more than 5% of the outstanding shares of our common stock (the only class of voting securities outstanding); (2) each of our Directors and Director nominees; (3) our NEOs; and (4) all of our current Directors and executive officers as a group. The information below is provided as of March 12, 2024, unless otherwise indicated below.</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Amount and Nature of</w:t>
            </w:r>
          </w:p>
        </w:tc>
        <w:tc>
          <w:tcPr>
            <w:tcW w:w="2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Percent of Outstanding</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and Beneficial Owner</w:t>
            </w:r>
            <w:r>
              <w:rPr>
                <w:rFonts w:ascii="Times New Roman" w:cs="Times New Roman" w:eastAsia="Times New Roman" w:hAnsi="Times New Roman"/>
                <w:sz w:val="20"/>
                <w:szCs w:val="20"/>
                <w:b w:val="1"/>
                <w:bCs w:val="1"/>
                <w:color w:val="auto"/>
                <w:vertAlign w:val="superscript"/>
              </w:rPr>
              <w:t>(a)</w:t>
            </w:r>
          </w:p>
        </w:tc>
        <w:tc>
          <w:tcPr>
            <w:tcW w:w="21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Beneficial Ownership of</w:t>
            </w:r>
          </w:p>
        </w:tc>
        <w:tc>
          <w:tcPr>
            <w:tcW w:w="2280" w:type="dxa"/>
            <w:vAlign w:val="bottom"/>
            <w:gridSpan w:val="2"/>
            <w:vMerge w:val="continue"/>
          </w:tcPr>
          <w:p>
            <w:pPr>
              <w:spacing w:after="0"/>
              <w:rPr>
                <w:sz w:val="13"/>
                <w:szCs w:val="13"/>
                <w:color w:val="auto"/>
              </w:rPr>
            </w:pPr>
          </w:p>
        </w:tc>
        <w:tc>
          <w:tcPr>
            <w:tcW w:w="212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Percent of Voting Power</w:t>
            </w:r>
          </w:p>
        </w:tc>
        <w:tc>
          <w:tcPr>
            <w:tcW w:w="0" w:type="dxa"/>
            <w:vAlign w:val="bottom"/>
          </w:tcPr>
          <w:p>
            <w:pPr>
              <w:spacing w:after="0"/>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20" w:type="dxa"/>
            <w:vAlign w:val="bottom"/>
            <w:tcBorders>
              <w:top w:val="single" w:sz="8" w:color="auto"/>
            </w:tcBorders>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JBS Wisconsin Properties, LLC</w:t>
            </w:r>
            <w:r>
              <w:rPr>
                <w:rFonts w:ascii="Times New Roman" w:cs="Times New Roman" w:eastAsia="Times New Roman" w:hAnsi="Times New Roman"/>
                <w:sz w:val="22"/>
                <w:szCs w:val="22"/>
                <w:color w:val="auto"/>
                <w:vertAlign w:val="superscript"/>
              </w:rPr>
              <w:t>(b)</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195,445,936</w:t>
            </w:r>
          </w:p>
        </w:tc>
        <w:tc>
          <w:tcPr>
            <w:tcW w:w="1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82.49 %</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82.49 %</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Wesley Mendonça Batista</w:t>
            </w:r>
            <w:r>
              <w:rPr>
                <w:rFonts w:ascii="Times New Roman" w:cs="Times New Roman" w:eastAsia="Times New Roman" w:hAnsi="Times New Roman"/>
                <w:sz w:val="22"/>
                <w:szCs w:val="22"/>
                <w:color w:val="auto"/>
                <w:vertAlign w:val="superscript"/>
              </w:rPr>
              <w:t>(b)</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195,445,936</w:t>
            </w:r>
          </w:p>
        </w:tc>
        <w:tc>
          <w:tcPr>
            <w:tcW w:w="120" w:type="dxa"/>
            <w:vAlign w:val="bottom"/>
          </w:tcPr>
          <w:p>
            <w:pPr>
              <w:spacing w:after="0"/>
              <w:rPr>
                <w:sz w:val="19"/>
                <w:szCs w:val="19"/>
                <w:color w:val="auto"/>
              </w:rPr>
            </w:pPr>
          </w:p>
        </w:tc>
        <w:tc>
          <w:tcPr>
            <w:tcW w:w="2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82.49</w:t>
            </w:r>
          </w:p>
        </w:tc>
        <w:tc>
          <w:tcPr>
            <w:tcW w:w="100" w:type="dxa"/>
            <w:vAlign w:val="bottom"/>
          </w:tcPr>
          <w:p>
            <w:pPr>
              <w:spacing w:after="0"/>
              <w:rPr>
                <w:sz w:val="19"/>
                <w:szCs w:val="19"/>
                <w:color w:val="auto"/>
              </w:rPr>
            </w:pPr>
          </w:p>
        </w:tc>
        <w:tc>
          <w:tcPr>
            <w:tcW w:w="2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82.49</w:t>
            </w:r>
          </w:p>
        </w:tc>
        <w:tc>
          <w:tcPr>
            <w:tcW w:w="0" w:type="dxa"/>
            <w:vAlign w:val="bottom"/>
          </w:tcPr>
          <w:p>
            <w:pPr>
              <w:spacing w:after="0"/>
              <w:rPr>
                <w:sz w:val="1"/>
                <w:szCs w:val="1"/>
                <w:color w:val="auto"/>
              </w:rPr>
            </w:pPr>
          </w:p>
        </w:tc>
      </w:tr>
      <w:tr>
        <w:trPr>
          <w:trHeight w:val="223"/>
        </w:trPr>
        <w:tc>
          <w:tcPr>
            <w:tcW w:w="46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Joesley Mendonça Batista</w:t>
            </w:r>
            <w:r>
              <w:rPr>
                <w:rFonts w:ascii="Times New Roman" w:cs="Times New Roman" w:eastAsia="Times New Roman" w:hAnsi="Times New Roman"/>
                <w:sz w:val="22"/>
                <w:szCs w:val="22"/>
                <w:color w:val="auto"/>
                <w:vertAlign w:val="superscript"/>
              </w:rPr>
              <w:t>(b)</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195,445,936</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82.49</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82.49</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Fabio Sandri</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248,111</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Galvanoni</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31,053</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Wallim Cruz de Vasconcellos Junior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Farha Aslam</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Arquimedes A. Celis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Joanita Karoleski</w:t>
            </w:r>
            <w:r>
              <w:rPr>
                <w:rFonts w:ascii="Times New Roman" w:cs="Times New Roman" w:eastAsia="Times New Roman" w:hAnsi="Times New Roman"/>
                <w:sz w:val="22"/>
                <w:szCs w:val="22"/>
                <w:color w:val="auto"/>
                <w:vertAlign w:val="superscript"/>
              </w:rPr>
              <w:t>(c)</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Menon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Raul Padilla</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Gilberto Tomazoni</w:t>
            </w: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 Nogueira de Souza</w:t>
            </w:r>
          </w:p>
        </w:tc>
        <w:tc>
          <w:tcPr>
            <w:tcW w:w="2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Wesley Mendonça Batista Filho</w:t>
            </w:r>
            <w:r>
              <w:rPr>
                <w:rFonts w:ascii="Times New Roman" w:cs="Times New Roman" w:eastAsia="Times New Roman" w:hAnsi="Times New Roman"/>
                <w:sz w:val="22"/>
                <w:szCs w:val="22"/>
                <w:color w:val="auto"/>
                <w:vertAlign w:val="superscript"/>
              </w:rPr>
              <w:t>(c)</w:t>
            </w: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64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All current executive officers and Directors as a group (13</w:t>
            </w: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40" w:type="dxa"/>
            <w:vAlign w:val="bottom"/>
            <w:gridSpan w:val="2"/>
            <w:shd w:val="clear" w:color="auto" w:fill="CCEEFF"/>
          </w:tcPr>
          <w:p>
            <w:pPr>
              <w:spacing w:after="0" w:line="237" w:lineRule="exact"/>
              <w:rPr>
                <w:sz w:val="20"/>
                <w:szCs w:val="20"/>
                <w:color w:val="auto"/>
              </w:rPr>
            </w:pPr>
            <w:r>
              <w:rPr>
                <w:rFonts w:ascii="Times New Roman" w:cs="Times New Roman" w:eastAsia="Times New Roman" w:hAnsi="Times New Roman"/>
                <w:sz w:val="18"/>
                <w:szCs w:val="18"/>
                <w:color w:val="auto"/>
              </w:rPr>
              <w:t>persons)</w:t>
            </w:r>
            <w:r>
              <w:rPr>
                <w:rFonts w:ascii="Times New Roman" w:cs="Times New Roman" w:eastAsia="Times New Roman" w:hAnsi="Times New Roman"/>
                <w:sz w:val="22"/>
                <w:szCs w:val="22"/>
                <w:color w:val="auto"/>
                <w:vertAlign w:val="superscript"/>
              </w:rPr>
              <w:t>(a)</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195,785,131</w:t>
            </w:r>
          </w:p>
        </w:tc>
        <w:tc>
          <w:tcPr>
            <w:tcW w:w="1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82.63 %</w:t>
            </w:r>
          </w:p>
        </w:tc>
        <w:tc>
          <w:tcPr>
            <w:tcW w:w="1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82.63 %</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40" w:hanging="235"/>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18" w:lineRule="exact"/>
        <w:rPr>
          <w:sz w:val="20"/>
          <w:szCs w:val="20"/>
          <w:color w:val="auto"/>
        </w:rPr>
      </w:pPr>
    </w:p>
    <w:p>
      <w:pPr>
        <w:ind w:left="320" w:hanging="315"/>
        <w:spacing w:after="0" w:line="242" w:lineRule="auto"/>
        <w:tabs>
          <w:tab w:leader="none" w:pos="31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address for each individual is c/o Pilgrim’s Pride Corporation, 1770 Promontory Circle, Greeley, CO 80634-9038. To our knowledge, except as otherwise indicated, each of the persons listed above has sole voting and investment power with respect to shares beneficially owned.</w:t>
      </w:r>
    </w:p>
    <w:p>
      <w:pPr>
        <w:spacing w:after="0" w:line="1" w:lineRule="exact"/>
        <w:rPr>
          <w:rFonts w:ascii="Times New Roman" w:cs="Times New Roman" w:eastAsia="Times New Roman" w:hAnsi="Times New Roman"/>
          <w:sz w:val="16"/>
          <w:szCs w:val="16"/>
          <w:color w:val="auto"/>
        </w:rPr>
      </w:pPr>
    </w:p>
    <w:p>
      <w:pPr>
        <w:jc w:val="both"/>
        <w:ind w:left="320" w:hanging="315"/>
        <w:spacing w:after="0" w:line="246"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JBS Wisconsin Properties, LLC is a wholly owned, indirect subsidiary of JBS and indirectly beneficially owns 195,445,936 shares of our common stock. JBS is ultimately controlled by Joesley Mendonça Batista and Wesley Mendonça Batista, who jointly control and equally and indirectly own: (1) 100% of the equity interests in J&amp;F Investimentos S.A., a Brazilian corporation, which owns approximately 23.83% of the outstanding capital of JBS; and (2) 100% of the equity interests in J&amp;F Participações S.A., a Brazilian corporation, which owns approximately 24.79% of the outstanding capital of JBS. The address of JBS and JBS Wisconsin Properties, LLC is 1770 Promontory Circle, Greeley, CO 80634-9038.</w:t>
      </w:r>
    </w:p>
    <w:p>
      <w:pPr>
        <w:spacing w:after="0" w:line="3" w:lineRule="exact"/>
        <w:rPr>
          <w:rFonts w:ascii="Times New Roman" w:cs="Times New Roman" w:eastAsia="Times New Roman" w:hAnsi="Times New Roman"/>
          <w:sz w:val="16"/>
          <w:szCs w:val="16"/>
          <w:color w:val="auto"/>
        </w:rPr>
      </w:pPr>
    </w:p>
    <w:p>
      <w:pPr>
        <w:ind w:left="320" w:hanging="315"/>
        <w:spacing w:after="0"/>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Karoleski and Mr. Batista Filho resigned from the Board effective February 8, 2024.</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RELATED PARTY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Related Party Transactions Policy</w:t>
      </w:r>
    </w:p>
    <w:p>
      <w:pPr>
        <w:spacing w:after="0" w:line="167" w:lineRule="exact"/>
        <w:rPr>
          <w:sz w:val="20"/>
          <w:szCs w:val="20"/>
          <w:color w:val="auto"/>
        </w:rPr>
      </w:pPr>
    </w:p>
    <w:p>
      <w:pPr>
        <w:jc w:val="both"/>
        <w:ind w:firstLine="631"/>
        <w:spacing w:after="0" w:line="259" w:lineRule="auto"/>
        <w:rPr>
          <w:sz w:val="20"/>
          <w:szCs w:val="20"/>
          <w:color w:val="auto"/>
        </w:rPr>
      </w:pPr>
      <w:r>
        <w:rPr>
          <w:rFonts w:ascii="Times New Roman" w:cs="Times New Roman" w:eastAsia="Times New Roman" w:hAnsi="Times New Roman"/>
          <w:sz w:val="19"/>
          <w:szCs w:val="19"/>
          <w:color w:val="auto"/>
        </w:rPr>
        <w:t>During 2023, in accordance with its Charter, our Audit Committee was responsible for reviewing and approving the terms and conditions of all proposed transactions required to be disclosed under Item 404 of Regulation S-K, including transactions between us and any of our officers or Directors, or relatives or affiliates of any such officers or Directors. Furthermore, our Certificate of Incorporation provides that all transactions required to be disclosed under Item 404 of Regulation S-K under the Exchange Act (“related party transactions”) must first be reviewed, evaluated and approved by the Audit Committee or other committee comprised solely of independent directors, such approval to be evidenced by a resolution stating that such committee has, in good faith, unanimously determined that such transaction complies with the provisions of our Certificate of Incorporation governing related party transactions. Any Audit Committee or other independent body member who was or is not independent with respect to a related party transaction under review has been required by our Audit Committee Charter to disclose his or her lack of independence to the remaining committee members and abstain from the review and approval of that transactions. Under our Certificate of Incorporation, neither we nor any of our subsidiaries may enter into certain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9"/>
          <w:szCs w:val="19"/>
          <w:color w:val="auto"/>
        </w:rPr>
        <w:t>sale and purchase transactions with or for the benefit of JBS and its affiliates, except on fair and reasonable terms that are no less favorable to us and/or our applicable subsidiary than those that could have been obtained in a comparable arm’s-length transaction with an unrelated third party. Additionally, pursuant to our Governance Policies, we will not make significant charitable contributions to organizations in which a Director or his/her family member is affiliated, enter into consulting contracts with (or otherwise provide indirect forms of compensation to) a Director, or enter into transactions (other than service as a Director) with the Director or any business or nonprofit entity in which the director is a general partner, controlling stockholder, officer, manager, or trustee, or materially financially interested, without the prior approval of a majority of disinterested members of the full Board, and, if required by Nasdaq rules, the Audit Committee.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Reportable Transactions</w:t>
      </w:r>
    </w:p>
    <w:p>
      <w:pPr>
        <w:spacing w:after="0" w:line="180"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9"/>
          <w:szCs w:val="19"/>
          <w:color w:val="auto"/>
        </w:rPr>
        <w:t>Since December 26, 2022, the start of our fiscal year 2023, these transactions, along with all other related party transactions, received the approval of our Audit Committee. With the assistance of our management’s analysis, the Audit Committee reviewed the terms of all contracts entered into with related parties and determined that they were substantially similar to, and contained terms not less favorable to us than, those obtainable from unaffiliated parties.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following are our related party transactions with amounts shown for the fiscal year 2023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 paid by JBS USA Food Company on behalf of Pilgrim’s</w:t>
            </w:r>
            <w:r>
              <w:rPr>
                <w:rFonts w:ascii="Times New Roman" w:cs="Times New Roman" w:eastAsia="Times New Roman" w:hAnsi="Times New Roman"/>
                <w:sz w:val="22"/>
                <w:szCs w:val="22"/>
                <w:color w:val="auto"/>
                <w:vertAlign w:val="superscript"/>
              </w:rPr>
              <w:t>(a)</w:t>
            </w:r>
          </w:p>
        </w:tc>
        <w:tc>
          <w:tcPr>
            <w:tcW w:w="2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156,439</w:t>
            </w:r>
          </w:p>
        </w:tc>
      </w:tr>
      <w:tr>
        <w:trPr>
          <w:trHeight w:val="223"/>
        </w:trPr>
        <w:tc>
          <w:tcPr>
            <w:tcW w:w="7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Expenditures paid by Pilgrim’s on behalf of JBS USA Food Company</w:t>
            </w:r>
            <w:r>
              <w:rPr>
                <w:rFonts w:ascii="Times New Roman" w:cs="Times New Roman" w:eastAsia="Times New Roman" w:hAnsi="Times New Roman"/>
                <w:sz w:val="22"/>
                <w:szCs w:val="22"/>
                <w:color w:val="auto"/>
                <w:vertAlign w:val="superscript"/>
              </w:rPr>
              <w:t>(a)</w:t>
            </w:r>
          </w:p>
        </w:tc>
        <w:tc>
          <w:tcPr>
            <w:tcW w:w="2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22,734</w:t>
            </w:r>
          </w:p>
        </w:tc>
      </w:tr>
      <w:tr>
        <w:trPr>
          <w:trHeight w:val="223"/>
        </w:trPr>
        <w:tc>
          <w:tcPr>
            <w:tcW w:w="7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Sales to related parties</w:t>
            </w:r>
            <w:r>
              <w:rPr>
                <w:rFonts w:ascii="Times New Roman" w:cs="Times New Roman" w:eastAsia="Times New Roman" w:hAnsi="Times New Roman"/>
                <w:sz w:val="22"/>
                <w:szCs w:val="22"/>
                <w:color w:val="auto"/>
                <w:vertAlign w:val="superscript"/>
              </w:rPr>
              <w:t>(b)</w:t>
            </w:r>
          </w:p>
        </w:tc>
        <w:tc>
          <w:tcPr>
            <w:tcW w:w="2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35,803</w:t>
            </w:r>
          </w:p>
        </w:tc>
      </w:tr>
      <w:tr>
        <w:trPr>
          <w:trHeight w:val="30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from related parties</w:t>
            </w:r>
            <w:r>
              <w:rPr>
                <w:rFonts w:ascii="Times New Roman" w:cs="Times New Roman" w:eastAsia="Times New Roman" w:hAnsi="Times New Roman"/>
                <w:sz w:val="22"/>
                <w:szCs w:val="22"/>
                <w:color w:val="auto"/>
                <w:vertAlign w:val="superscript"/>
              </w:rPr>
              <w:t>(b)</w:t>
            </w:r>
          </w:p>
        </w:tc>
        <w:tc>
          <w:tcPr>
            <w:tcW w:w="2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240,139</w:t>
            </w:r>
          </w:p>
        </w:tc>
      </w:tr>
    </w:tbl>
    <w:p>
      <w:pPr>
        <w:jc w:val="both"/>
        <w:ind w:left="320" w:hanging="315"/>
        <w:spacing w:after="0" w:line="248" w:lineRule="auto"/>
        <w:tabs>
          <w:tab w:leader="none" w:pos="31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an agreement with JBS USA to allocate costs associated with JBS USA’s procurement of SAP licenses and maintenance services for both companies. Under this agreement, the fees associated with procuring SAP licenses and maintenance services are allocated between the Company and JBS USA in proportion to the percentage of licenses used by each company. The agreement expires on the date of expiration, or earlier termination, of the underlying SAP license agreement. We also have an agreement with JBS USA to allocate the costs of supporting the business operations by one consolidated corporate team, which have historically been supported by their respective corporate teams. Expenditures paid by JBS USA on behalf of PPC will be reimbursed by PPC and expenditures paid by PPC on behalf of JBS USA will be reimbursed by JBS USA. This agreement expires on December 31, 2024.</w:t>
      </w:r>
    </w:p>
    <w:p>
      <w:pPr>
        <w:ind w:left="320" w:hanging="315"/>
        <w:spacing w:after="0"/>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routinely enter into transactions to sell our products to JBS USA and its subsidiaries and purchase products from them.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9"/>
          <w:szCs w:val="19"/>
          <w:b w:val="1"/>
          <w:bCs w:val="1"/>
          <w:color w:val="auto"/>
        </w:rPr>
        <w:t>PROPOSAL 4. RATIFICATION OF THE APPOINTMENT OF INDEPENDENT REGISTERED PUBLIC ACCOUNTING FIRM</w:t>
      </w:r>
    </w:p>
    <w:p>
      <w:pPr>
        <w:spacing w:after="0" w:line="180"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Our Board of Directors recommends the ratification of the appointment of KPMG LLP as our independent registered public accounting firm for 2024.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our stockholders. For information on the fees paid to KPMG LLP in fiscal years 2023 and 2022, see “Independent Registered Public Accounting Firm Fee Information.”</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Representatives of KPMG LLP are expected to be present at the Annual Meeting and to be available to respond to appropriate questions.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They will be given the opportunity to make a statement if they wish to do so.</w:t>
      </w:r>
    </w:p>
    <w:p>
      <w:pPr>
        <w:spacing w:after="0" w:line="144" w:lineRule="exact"/>
        <w:rPr>
          <w:sz w:val="20"/>
          <w:szCs w:val="20"/>
          <w:color w:val="auto"/>
        </w:rPr>
      </w:pPr>
    </w:p>
    <w:p>
      <w:pPr>
        <w:jc w:val="both"/>
        <w:ind w:firstLine="631"/>
        <w:spacing w:after="0" w:line="300" w:lineRule="auto"/>
        <w:rPr>
          <w:sz w:val="20"/>
          <w:szCs w:val="20"/>
          <w:color w:val="auto"/>
        </w:rPr>
      </w:pPr>
      <w:r>
        <w:rPr>
          <w:rFonts w:ascii="Times New Roman" w:cs="Times New Roman" w:eastAsia="Times New Roman" w:hAnsi="Times New Roman"/>
          <w:sz w:val="19"/>
          <w:szCs w:val="19"/>
          <w:b w:val="1"/>
          <w:bCs w:val="1"/>
          <w:color w:val="auto"/>
        </w:rPr>
        <w:t>Our Board of Directors recommends that you vote “FOR” the ratification of the appointment of KPMG LLP as our independent registered public accounting firm for 2024. Proxies will be so voted unless stockholders specify otherwise.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9"/>
          <w:szCs w:val="19"/>
          <w:b w:val="1"/>
          <w:bCs w:val="1"/>
          <w:color w:val="auto"/>
        </w:rPr>
        <w:t>REPORT OF THE AUDIT COMMITTEE</w:t>
      </w:r>
    </w:p>
    <w:p>
      <w:pPr>
        <w:spacing w:after="0" w:line="180" w:lineRule="exact"/>
        <w:rPr>
          <w:sz w:val="20"/>
          <w:szCs w:val="20"/>
          <w:color w:val="auto"/>
        </w:rPr>
      </w:pPr>
    </w:p>
    <w:p>
      <w:pPr>
        <w:jc w:val="both"/>
        <w:ind w:firstLine="631"/>
        <w:spacing w:after="0" w:line="258" w:lineRule="auto"/>
        <w:rPr>
          <w:sz w:val="20"/>
          <w:szCs w:val="20"/>
          <w:color w:val="auto"/>
        </w:rPr>
      </w:pPr>
      <w:r>
        <w:rPr>
          <w:rFonts w:ascii="Times New Roman" w:cs="Times New Roman" w:eastAsia="Times New Roman" w:hAnsi="Times New Roman"/>
          <w:sz w:val="19"/>
          <w:szCs w:val="19"/>
          <w:color w:val="auto"/>
        </w:rPr>
        <w:t>The Audit Committee assists the Board in fulfilling its responsibilities for general oversight of the integrity of the Company’s financial statements, our compliance with legal and regulatory requirements, the independent registered public accounting firm’s qualifications and independence, the performance of our internal audit function and the independent registered public accounting firm, risk assessment and risk management. The Audit Committee manages the Company’s relationship with its independent registered public accounting firm (who reports directly to the Audit Committee). The Audit Committee has the authority to obtain advice and assistance from outside legal, accounting or other advisors as the Audit Committee deems necessary to carry out its duties and to receive appropriate funding, as determined by the Audit Committee, from the Company for such advice and assistance.</w:t>
      </w:r>
    </w:p>
    <w:p>
      <w:pPr>
        <w:spacing w:after="0" w:line="130"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9"/>
          <w:szCs w:val="19"/>
          <w:color w:val="auto"/>
        </w:rPr>
        <w:t>The Company’s management has primary responsibility for preparing our financial statements and for our financial reporting process. Our independent registered public accounting firm is responsible for auditing those annual financial statements and expressing an opinion on the conformity of the Company’s audited financial statements with U.S. GAAP. The Audit Committee’s responsibility is to monitor and review these processes and have direct responsibility for the appointment, compensation, retention and oversight of the independent registered public accounting firm retained to audit the Company’s financial statements, but not to verify independently the information provided to the Audit Committee.</w:t>
      </w:r>
    </w:p>
    <w:p>
      <w:pPr>
        <w:spacing w:after="0" w:line="3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 this context, the Audit Committee hereby reports as follows:</w:t>
      </w:r>
    </w:p>
    <w:p>
      <w:pPr>
        <w:spacing w:after="0" w:line="176" w:lineRule="exact"/>
        <w:rPr>
          <w:sz w:val="20"/>
          <w:szCs w:val="20"/>
          <w:color w:val="auto"/>
        </w:rPr>
      </w:pPr>
    </w:p>
    <w:p>
      <w:pPr>
        <w:ind w:left="960" w:hanging="324"/>
        <w:spacing w:after="0"/>
        <w:tabs>
          <w:tab w:leader="none" w:pos="9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Audit Committee has reviewed and discussed the audited financial statements with the Company’s management.</w:t>
      </w:r>
    </w:p>
    <w:p>
      <w:pPr>
        <w:spacing w:after="0" w:line="175" w:lineRule="exact"/>
        <w:rPr>
          <w:rFonts w:ascii="Times New Roman" w:cs="Times New Roman" w:eastAsia="Times New Roman" w:hAnsi="Times New Roman"/>
          <w:sz w:val="19"/>
          <w:szCs w:val="19"/>
          <w:color w:val="auto"/>
        </w:rPr>
      </w:pPr>
    </w:p>
    <w:p>
      <w:pPr>
        <w:ind w:left="1260" w:hanging="624"/>
        <w:spacing w:after="0" w:line="270" w:lineRule="auto"/>
        <w:tabs>
          <w:tab w:leader="none" w:pos="975"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Audit Committee has discussed with the independent registered public accounting firm the matters required to be discussed by the applicable requirements of the Public Company Accounting Oversight Board (the “PCAOB”) and the Securities and Exchange Commission (the “SEC”).</w:t>
      </w:r>
    </w:p>
    <w:p>
      <w:pPr>
        <w:spacing w:after="0" w:line="103" w:lineRule="exact"/>
        <w:rPr>
          <w:rFonts w:ascii="Times New Roman" w:cs="Times New Roman" w:eastAsia="Times New Roman" w:hAnsi="Times New Roman"/>
          <w:sz w:val="19"/>
          <w:szCs w:val="19"/>
          <w:color w:val="auto"/>
        </w:rPr>
      </w:pPr>
    </w:p>
    <w:p>
      <w:pPr>
        <w:ind w:left="1260" w:hanging="624"/>
        <w:spacing w:after="0" w:line="267" w:lineRule="auto"/>
        <w:tabs>
          <w:tab w:leader="none" w:pos="1027"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18" w:lineRule="exact"/>
        <w:rPr>
          <w:rFonts w:ascii="Times New Roman" w:cs="Times New Roman" w:eastAsia="Times New Roman" w:hAnsi="Times New Roman"/>
          <w:sz w:val="19"/>
          <w:szCs w:val="19"/>
          <w:color w:val="auto"/>
        </w:rPr>
      </w:pPr>
    </w:p>
    <w:p>
      <w:pPr>
        <w:ind w:left="1260" w:hanging="624"/>
        <w:spacing w:after="0" w:line="270" w:lineRule="auto"/>
        <w:tabs>
          <w:tab w:leader="none" w:pos="1027"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the review and discussions set forth above, the Audit Committee recommended to the Board that the audited financial statements be included in the Company’s Annual Report on Form 10-K for the fiscal year ended December 31, 2023 for filing with the SEC.</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undersigned members of the Audit Committee have submitted this report to the Board of Directors.</w:t>
      </w:r>
    </w:p>
    <w:p>
      <w:pPr>
        <w:spacing w:after="0" w:line="20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9"/>
          <w:szCs w:val="19"/>
          <w:u w:val="single" w:color="auto"/>
          <w:color w:val="auto"/>
        </w:rPr>
        <w:t>Audit Committee</w:t>
      </w:r>
    </w:p>
    <w:p>
      <w:pPr>
        <w:spacing w:after="0" w:line="4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9"/>
          <w:szCs w:val="19"/>
          <w:color w:val="auto"/>
        </w:rPr>
        <w:t>Wallim Cruz de Vasconcellos Jr, Chairman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9"/>
          <w:szCs w:val="19"/>
          <w:color w:val="auto"/>
        </w:rPr>
        <w:t>Farha Aslam</w:t>
      </w:r>
    </w:p>
    <w:p>
      <w:pPr>
        <w:spacing w:after="0" w:line="1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9"/>
          <w:szCs w:val="19"/>
          <w:color w:val="auto"/>
        </w:rPr>
        <w:t>Arquimedes Celis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9"/>
          <w:szCs w:val="19"/>
          <w:b w:val="1"/>
          <w:bCs w:val="1"/>
          <w:color w:val="auto"/>
        </w:rPr>
        <w:t>INDEPENDENT REGISTERED PUBLIC ACCOUNTING FIRM FEE INFORMATION</w:t>
      </w:r>
    </w:p>
    <w:p>
      <w:pPr>
        <w:spacing w:after="0" w:line="180" w:lineRule="exact"/>
        <w:rPr>
          <w:sz w:val="20"/>
          <w:szCs w:val="20"/>
          <w:color w:val="auto"/>
        </w:rPr>
      </w:pPr>
    </w:p>
    <w:p>
      <w:pPr>
        <w:ind w:firstLine="631"/>
        <w:spacing w:after="0" w:line="281" w:lineRule="auto"/>
        <w:rPr>
          <w:sz w:val="20"/>
          <w:szCs w:val="20"/>
          <w:color w:val="auto"/>
        </w:rPr>
      </w:pPr>
      <w:r>
        <w:rPr>
          <w:rFonts w:ascii="Times New Roman" w:cs="Times New Roman" w:eastAsia="Times New Roman" w:hAnsi="Times New Roman"/>
          <w:sz w:val="19"/>
          <w:szCs w:val="19"/>
          <w:color w:val="auto"/>
        </w:rPr>
        <w:t>The following table shows the aggregate fees for services rendered by KPMG LLP, the Company’s independent registered public accounting firm, for the fiscal years indicated:</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7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7"/>
        </w:trPr>
        <w:tc>
          <w:tcPr>
            <w:tcW w:w="6720" w:type="dxa"/>
            <w:vAlign w:val="bottom"/>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2"/>
                <w:szCs w:val="22"/>
                <w:color w:val="auto"/>
                <w:vertAlign w:val="superscript"/>
              </w:rPr>
              <w:t>(a)</w:t>
            </w:r>
          </w:p>
        </w:tc>
        <w:tc>
          <w:tcPr>
            <w:tcW w:w="1340" w:type="dxa"/>
            <w:vAlign w:val="bottom"/>
            <w:shd w:val="clear" w:color="auto" w:fill="CCEEFF"/>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4,367,851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4,527,890</w:t>
            </w:r>
          </w:p>
        </w:tc>
      </w:tr>
      <w:tr>
        <w:trPr>
          <w:trHeight w:val="223"/>
        </w:trPr>
        <w:tc>
          <w:tcPr>
            <w:tcW w:w="672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2"/>
                <w:szCs w:val="22"/>
                <w:color w:val="auto"/>
                <w:vertAlign w:val="superscript"/>
              </w:rPr>
              <w:t>(b)</w:t>
            </w:r>
          </w:p>
        </w:tc>
        <w:tc>
          <w:tcPr>
            <w:tcW w:w="1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136,891</w:t>
            </w:r>
          </w:p>
        </w:tc>
      </w:tr>
      <w:tr>
        <w:trPr>
          <w:trHeight w:val="223"/>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7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4,432,180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4,664,781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320" w:hanging="315"/>
        <w:spacing w:after="0" w:line="260" w:lineRule="auto"/>
        <w:tabs>
          <w:tab w:leader="none" w:pos="31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incurred are for the annual audit of the Company’s financial statements, the audit of internal controls over financial reporting (i.e., the Sarbanes-Oxley 404 Audit), the reviews of our quarterly reports on Form 10-Q, and statutory audits required in Mexico and the U.K. and Europe.</w:t>
      </w:r>
    </w:p>
    <w:p>
      <w:pPr>
        <w:ind w:left="320" w:hanging="315"/>
        <w:spacing w:after="0" w:line="263"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services principally include other attestation services such as agreed-upon procedures required for compliance with contracts or other statutes. For 2023, audit-related fees are primarily from work associated with Mexico social security law compliance reports and transfer pricing services.</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Audit Committee pre-approved all audit and non-audit fees of the independent registered public accounting firm during 2023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Pre-Approval Policies and Procedures</w:t>
      </w:r>
    </w:p>
    <w:p>
      <w:pPr>
        <w:spacing w:after="0" w:line="180" w:lineRule="exact"/>
        <w:rPr>
          <w:sz w:val="20"/>
          <w:szCs w:val="20"/>
          <w:color w:val="auto"/>
        </w:rPr>
      </w:pPr>
    </w:p>
    <w:p>
      <w:pPr>
        <w:jc w:val="both"/>
        <w:ind w:firstLine="631"/>
        <w:spacing w:after="0" w:line="258" w:lineRule="auto"/>
        <w:rPr>
          <w:sz w:val="20"/>
          <w:szCs w:val="20"/>
          <w:color w:val="auto"/>
        </w:rPr>
      </w:pPr>
      <w:r>
        <w:rPr>
          <w:rFonts w:ascii="Times New Roman" w:cs="Times New Roman" w:eastAsia="Times New Roman" w:hAnsi="Times New Roman"/>
          <w:sz w:val="19"/>
          <w:szCs w:val="19"/>
          <w:color w:val="auto"/>
        </w:rPr>
        <w:t>In accordance with its Charter, our Audit Committee has established policies and procedures by which it approves in advance any audit and permissible non-audit services to be provided by our independent registered public accounting firm. Under these procedures, prior to the engagement of the independent registered public accounting firm for pre-approved services, requests or applications for the independent registered public accounting firm to provide services must be submitted to our CFO, or his designee, and the Audit Committee and must include a detailed description of the services to be rendered. The CFO, or his designee, and the independent registered public accounting firm must ensure that the independent registered public accounting firm is not engaged to perform the proposed services unless those services are within the list of services that have received the Audit Committee’s pre-approval and must cause the Audit Committee to be informed in a timely manner of all services rendered by the independent registered public accounting firm and the related fees.</w:t>
      </w:r>
    </w:p>
    <w:p>
      <w:pPr>
        <w:spacing w:after="0" w:line="132"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Requests or applications for the independent registered public accounting firm to provide services that require additions or revisions to the 2023 pre-approval will be submitted to the Audit Committee (or any Audit Committee members who have been delegated pre-approval authority) by the CFO or his designee. Each request or application must include:</w:t>
      </w:r>
    </w:p>
    <w:p>
      <w:pPr>
        <w:spacing w:after="0" w:line="104" w:lineRule="exact"/>
        <w:rPr>
          <w:sz w:val="20"/>
          <w:szCs w:val="20"/>
          <w:color w:val="auto"/>
        </w:rPr>
      </w:pPr>
    </w:p>
    <w:p>
      <w:pPr>
        <w:ind w:left="940" w:hanging="304"/>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 recommendation by the CFO (or designee) as to whether the Audit Committee should approve the request or application; and</w:t>
      </w:r>
    </w:p>
    <w:p>
      <w:pPr>
        <w:spacing w:after="0" w:line="175" w:lineRule="exact"/>
        <w:rPr>
          <w:rFonts w:ascii="Times New Roman" w:cs="Times New Roman" w:eastAsia="Times New Roman" w:hAnsi="Times New Roman"/>
          <w:sz w:val="18"/>
          <w:szCs w:val="18"/>
          <w:color w:val="auto"/>
        </w:rPr>
      </w:pPr>
    </w:p>
    <w:p>
      <w:pPr>
        <w:ind w:left="960" w:hanging="324"/>
        <w:spacing w:after="0" w:line="296" w:lineRule="auto"/>
        <w:tabs>
          <w:tab w:leader="none" w:pos="9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 joint statement of the CFO (or designee) and the independent registered public accounting firm as to whether, in their view, the request or application is consistent with the SEC’s regulations and the requirements for auditor independence of the PCAOB.</w:t>
      </w:r>
    </w:p>
    <w:p>
      <w:pPr>
        <w:spacing w:after="0" w:line="79" w:lineRule="exact"/>
        <w:rPr>
          <w:sz w:val="20"/>
          <w:szCs w:val="20"/>
          <w:color w:val="auto"/>
        </w:rPr>
      </w:pPr>
    </w:p>
    <w:p>
      <w:pPr>
        <w:ind w:firstLine="631"/>
        <w:spacing w:after="0" w:line="296" w:lineRule="auto"/>
        <w:rPr>
          <w:sz w:val="20"/>
          <w:szCs w:val="20"/>
          <w:color w:val="auto"/>
        </w:rPr>
      </w:pPr>
      <w:r>
        <w:rPr>
          <w:rFonts w:ascii="Times New Roman" w:cs="Times New Roman" w:eastAsia="Times New Roman" w:hAnsi="Times New Roman"/>
          <w:sz w:val="19"/>
          <w:szCs w:val="19"/>
          <w:color w:val="auto"/>
        </w:rPr>
        <w:t>The Audit Committee also will not permit the engagement to provide any services to the extent that the SEC has prohibited the provision of those services by independent registered public accounting firms.</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Audit Committee delegated authority to the Chairman of the Audit Committee to:</w:t>
      </w:r>
    </w:p>
    <w:p>
      <w:pPr>
        <w:spacing w:after="0" w:line="176" w:lineRule="exact"/>
        <w:rPr>
          <w:sz w:val="20"/>
          <w:szCs w:val="20"/>
          <w:color w:val="auto"/>
        </w:rPr>
      </w:pPr>
    </w:p>
    <w:p>
      <w:pPr>
        <w:ind w:left="960" w:hanging="324"/>
        <w:spacing w:after="0" w:line="281" w:lineRule="auto"/>
        <w:tabs>
          <w:tab w:leader="none" w:pos="9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pre-approve any services proposed to be provided by the independent registered public accounting firm and not already pre-approved or prohibited by this policy up to $25,000;</w:t>
      </w:r>
    </w:p>
    <w:p>
      <w:pPr>
        <w:spacing w:after="0" w:line="106" w:lineRule="exact"/>
        <w:rPr>
          <w:rFonts w:ascii="Times New Roman" w:cs="Times New Roman" w:eastAsia="Times New Roman" w:hAnsi="Times New Roman"/>
          <w:sz w:val="18"/>
          <w:szCs w:val="18"/>
          <w:color w:val="auto"/>
        </w:rPr>
      </w:pPr>
    </w:p>
    <w:p>
      <w:pPr>
        <w:jc w:val="both"/>
        <w:ind w:left="960" w:hanging="324"/>
        <w:spacing w:after="0" w:line="270" w:lineRule="auto"/>
        <w:tabs>
          <w:tab w:leader="none" w:pos="9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increase any authorized fee limit for pre-approved services (but not by more than 30% of the initial amount that was pre-approved) before we or our subsidiaries engage the independent registered public accounting firm to perform services for any amount in excess of the fee limit; and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48" w:name="page49"/>
    <w:bookmarkEnd w:id="48"/>
    <w:p>
      <w:pPr>
        <w:ind w:left="940" w:hanging="304"/>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investigate further the scope, necessity or advisability of any services as to which pre-approval is sought.</w:t>
      </w:r>
    </w:p>
    <w:p>
      <w:pPr>
        <w:spacing w:after="0" w:line="176" w:lineRule="exact"/>
        <w:rPr>
          <w:sz w:val="20"/>
          <w:szCs w:val="20"/>
          <w:color w:val="auto"/>
        </w:rPr>
      </w:pPr>
    </w:p>
    <w:p>
      <w:pPr>
        <w:ind w:firstLine="631"/>
        <w:spacing w:after="0" w:line="281" w:lineRule="auto"/>
        <w:rPr>
          <w:sz w:val="20"/>
          <w:szCs w:val="20"/>
          <w:color w:val="auto"/>
        </w:rPr>
      </w:pPr>
      <w:r>
        <w:rPr>
          <w:rFonts w:ascii="Times New Roman" w:cs="Times New Roman" w:eastAsia="Times New Roman" w:hAnsi="Times New Roman"/>
          <w:sz w:val="19"/>
          <w:szCs w:val="19"/>
          <w:color w:val="auto"/>
        </w:rPr>
        <w:t>The Chairman of the Audit Committee is required to report any pre-approval or fee increase decisions to the Audit Committee at the following Audit Committee meeting.</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9"/>
          <w:szCs w:val="19"/>
          <w:b w:val="1"/>
          <w:bCs w:val="1"/>
          <w:color w:val="auto"/>
        </w:rPr>
        <w:t>HOUSEHOLDING OF STOCKHOLDER MATERIALS</w:t>
      </w:r>
    </w:p>
    <w:p>
      <w:pPr>
        <w:spacing w:after="0" w:line="180"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Some banks, brokers and other nominee record holders may be participating in the practice of “householding” proxy statements and annual reports. This means that only one copy of this proxy statement or annual report to stockholders may have been sent to multiple stockholders in the same household. We will promptly deliver a separate copy of either document to any stockholder who requests orally or by writing to our Investor Relations Department at the following address: 1770 Promontory Circle, Greeley, Colorado 80634 or by telephone (970) 506-7783. Any stockholder who currently is receiving multiple copies and would like to receive only one copy for his or her household should contact his or her bank, broker or other nominee record holder.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STOCKHOLDER PROPOSALS FOR 2025 ANNUAL MEETING OF STOCKHOLDERS</w:t>
      </w:r>
    </w:p>
    <w:p>
      <w:pPr>
        <w:spacing w:after="0" w:line="180" w:lineRule="exact"/>
        <w:rPr>
          <w:sz w:val="20"/>
          <w:szCs w:val="20"/>
          <w:color w:val="auto"/>
        </w:rPr>
      </w:pPr>
    </w:p>
    <w:p>
      <w:pPr>
        <w:jc w:val="both"/>
        <w:ind w:firstLine="631"/>
        <w:spacing w:after="0" w:line="261" w:lineRule="auto"/>
        <w:rPr>
          <w:sz w:val="20"/>
          <w:szCs w:val="20"/>
          <w:color w:val="auto"/>
        </w:rPr>
      </w:pPr>
      <w:r>
        <w:rPr>
          <w:rFonts w:ascii="Times New Roman" w:cs="Times New Roman" w:eastAsia="Times New Roman" w:hAnsi="Times New Roman"/>
          <w:sz w:val="19"/>
          <w:szCs w:val="19"/>
          <w:color w:val="auto"/>
        </w:rPr>
        <w:t>Pursuant to our bylaws, a stockholder must give our Secretary timely written notice in order to present a proposal (including nominations of Directors) at the 2025 annual meeting of stockholders. Such written notice must contain specified information prescribed in our bylaws and must be received at our principal executive offices by January 1, 2025 (but not before August 4, 2024). Additionally, for stockholder proposals submitted pursuant to Rule 14a-8 of the Exchange Act to be considered for inclusion in the proxy materials for the 2025 annual meeting of stockholders, they must be received by our Secretary at our principal executive offices no later than the close of business on December 2, 2024.</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w:t>
      </w:r>
    </w:p>
    <w:p>
      <w:pPr>
        <w:spacing w:after="0" w:line="163" w:lineRule="exact"/>
        <w:rPr>
          <w:sz w:val="20"/>
          <w:szCs w:val="20"/>
          <w:color w:val="auto"/>
        </w:rPr>
      </w:pPr>
    </w:p>
    <w:p>
      <w:pPr>
        <w:jc w:val="both"/>
        <w:ind w:firstLine="631"/>
        <w:spacing w:after="0" w:line="268" w:lineRule="auto"/>
        <w:rPr>
          <w:sz w:val="20"/>
          <w:szCs w:val="20"/>
          <w:color w:val="auto"/>
        </w:rPr>
      </w:pPr>
      <w:r>
        <w:rPr>
          <w:rFonts w:ascii="Times New Roman" w:cs="Times New Roman" w:eastAsia="Times New Roman" w:hAnsi="Times New Roman"/>
          <w:sz w:val="19"/>
          <w:szCs w:val="19"/>
          <w:b w:val="1"/>
          <w:bCs w:val="1"/>
          <w:color w:val="auto"/>
        </w:rPr>
        <w:t>Our 2023 annual report is being mailed concurrently with this proxy statement. Upon written request of a stockholder, the Company will furnish without charge a copy of our 2023 Annual Report on Form 10-K, including the financial statements and financial statement schedules. If you would like to request a copy, please contact Pilgrim’s Pride Corporation, at: 1770 Promontory Circle, Greeley, Colorado 80634 Attn: Investor Relations.</w:t>
      </w:r>
    </w:p>
    <w:p>
      <w:pPr>
        <w:spacing w:after="0" w:line="115" w:lineRule="exact"/>
        <w:rPr>
          <w:sz w:val="20"/>
          <w:szCs w:val="20"/>
          <w:color w:val="auto"/>
        </w:rPr>
      </w:pPr>
    </w:p>
    <w:p>
      <w:pPr>
        <w:jc w:val="both"/>
        <w:ind w:firstLine="631"/>
        <w:spacing w:after="0" w:line="286" w:lineRule="auto"/>
        <w:rPr>
          <w:sz w:val="20"/>
          <w:szCs w:val="20"/>
          <w:color w:val="auto"/>
        </w:rPr>
      </w:pPr>
      <w:r>
        <w:rPr>
          <w:rFonts w:ascii="Times New Roman" w:cs="Times New Roman" w:eastAsia="Times New Roman" w:hAnsi="Times New Roman"/>
          <w:sz w:val="19"/>
          <w:szCs w:val="19"/>
          <w:b w:val="1"/>
          <w:bCs w:val="1"/>
          <w:color w:val="auto"/>
        </w:rPr>
        <w:t xml:space="preserve">In addition, our financial reports and recent filings with the SEC are available at </w:t>
      </w:r>
      <w:r>
        <w:rPr>
          <w:rFonts w:ascii="Times New Roman" w:cs="Times New Roman" w:eastAsia="Times New Roman" w:hAnsi="Times New Roman"/>
          <w:sz w:val="19"/>
          <w:szCs w:val="19"/>
          <w:b w:val="1"/>
          <w:bCs w:val="1"/>
          <w:u w:val="single" w:color="auto"/>
          <w:color w:val="0000FF"/>
        </w:rPr>
        <w:t>www.sec.gov</w:t>
      </w:r>
      <w:r>
        <w:rPr>
          <w:rFonts w:ascii="Times New Roman" w:cs="Times New Roman" w:eastAsia="Times New Roman" w:hAnsi="Times New Roman"/>
          <w:sz w:val="19"/>
          <w:szCs w:val="19"/>
          <w:b w:val="1"/>
          <w:bCs w:val="1"/>
          <w:color w:val="auto"/>
        </w:rPr>
        <w:t xml:space="preserve"> and on our website at </w:t>
      </w:r>
      <w:r>
        <w:rPr>
          <w:rFonts w:ascii="Times New Roman" w:cs="Times New Roman" w:eastAsia="Times New Roman" w:hAnsi="Times New Roman"/>
          <w:sz w:val="19"/>
          <w:szCs w:val="19"/>
          <w:b w:val="1"/>
          <w:bCs w:val="1"/>
          <w:u w:val="single" w:color="auto"/>
          <w:color w:val="0000FF"/>
        </w:rPr>
        <w:t>ir.pilgrims.com</w:t>
      </w:r>
      <w:r>
        <w:rPr>
          <w:rFonts w:ascii="Times New Roman" w:cs="Times New Roman" w:eastAsia="Times New Roman" w:hAnsi="Times New Roman"/>
          <w:sz w:val="19"/>
          <w:szCs w:val="19"/>
          <w:b w:val="1"/>
          <w:bCs w:val="1"/>
          <w:color w:val="000000"/>
        </w:rPr>
        <w:t>. Information contained on our website is not part of this proxy statement.</w:t>
      </w:r>
    </w:p>
    <w:p>
      <w:pPr>
        <w:spacing w:after="0" w:line="97"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9"/>
          <w:szCs w:val="19"/>
          <w:b w:val="1"/>
          <w:bCs w:val="1"/>
          <w:color w:val="auto"/>
        </w:rPr>
        <w:t>IMPORTANT NOTICE REGARDING THE AVAILABILITY OF PROXY MATERIALS FOR THE STOCKHOLDER MEETING TO BE HELD ON MAY 1, 2024</w:t>
      </w:r>
    </w:p>
    <w:p>
      <w:pPr>
        <w:spacing w:after="0" w:line="101" w:lineRule="exact"/>
        <w:rPr>
          <w:sz w:val="20"/>
          <w:szCs w:val="20"/>
          <w:color w:val="auto"/>
        </w:rPr>
      </w:pPr>
    </w:p>
    <w:p>
      <w:pPr>
        <w:jc w:val="both"/>
        <w:ind w:firstLine="631"/>
        <w:spacing w:after="0" w:line="296" w:lineRule="auto"/>
        <w:rPr>
          <w:sz w:val="20"/>
          <w:szCs w:val="20"/>
          <w:color w:val="auto"/>
        </w:rPr>
      </w:pPr>
      <w:r>
        <w:rPr>
          <w:rFonts w:ascii="Times New Roman" w:cs="Times New Roman" w:eastAsia="Times New Roman" w:hAnsi="Times New Roman"/>
          <w:sz w:val="19"/>
          <w:szCs w:val="19"/>
          <w:color w:val="auto"/>
        </w:rPr>
        <w:t xml:space="preserve">This proxy statement and the Company’s 2023 annual report are also available electronically on our hosted website. You may view these directly at: </w:t>
      </w:r>
      <w:r>
        <w:rPr>
          <w:rFonts w:ascii="Times New Roman" w:cs="Times New Roman" w:eastAsia="Times New Roman" w:hAnsi="Times New Roman"/>
          <w:sz w:val="19"/>
          <w:szCs w:val="19"/>
          <w:u w:val="single" w:color="auto"/>
          <w:color w:val="0000FF"/>
        </w:rPr>
        <w:t>www.proxyvote.com</w:t>
      </w:r>
      <w:r>
        <w:rPr>
          <w:rFonts w:ascii="Times New Roman" w:cs="Times New Roman" w:eastAsia="Times New Roman" w:hAnsi="Times New Roman"/>
          <w:sz w:val="19"/>
          <w:szCs w:val="19"/>
          <w:color w:val="auto"/>
        </w:rPr>
        <w:t>.</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To access and review the materials made available electronically:</w:t>
      </w:r>
    </w:p>
    <w:p>
      <w:pPr>
        <w:spacing w:after="0" w:line="176" w:lineRule="exact"/>
        <w:rPr>
          <w:sz w:val="20"/>
          <w:szCs w:val="20"/>
          <w:color w:val="auto"/>
        </w:rPr>
      </w:pPr>
    </w:p>
    <w:p>
      <w:pPr>
        <w:ind w:left="960" w:hanging="3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 xml:space="preserve">Go to </w:t>
      </w:r>
      <w:r>
        <w:rPr>
          <w:rFonts w:ascii="Times New Roman" w:cs="Times New Roman" w:eastAsia="Times New Roman" w:hAnsi="Times New Roman"/>
          <w:sz w:val="19"/>
          <w:szCs w:val="19"/>
          <w:u w:val="single" w:color="auto"/>
          <w:color w:val="0000FF"/>
        </w:rPr>
        <w:t>www.proxyvote.com</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Enter the 16-digit control number located on the proxy card.</w:t>
      </w:r>
    </w:p>
    <w:p>
      <w:pPr>
        <w:spacing w:after="0" w:line="17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Click “Continue to Vote.”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We encourage you to review all of the important information contained in the proxy materials before voting.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9"/>
          <w:szCs w:val="19"/>
          <w:b w:val="1"/>
          <w:bCs w:val="1"/>
          <w:color w:val="auto"/>
        </w:rPr>
        <w:t>OTHER BUSINESS</w:t>
      </w:r>
    </w:p>
    <w:p>
      <w:pPr>
        <w:spacing w:after="0" w:line="180"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9"/>
          <w:szCs w:val="19"/>
          <w:color w:val="auto"/>
        </w:rPr>
        <w:t>The Board of Directors is not aware of, and it is not anticipated that there will be presented at the Annual Meeting, any business other than the proposals included in this Proxy Statement. If other matters properly come before the Annual Meeting, the persons named on the accompanying proxy card will vote the returned proxies as the Board of Directors recommends.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782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97"/>
              </w:rPr>
              <w:t>By order of the Board of Directors,</w:t>
            </w:r>
          </w:p>
        </w:tc>
      </w:tr>
      <w:tr>
        <w:trPr>
          <w:trHeight w:val="743"/>
        </w:trPr>
        <w:tc>
          <w:tcPr>
            <w:tcW w:w="3420" w:type="dxa"/>
            <w:vAlign w:val="bottom"/>
          </w:tcPr>
          <w:p>
            <w:pPr>
              <w:spacing w:after="0"/>
              <w:rPr>
                <w:sz w:val="24"/>
                <w:szCs w:val="24"/>
                <w:color w:val="auto"/>
              </w:rPr>
            </w:pPr>
          </w:p>
        </w:tc>
        <w:tc>
          <w:tcPr>
            <w:tcW w:w="782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97"/>
              </w:rPr>
              <w:t>FABIO SANDRI</w:t>
            </w: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Greeley, Colorado</w:t>
            </w:r>
          </w:p>
        </w:tc>
        <w:tc>
          <w:tcPr>
            <w:tcW w:w="7820" w:type="dxa"/>
            <w:vAlign w:val="bottom"/>
          </w:tcPr>
          <w:p>
            <w:pPr>
              <w:jc w:val="center"/>
              <w:ind w:left="2112"/>
              <w:spacing w:after="0"/>
              <w:rPr>
                <w:sz w:val="20"/>
                <w:szCs w:val="20"/>
                <w:color w:val="auto"/>
              </w:rPr>
            </w:pPr>
            <w:r>
              <w:rPr>
                <w:rFonts w:ascii="Times New Roman" w:cs="Times New Roman" w:eastAsia="Times New Roman" w:hAnsi="Times New Roman"/>
                <w:sz w:val="18"/>
                <w:szCs w:val="18"/>
                <w:i w:val="1"/>
                <w:iCs w:val="1"/>
                <w:color w:val="auto"/>
                <w:w w:val="97"/>
              </w:rPr>
              <w:t>President and</w:t>
            </w: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 2024</w:t>
            </w:r>
          </w:p>
        </w:tc>
        <w:tc>
          <w:tcPr>
            <w:tcW w:w="7820" w:type="dxa"/>
            <w:vAlign w:val="bottom"/>
          </w:tcPr>
          <w:p>
            <w:pPr>
              <w:jc w:val="center"/>
              <w:ind w:left="2112"/>
              <w:spacing w:after="0"/>
              <w:rPr>
                <w:sz w:val="20"/>
                <w:szCs w:val="20"/>
                <w:color w:val="auto"/>
              </w:rPr>
            </w:pPr>
            <w:r>
              <w:rPr>
                <w:rFonts w:ascii="Times New Roman" w:cs="Times New Roman" w:eastAsia="Times New Roman" w:hAnsi="Times New Roman"/>
                <w:sz w:val="18"/>
                <w:szCs w:val="18"/>
                <w:i w:val="1"/>
                <w:iCs w:val="1"/>
                <w:color w:val="auto"/>
                <w:w w:val="98"/>
              </w:rPr>
              <w:t>Chief Executive Officer</w:t>
            </w:r>
          </w:p>
        </w:tc>
      </w:tr>
      <w:tr>
        <w:trPr>
          <w:trHeight w:val="841"/>
        </w:trPr>
        <w:tc>
          <w:tcPr>
            <w:tcW w:w="3420" w:type="dxa"/>
            <w:vAlign w:val="bottom"/>
          </w:tcPr>
          <w:p>
            <w:pPr>
              <w:spacing w:after="0"/>
              <w:rPr>
                <w:sz w:val="24"/>
                <w:szCs w:val="24"/>
                <w:color w:val="auto"/>
              </w:rPr>
            </w:pPr>
          </w:p>
        </w:tc>
        <w:tc>
          <w:tcPr>
            <w:tcW w:w="7820" w:type="dxa"/>
            <w:vAlign w:val="bottom"/>
          </w:tcPr>
          <w:p>
            <w:pPr>
              <w:jc w:val="right"/>
              <w:ind w:right="5432"/>
              <w:spacing w:after="0"/>
              <w:rPr>
                <w:sz w:val="20"/>
                <w:szCs w:val="20"/>
                <w:color w:val="auto"/>
              </w:rPr>
            </w:pPr>
            <w:r>
              <w:rPr>
                <w:rFonts w:ascii="Times New Roman" w:cs="Times New Roman" w:eastAsia="Times New Roman" w:hAnsi="Times New Roman"/>
                <w:sz w:val="18"/>
                <w:szCs w:val="18"/>
                <w:color w:val="auto"/>
              </w:rPr>
              <w:t>46</w:t>
            </w:r>
          </w:p>
        </w:tc>
      </w:tr>
      <w:tr>
        <w:trPr>
          <w:trHeight w:val="112"/>
        </w:trPr>
        <w:tc>
          <w:tcPr>
            <w:tcW w:w="3420" w:type="dxa"/>
            <w:vAlign w:val="bottom"/>
            <w:tcBorders>
              <w:bottom w:val="single" w:sz="8" w:color="9A9A9A"/>
            </w:tcBorders>
          </w:tcPr>
          <w:p>
            <w:pPr>
              <w:spacing w:after="0"/>
              <w:rPr>
                <w:sz w:val="9"/>
                <w:szCs w:val="9"/>
                <w:color w:val="auto"/>
              </w:rPr>
            </w:pPr>
          </w:p>
        </w:tc>
        <w:tc>
          <w:tcPr>
            <w:tcW w:w="7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i w:val="1"/>
          <w:iCs w:val="1"/>
          <w:color w:val="auto"/>
        </w:rPr>
        <w:t>Statements contained in this press release that state the intentions, plans, hopes, beliefs, anticipations, expectations or predictions of the future of Pilgrim’s Pride Corporation and its management are considered forward-looking statements. Without limiting the foregoing, words such as “anticipates,” “believes,” “estimates,” “expects,” “intends,” “may,” “plans,” “projects,” “should,” “targets,” “will” and the negative thereof and similar words and expressions are intended to identify forward-looking statements. It is important to note that actual results could differ materially from those projected in such forward-looking statements. Factors that could cause actual results to differ materially from those projected in such forward-looking statements include: matters affecting the poultry industry generally; the ability to execute the Company’s business plan to achieve desired cost savings and profitability; future pricing for feed ingredients and the Company’s products; outbreaks of avian influenza or other diseases, either in Pilgrim’s Pride’s flocks or elsewhere, affecting its ability to conduct its operations and/or demand for its poultry products; contamination of Pilgrim’s Pride’s products, which has previously and can in the future lead to product liability claims and product recalls; exposure to risks related to product liability, product recalls, property damage and injuries to persons, for which insurance coverage is expensive, limited and potentially inadequate; management of cash resources; restrictions imposed by, and as a result of, Pilgrim’s Pride’s leverage; changes in laws or regulations affecting Pilgrim’s Pride’s operations or the application thereof; new immigration legislation or increased enforcement efforts in connection with existing immigration legislation that cause the costs of doing business to increase, cause Pilgrim’s Pride to change the way in which it does business, or otherwise disrupt its operations; competitive factors and pricing pressures or the loss of one or more of Pilgrim’s Pride’s largest customers; currency exchange rate fluctuations, trade barriers, exchange controls, expropriation and other risks associated with foreign operations; disruptions in international markets and distribution channels, including, but not limited to, the impacts of the Russia-Ukraine conflict; the risk of cyber-attacks, natural disasters, power losses, unauthorized access, telecommunication failures, and other problems on our information systems; and the impact of uncertainties of litigation and other legal matters described in our most recent Form 10-K and Form 10-Q, including the In re Broiler Chicken Antitrust Litigation, as well as other risks described under “Risk Factors” in the Company’s Annual Report on Form 10-K, Quarterly Reports on Form 10-Q and subsequent filings with the Securities and Exchange Commission. The forward-looking statements in this release speak only as of the date hereof, and the Company undertakes no obligation to update any such statement after the date of this proxy statement, whether as a result of new information, future developments or otherwise, except as may be required by applicable law.</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52" w:name="page53"/>
    <w:bookmarkEnd w:id="52"/>
    <w:p>
      <w:pPr>
        <w:ind w:left="5260"/>
        <w:spacing w:after="0"/>
        <w:rPr>
          <w:sz w:val="20"/>
          <w:szCs w:val="20"/>
          <w:color w:val="auto"/>
        </w:rPr>
      </w:pPr>
      <w:r>
        <w:rPr>
          <w:rFonts w:ascii="Times New Roman" w:cs="Times New Roman" w:eastAsia="Times New Roman" w:hAnsi="Times New Roman"/>
          <w:sz w:val="19"/>
          <w:szCs w:val="19"/>
          <w:b w:val="1"/>
          <w:bCs w:val="1"/>
          <w:color w:val="auto"/>
        </w:rPr>
        <w:t>Annex A</w:t>
      </w:r>
    </w:p>
    <w:p>
      <w:pPr>
        <w:spacing w:after="0" w:line="17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Reconciliation of GAAP Information to Non-GAAP Financial Measures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following reconciles the GAAP information to the Non-GAAP financial measure included in this proxy statement for the fiscal year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Adjusted EBITDA</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320" w:type="dxa"/>
            <w:vAlign w:val="bottom"/>
            <w:tcBorders>
              <w:bottom w:val="single" w:sz="8" w:color="auto"/>
            </w:tcBorders>
          </w:tcPr>
          <w:p>
            <w:pPr>
              <w:spacing w:after="0"/>
              <w:rPr>
                <w:sz w:val="18"/>
                <w:szCs w:val="18"/>
                <w:color w:val="auto"/>
              </w:rPr>
            </w:pPr>
          </w:p>
        </w:tc>
      </w:tr>
      <w:tr>
        <w:trPr>
          <w:trHeight w:val="205"/>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4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20" w:type="dxa"/>
            <w:vAlign w:val="bottom"/>
          </w:tcPr>
          <w:p>
            <w:pPr>
              <w:spacing w:after="0"/>
              <w:rPr>
                <w:sz w:val="17"/>
                <w:szCs w:val="17"/>
                <w:color w:val="auto"/>
              </w:rPr>
            </w:pPr>
          </w:p>
        </w:tc>
      </w:tr>
      <w:tr>
        <w:trPr>
          <w:trHeight w:val="224"/>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100" w:type="dxa"/>
            <w:vAlign w:val="bottom"/>
            <w:gridSpan w:val="5"/>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322,317</w:t>
            </w: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3"/>
        </w:trPr>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166,621</w:t>
            </w:r>
          </w:p>
        </w:tc>
      </w:tr>
      <w:tr>
        <w:trPr>
          <w:trHeight w:val="223"/>
        </w:trPr>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42,905</w:t>
            </w:r>
          </w:p>
        </w:tc>
      </w:tr>
      <w:tr>
        <w:trPr>
          <w:trHeight w:val="223"/>
        </w:trPr>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419,900</w:t>
            </w:r>
          </w:p>
        </w:tc>
      </w:tr>
      <w:tr>
        <w:trPr>
          <w:trHeight w:val="217"/>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951,743</w:t>
            </w:r>
          </w:p>
        </w:tc>
      </w:tr>
      <w:tr>
        <w:trPr>
          <w:trHeight w:val="22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transaction losses</w:t>
            </w: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20,570</w:t>
            </w:r>
          </w:p>
        </w:tc>
      </w:tr>
      <w:tr>
        <w:trPr>
          <w:trHeight w:val="223"/>
        </w:trPr>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Litigation settlements</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39,400</w:t>
            </w:r>
          </w:p>
        </w:tc>
      </w:tr>
      <w:tr>
        <w:trPr>
          <w:trHeight w:val="223"/>
        </w:trPr>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Restructuring activities losses</w:t>
            </w: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44,345</w:t>
            </w:r>
          </w:p>
        </w:tc>
      </w:tr>
      <w:tr>
        <w:trPr>
          <w:trHeight w:val="22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Minus:</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insurance recoveries</w:t>
            </w: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21,124</w:t>
            </w:r>
          </w:p>
        </w:tc>
      </w:tr>
      <w:tr>
        <w:trPr>
          <w:trHeight w:val="223"/>
        </w:trPr>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17"/>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1,034,191</w:t>
            </w:r>
          </w:p>
        </w:tc>
      </w:tr>
      <w:tr>
        <w:trPr>
          <w:trHeight w:val="20"/>
        </w:trPr>
        <w:tc>
          <w:tcPr>
            <w:tcW w:w="508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79"/>
        </w:trPr>
        <w:tc>
          <w:tcPr>
            <w:tcW w:w="7980" w:type="dxa"/>
            <w:vAlign w:val="bottom"/>
            <w:gridSpan w:val="9"/>
          </w:tcPr>
          <w:p>
            <w:pPr>
              <w:ind w:left="640"/>
              <w:spacing w:after="0"/>
              <w:rPr>
                <w:sz w:val="20"/>
                <w:szCs w:val="20"/>
                <w:color w:val="auto"/>
              </w:rPr>
            </w:pPr>
            <w:r>
              <w:rPr>
                <w:rFonts w:ascii="Times New Roman" w:cs="Times New Roman" w:eastAsia="Times New Roman" w:hAnsi="Times New Roman"/>
                <w:sz w:val="19"/>
                <w:szCs w:val="19"/>
                <w:color w:val="auto"/>
              </w:rPr>
              <w:t>The following table supports the PBT margin calculation used to determine STIP achievement:</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PBT Margin</w:t>
            </w:r>
          </w:p>
        </w:tc>
        <w:tc>
          <w:tcPr>
            <w:tcW w:w="440" w:type="dxa"/>
            <w:vAlign w:val="bottom"/>
          </w:tcPr>
          <w:p>
            <w:pPr>
              <w:spacing w:after="0"/>
              <w:rPr>
                <w:sz w:val="24"/>
                <w:szCs w:val="24"/>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5"/>
        </w:trPr>
        <w:tc>
          <w:tcPr>
            <w:tcW w:w="5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9"/>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(In thousands, except percentage data)</w:t>
            </w:r>
          </w:p>
        </w:tc>
        <w:tc>
          <w:tcPr>
            <w:tcW w:w="1320" w:type="dxa"/>
            <w:vAlign w:val="bottom"/>
            <w:tcBorders>
              <w:top w:val="single" w:sz="8" w:color="auto"/>
            </w:tcBorders>
          </w:tcPr>
          <w:p>
            <w:pPr>
              <w:spacing w:after="0"/>
              <w:rPr>
                <w:sz w:val="17"/>
                <w:szCs w:val="17"/>
                <w:color w:val="auto"/>
              </w:rPr>
            </w:pPr>
          </w:p>
        </w:tc>
      </w:tr>
      <w:tr>
        <w:trPr>
          <w:trHeight w:val="224"/>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 as reported</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365,222</w:t>
            </w:r>
          </w:p>
        </w:tc>
        <w:tc>
          <w:tcPr>
            <w:tcW w:w="4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1,025,474</w:t>
            </w:r>
          </w:p>
        </w:tc>
        <w:tc>
          <w:tcPr>
            <w:tcW w:w="960" w:type="dxa"/>
            <w:vAlign w:val="bottom"/>
            <w:gridSpan w:val="3"/>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92,390</w:t>
            </w:r>
          </w:p>
        </w:tc>
      </w:tr>
      <w:tr>
        <w:trPr>
          <w:trHeight w:val="223"/>
        </w:trPr>
        <w:tc>
          <w:tcPr>
            <w:tcW w:w="5180" w:type="dxa"/>
            <w:vAlign w:val="bottom"/>
            <w:tcBorders>
              <w:bottom w:val="single" w:sz="8" w:color="CCEEFF"/>
            </w:tcBorders>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Income before tax, acquired operations</w:t>
            </w:r>
            <w:r>
              <w:rPr>
                <w:rFonts w:ascii="Times New Roman" w:cs="Times New Roman" w:eastAsia="Times New Roman" w:hAnsi="Times New Roman"/>
                <w:sz w:val="22"/>
                <w:szCs w:val="22"/>
                <w:color w:val="auto"/>
                <w:vertAlign w:val="superscript"/>
              </w:rPr>
              <w:t>(a)</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5,245</w:t>
            </w:r>
          </w:p>
        </w:tc>
      </w:tr>
      <w:tr>
        <w:trPr>
          <w:trHeight w:val="217"/>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 excluding acquired operations</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87,145</w:t>
            </w: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3"/>
        </w:trPr>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Litigation settlements</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656,225</w:t>
            </w:r>
          </w:p>
        </w:tc>
      </w:tr>
      <w:tr>
        <w:trPr>
          <w:trHeight w:val="223"/>
        </w:trPr>
        <w:tc>
          <w:tcPr>
            <w:tcW w:w="5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20,694</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 adjusted</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743,370</w:t>
            </w:r>
          </w:p>
        </w:tc>
      </w:tr>
      <w:tr>
        <w:trPr>
          <w:trHeight w:val="145"/>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2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as reported</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17,362,217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17,468,377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14,777,458</w:t>
            </w:r>
          </w:p>
        </w:tc>
      </w:tr>
      <w:tr>
        <w:trPr>
          <w:trHeight w:val="223"/>
        </w:trPr>
        <w:tc>
          <w:tcPr>
            <w:tcW w:w="5180" w:type="dxa"/>
            <w:vAlign w:val="bottom"/>
            <w:tcBorders>
              <w:bottom w:val="single" w:sz="8" w:color="CCEEFF"/>
            </w:tcBorders>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Net sales, acquired operations</w:t>
            </w:r>
            <w:r>
              <w:rPr>
                <w:rFonts w:ascii="Times New Roman" w:cs="Times New Roman" w:eastAsia="Times New Roman" w:hAnsi="Times New Roman"/>
                <w:sz w:val="22"/>
                <w:szCs w:val="22"/>
                <w:color w:val="auto"/>
                <w:vertAlign w:val="superscript"/>
              </w:rPr>
              <w:t>(a)</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293,605</w:t>
            </w:r>
          </w:p>
        </w:tc>
      </w:tr>
      <w:tr>
        <w:trPr>
          <w:trHeight w:val="217"/>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excluding acquired operations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17,362,217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17,468,377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14,483,853</w:t>
            </w: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 adjusted, as a percent of net sales</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620" w:hanging="299"/>
        <w:spacing w:after="0"/>
        <w:tabs>
          <w:tab w:leader="none" w:pos="6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before tax and net sales amounts for fiscal year 2021 are excluding operations of Pilgrim’s Food Masters acquired in September 2021.</w:t>
      </w:r>
    </w:p>
    <w:p>
      <w:pPr>
        <w:spacing w:after="0" w:line="200" w:lineRule="exact"/>
        <w:rPr>
          <w:rFonts w:ascii="Times New Roman" w:cs="Times New Roman" w:eastAsia="Times New Roman" w:hAnsi="Times New Roman"/>
          <w:sz w:val="16"/>
          <w:szCs w:val="16"/>
          <w:color w:val="auto"/>
        </w:rPr>
      </w:pPr>
    </w:p>
    <w:p>
      <w:pPr>
        <w:spacing w:after="0" w:line="334"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1015365</wp:posOffset>
            </wp:positionV>
            <wp:extent cx="7161530" cy="79832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7983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923925</wp:posOffset>
            </wp:positionH>
            <wp:positionV relativeFrom="page">
              <wp:posOffset>564515</wp:posOffset>
            </wp:positionV>
            <wp:extent cx="5708650" cy="7386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708650" cy="73863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o"/>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o"/>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3"/>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lvl w:ilvl="1">
      <w:lvlJc w:val="left"/>
      <w:lvlText w:val="(%2)"/>
      <w:numFmt w:val="decimal"/>
      <w:start w:val="1"/>
    </w:lvl>
  </w:abstractNum>
  <w:abstractNum w:abstractNumId="20">
    <w:nsid w:val="3A95F874"/>
    <w:multiLevelType w:val="hybridMultilevel"/>
    <w:lvl w:ilvl="0">
      <w:lvlJc w:val="left"/>
      <w:lvlText w:val="(%1)"/>
      <w:numFmt w:val="lowerLetter"/>
      <w:start w:val="2"/>
    </w:lvl>
    <w:lvl w:ilvl="1">
      <w:lvlJc w:val="left"/>
      <w:lvlText w:val="%2"/>
      <w:numFmt w:val="decimal"/>
      <w:start w:val="1"/>
    </w:lvl>
  </w:abstractNum>
  <w:abstractNum w:abstractNumId="21">
    <w:nsid w:val="8138641"/>
    <w:multiLevelType w:val="hybridMultilevel"/>
    <w:lvl w:ilvl="0">
      <w:lvlJc w:val="left"/>
      <w:lvlText w:val="(%1)"/>
      <w:numFmt w:val="lowerLetter"/>
      <w:start w:val="2"/>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decimal"/>
      <w:start w:val="2"/>
    </w:lvl>
  </w:abstractNum>
  <w:abstractNum w:abstractNumId="25">
    <w:nsid w:val="6CEAF087"/>
    <w:multiLevelType w:val="hybridMultilevel"/>
    <w:lvl w:ilvl="0">
      <w:lvlJc w:val="left"/>
      <w:lvlText w:val="(%1)"/>
      <w:numFmt w:val="decimal"/>
      <w:start w:val="3"/>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2024-04-01T15:00:40Z</dcterms:created>
  <dcterms:modified xsi:type="dcterms:W3CDTF">2024-04-01T15:00:40Z</dcterms:modified>
</cp:coreProperties>
</file>