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000"/>
        <w:spacing w:after="0"/>
        <w:rPr>
          <w:sz w:val="20"/>
          <w:szCs w:val="20"/>
          <w:color w:val="auto"/>
        </w:rPr>
      </w:pPr>
      <w:r>
        <w:rPr>
          <w:rFonts w:ascii="Arial" w:cs="Arial" w:eastAsia="Arial" w:hAnsi="Arial"/>
          <w:sz w:val="15"/>
          <w:szCs w:val="15"/>
          <w:color w:val="auto"/>
        </w:rPr>
        <w:t>226 Causeway 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805815" cy="8572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05815" cy="857250"/>
                    </a:xfrm>
                    <a:prstGeom prst="rect">
                      <a:avLst/>
                    </a:prstGeom>
                    <a:noFill/>
                  </pic:spPr>
                </pic:pic>
              </a:graphicData>
            </a:graphic>
          </wp:anchor>
        </w:drawing>
      </w:r>
    </w:p>
    <w:p>
      <w:pPr>
        <w:spacing w:after="0" w:line="38" w:lineRule="exact"/>
        <w:rPr>
          <w:sz w:val="24"/>
          <w:szCs w:val="24"/>
          <w:color w:val="auto"/>
        </w:rPr>
      </w:pPr>
    </w:p>
    <w:p>
      <w:pPr>
        <w:ind w:left="9860"/>
        <w:spacing w:after="0"/>
        <w:rPr>
          <w:sz w:val="20"/>
          <w:szCs w:val="20"/>
          <w:color w:val="auto"/>
        </w:rPr>
      </w:pPr>
      <w:r>
        <w:rPr>
          <w:rFonts w:ascii="Arial" w:cs="Arial" w:eastAsia="Arial" w:hAnsi="Arial"/>
          <w:sz w:val="16"/>
          <w:szCs w:val="16"/>
          <w:color w:val="auto"/>
        </w:rPr>
        <w:t>Boston, MA 02114</w:t>
      </w:r>
    </w:p>
    <w:p>
      <w:pPr>
        <w:spacing w:after="0" w:line="32" w:lineRule="exact"/>
        <w:rPr>
          <w:sz w:val="24"/>
          <w:szCs w:val="24"/>
          <w:color w:val="auto"/>
        </w:rPr>
      </w:pPr>
    </w:p>
    <w:p>
      <w:pPr>
        <w:ind w:left="8960"/>
        <w:spacing w:after="0"/>
        <w:rPr>
          <w:sz w:val="20"/>
          <w:szCs w:val="20"/>
          <w:color w:val="auto"/>
        </w:rPr>
      </w:pPr>
      <w:r>
        <w:rPr>
          <w:rFonts w:ascii="Arial" w:cs="Arial" w:eastAsia="Arial" w:hAnsi="Arial"/>
          <w:sz w:val="16"/>
          <w:szCs w:val="16"/>
          <w:u w:val="single" w:color="auto"/>
          <w:color w:val="1155CC"/>
        </w:rPr>
        <w:t>https://www.oxfamamerica.org/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Notice of Exempt Solicitation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REGISTRANT: </w:t>
      </w:r>
      <w:r>
        <w:rPr>
          <w:rFonts w:ascii="Arial" w:cs="Arial" w:eastAsia="Arial" w:hAnsi="Arial"/>
          <w:sz w:val="18"/>
          <w:szCs w:val="18"/>
          <w:color w:val="auto"/>
        </w:rPr>
        <w:t>Pilgrim’s Pride</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NAME OF PERSON RELYING ON EXEMPTION: </w:t>
      </w:r>
      <w:r>
        <w:rPr>
          <w:rFonts w:ascii="Arial" w:cs="Arial" w:eastAsia="Arial" w:hAnsi="Arial"/>
          <w:sz w:val="18"/>
          <w:szCs w:val="18"/>
          <w:color w:val="auto"/>
        </w:rPr>
        <w:t>Oxfam America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ADDRESS OF PERSON RELYING ON EXEMPTION: </w:t>
      </w:r>
      <w:r>
        <w:rPr>
          <w:rFonts w:ascii="Arial" w:cs="Arial" w:eastAsia="Arial" w:hAnsi="Arial"/>
          <w:sz w:val="18"/>
          <w:szCs w:val="18"/>
          <w:color w:val="auto"/>
        </w:rPr>
        <w:t>226 Causeway Street, Boston, MA 02114</w:t>
      </w:r>
    </w:p>
    <w:p>
      <w:pPr>
        <w:spacing w:after="0" w:line="207" w:lineRule="exact"/>
        <w:rPr>
          <w:sz w:val="24"/>
          <w:szCs w:val="24"/>
          <w:color w:val="auto"/>
        </w:rPr>
      </w:pPr>
    </w:p>
    <w:p>
      <w:pPr>
        <w:ind w:right="60"/>
        <w:spacing w:after="0" w:line="347" w:lineRule="auto"/>
        <w:rPr>
          <w:sz w:val="20"/>
          <w:szCs w:val="20"/>
          <w:color w:val="auto"/>
        </w:rPr>
      </w:pPr>
      <w:r>
        <w:rPr>
          <w:rFonts w:ascii="Arial" w:cs="Arial" w:eastAsia="Arial" w:hAnsi="Arial"/>
          <w:sz w:val="16"/>
          <w:szCs w:val="16"/>
          <w:b w:val="1"/>
          <w:bCs w:val="1"/>
          <w:color w:val="auto"/>
        </w:rPr>
        <w:t>Written materials are submitted pursuant to Rule 14a-6(g)(1) promulgated under the Securities Exchange Act of 1934. Submission is not required of this filer under the terms of the Rule, but is made voluntarily in the interest of public disclosure and consideration of these important issues.</w:t>
      </w:r>
    </w:p>
    <w:p>
      <w:pPr>
        <w:spacing w:after="0" w:line="116" w:lineRule="exact"/>
        <w:rPr>
          <w:sz w:val="24"/>
          <w:szCs w:val="24"/>
          <w:color w:val="auto"/>
        </w:rPr>
      </w:pPr>
    </w:p>
    <w:p>
      <w:pPr>
        <w:ind w:right="520"/>
        <w:spacing w:after="0" w:line="282" w:lineRule="auto"/>
        <w:rPr>
          <w:sz w:val="20"/>
          <w:szCs w:val="20"/>
          <w:color w:val="auto"/>
        </w:rPr>
      </w:pPr>
      <w:r>
        <w:rPr>
          <w:rFonts w:ascii="Arial" w:cs="Arial" w:eastAsia="Arial" w:hAnsi="Arial"/>
          <w:sz w:val="18"/>
          <w:szCs w:val="18"/>
          <w:color w:val="auto"/>
        </w:rPr>
        <w:t xml:space="preserve">Oxfam America urges you to vote </w:t>
      </w:r>
      <w:r>
        <w:rPr>
          <w:rFonts w:ascii="Arial" w:cs="Arial" w:eastAsia="Arial" w:hAnsi="Arial"/>
          <w:sz w:val="18"/>
          <w:szCs w:val="18"/>
          <w:b w:val="1"/>
          <w:bCs w:val="1"/>
          <w:color w:val="auto"/>
        </w:rPr>
        <w:t>FOR Proposal 6</w:t>
      </w:r>
      <w:r>
        <w:rPr>
          <w:rFonts w:ascii="Arial" w:cs="Arial" w:eastAsia="Arial" w:hAnsi="Arial"/>
          <w:sz w:val="18"/>
          <w:szCs w:val="18"/>
          <w:color w:val="auto"/>
        </w:rPr>
        <w:t xml:space="preserve"> on Human Rights Due Diligence (“HRDD”) at Pilgrim's Pride Corporation (“Pilgrim's”) Annual Meeting on April 29,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405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405890"/>
                    </a:xfrm>
                    <a:prstGeom prst="rect">
                      <a:avLst/>
                    </a:prstGeom>
                    <a:noFill/>
                  </pic:spPr>
                </pic:pic>
              </a:graphicData>
            </a:graphic>
          </wp:anchor>
        </w:drawing>
      </w:r>
    </w:p>
    <w:p>
      <w:pPr>
        <w:spacing w:after="0" w:line="385"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SUMMARY OF RESOLUTION</w:t>
      </w:r>
    </w:p>
    <w:p>
      <w:pPr>
        <w:spacing w:after="0" w:line="225" w:lineRule="exact"/>
        <w:rPr>
          <w:sz w:val="24"/>
          <w:szCs w:val="24"/>
          <w:color w:val="auto"/>
        </w:rPr>
      </w:pPr>
    </w:p>
    <w:p>
      <w:pPr>
        <w:ind w:left="40" w:right="160"/>
        <w:spacing w:after="0" w:line="276"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Shareholders request the Board of Directors prepare a report, at reasonable cost and omitting proprietary information, on Pilgrim's’ human</w:t>
      </w:r>
      <w:r>
        <w:rPr>
          <w:rFonts w:ascii="Arial" w:cs="Arial" w:eastAsia="Arial" w:hAnsi="Arial"/>
          <w:sz w:val="17"/>
          <w:szCs w:val="17"/>
          <w:b w:val="1"/>
          <w:bCs w:val="1"/>
          <w:color w:val="auto"/>
        </w:rPr>
        <w:t xml:space="preserve"> </w:t>
      </w:r>
      <w:r>
        <w:rPr>
          <w:rFonts w:ascii="Arial" w:cs="Arial" w:eastAsia="Arial" w:hAnsi="Arial"/>
          <w:sz w:val="17"/>
          <w:szCs w:val="17"/>
          <w:color w:val="auto"/>
        </w:rPr>
        <w:t>rights due diligence process to assess, identify, prevent and mitigate actual and potential adverse human rights impacts. The report should:</w:t>
      </w:r>
    </w:p>
    <w:p>
      <w:pPr>
        <w:spacing w:after="0" w:line="1" w:lineRule="exact"/>
        <w:rPr>
          <w:sz w:val="24"/>
          <w:szCs w:val="24"/>
          <w:color w:val="auto"/>
        </w:rPr>
      </w:pP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 the human rights principles used to frame its risk assessments;</w:t>
      </w:r>
    </w:p>
    <w:p>
      <w:pPr>
        <w:spacing w:after="0" w:line="9" w:lineRule="exact"/>
        <w:rPr>
          <w:rFonts w:ascii="Arial" w:cs="Arial" w:eastAsia="Arial" w:hAnsi="Arial"/>
          <w:sz w:val="18"/>
          <w:szCs w:val="18"/>
          <w:color w:val="auto"/>
        </w:rPr>
      </w:pPr>
    </w:p>
    <w:p>
      <w:pPr>
        <w:ind w:left="680" w:right="160" w:hanging="321"/>
        <w:spacing w:after="0" w:line="250" w:lineRule="auto"/>
        <w:tabs>
          <w:tab w:leader="none" w:pos="69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Outline the human rights impacts of Pilgrim's business activities, including company-owned operations, contract growers, and supply chain, and plans to mitigate any adverse impacts;</w:t>
      </w:r>
    </w:p>
    <w:p>
      <w:pPr>
        <w:ind w:left="700" w:hanging="341"/>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Explain the types and extent of stakeholder consultation; and</w:t>
      </w:r>
    </w:p>
    <w:p>
      <w:pPr>
        <w:spacing w:after="0" w:line="9" w:lineRule="exact"/>
        <w:rPr>
          <w:rFonts w:ascii="Arial" w:cs="Arial" w:eastAsia="Arial" w:hAnsi="Arial"/>
          <w:sz w:val="18"/>
          <w:szCs w:val="18"/>
          <w:color w:val="auto"/>
        </w:rPr>
      </w:pPr>
    </w:p>
    <w:p>
      <w:pPr>
        <w:ind w:left="680" w:hanging="321"/>
        <w:spacing w:after="0"/>
        <w:tabs>
          <w:tab w:leader="none" w:pos="6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Address Pilgrim's plans to track effectiveness of measures to assess, prevent, mitigate, and remedy adverse human rights impacts.</w:t>
      </w: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Support for this resolution is warranted because:</w:t>
      </w:r>
    </w:p>
    <w:p>
      <w:pPr>
        <w:spacing w:after="0" w:line="27" w:lineRule="exact"/>
        <w:rPr>
          <w:sz w:val="24"/>
          <w:szCs w:val="24"/>
          <w:color w:val="auto"/>
        </w:rPr>
      </w:pPr>
    </w:p>
    <w:p>
      <w:pPr>
        <w:ind w:left="660" w:right="86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Pilgrim's business activities risk adversely impacting human rights </w:t>
      </w:r>
      <w:r>
        <w:rPr>
          <w:rFonts w:ascii="Arial" w:cs="Arial" w:eastAsia="Arial" w:hAnsi="Arial"/>
          <w:sz w:val="18"/>
          <w:szCs w:val="18"/>
          <w:color w:val="auto"/>
        </w:rPr>
        <w:t>of workers and communities, and</w:t>
      </w:r>
      <w:r>
        <w:rPr>
          <w:rFonts w:ascii="Arial" w:cs="Arial" w:eastAsia="Arial" w:hAnsi="Arial"/>
          <w:sz w:val="18"/>
          <w:szCs w:val="18"/>
          <w:b w:val="1"/>
          <w:bCs w:val="1"/>
          <w:color w:val="auto"/>
        </w:rPr>
        <w:t xml:space="preserve"> HDDR is an important risk management process</w:t>
      </w:r>
      <w:r>
        <w:rPr>
          <w:rFonts w:ascii="Arial" w:cs="Arial" w:eastAsia="Arial" w:hAnsi="Arial"/>
          <w:sz w:val="18"/>
          <w:szCs w:val="18"/>
          <w:color w:val="auto"/>
        </w:rPr>
        <w:t>.</w:t>
      </w:r>
    </w:p>
    <w:p>
      <w:pPr>
        <w:jc w:val="both"/>
        <w:ind w:left="660" w:right="60" w:hanging="328"/>
        <w:spacing w:after="0" w:line="255"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Pilgrim’s Repeated Health &amp; Safety Violations Exact High Cost on Investors. </w:t>
      </w:r>
      <w:r>
        <w:rPr>
          <w:rFonts w:ascii="Arial" w:cs="Arial" w:eastAsia="Arial" w:hAnsi="Arial"/>
          <w:sz w:val="18"/>
          <w:szCs w:val="18"/>
          <w:color w:val="auto"/>
        </w:rPr>
        <w:t>Pilgrim’s failure to complete such diligence has already taken a</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toll on the company, which is evident through fines charged for regulatory violations, lawsuit settlements, and threats to its social license to operate.</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 w:name="page2"/>
    <w:bookmarkEnd w:id="1"/>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Pilgrim's existing policies and practices do not demonstrate effective HRDD, </w:t>
      </w:r>
      <w:r>
        <w:rPr>
          <w:rFonts w:ascii="Arial" w:cs="Arial" w:eastAsia="Arial" w:hAnsi="Arial"/>
          <w:sz w:val="17"/>
          <w:szCs w:val="17"/>
          <w:color w:val="auto"/>
        </w:rPr>
        <w:t>nor do they meet increasing investor expectations.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Arguments in Favor of the Resolution on Human Rights Due Diligence</w:t>
      </w:r>
    </w:p>
    <w:p>
      <w:pPr>
        <w:spacing w:after="0" w:line="225" w:lineRule="exact"/>
        <w:rPr>
          <w:sz w:val="20"/>
          <w:szCs w:val="20"/>
          <w:color w:val="auto"/>
        </w:rPr>
      </w:pPr>
    </w:p>
    <w:p>
      <w:pPr>
        <w:ind w:firstLine="8"/>
        <w:spacing w:after="0" w:line="282"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HRDD is an effective risk management process. Failure to conduct HRDD has already adversely impacted Pilgrim's bottom line, including fines charged for regulatory violations, lawsuit settlements, and threats to its social license to operate.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Human Rights Concerns in the Poultry Processing Industry</w:t>
      </w:r>
    </w:p>
    <w:p>
      <w:pPr>
        <w:spacing w:after="0" w:line="225" w:lineRule="exact"/>
        <w:rPr>
          <w:sz w:val="20"/>
          <w:szCs w:val="20"/>
          <w:color w:val="auto"/>
        </w:rPr>
      </w:pPr>
    </w:p>
    <w:p>
      <w:pPr>
        <w:ind w:right="20"/>
        <w:spacing w:after="0" w:line="233" w:lineRule="auto"/>
        <w:rPr>
          <w:sz w:val="20"/>
          <w:szCs w:val="20"/>
          <w:color w:val="auto"/>
        </w:rPr>
      </w:pPr>
      <w:r>
        <w:rPr>
          <w:rFonts w:ascii="Arial" w:cs="Arial" w:eastAsia="Arial" w:hAnsi="Arial"/>
          <w:sz w:val="16"/>
          <w:szCs w:val="16"/>
          <w:color w:val="auto"/>
        </w:rPr>
        <w:t>Companies that fail to address human rights concerns risk backlash from communities, customers, and regulators, all of which pose significant harm to long-term shareholder value. Industrial meat production exposes workers, farmers, and communities to actual and potential adverse human rights impacts,</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for which Pilgrim’s has already been criticized.</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Poultry processing workers face serious labor rights violations, including injuries from unsafe line speeds and other hazards, exposure to toxins, wage and hour violations, sexual harassment, and workplace discrimination.</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Factory farming contributes to economic struggles for contract growers and family farmers, exploitation of migrant farmworkers, and occupational health and safety risks.</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Monoculture farming to grow animal feed requires heavy use of chemical fertilizers and pesticides, impacting human health, soil and water quality, and biodiversity.</w:t>
      </w:r>
      <w:r>
        <w:rPr>
          <w:rFonts w:ascii="Arial" w:cs="Arial" w:eastAsia="Arial" w:hAnsi="Arial"/>
          <w:sz w:val="26"/>
          <w:szCs w:val="26"/>
          <w:color w:val="auto"/>
          <w:vertAlign w:val="superscript"/>
        </w:rPr>
        <w:t>5</w:t>
      </w:r>
    </w:p>
    <w:p>
      <w:pPr>
        <w:spacing w:after="0" w:line="85" w:lineRule="exact"/>
        <w:rPr>
          <w:sz w:val="20"/>
          <w:szCs w:val="20"/>
          <w:color w:val="auto"/>
        </w:rPr>
      </w:pPr>
    </w:p>
    <w:p>
      <w:pPr>
        <w:ind w:right="160"/>
        <w:spacing w:after="0" w:line="232" w:lineRule="auto"/>
        <w:rPr>
          <w:sz w:val="20"/>
          <w:szCs w:val="20"/>
          <w:color w:val="auto"/>
        </w:rPr>
      </w:pPr>
      <w:r>
        <w:rPr>
          <w:rFonts w:ascii="Arial" w:cs="Arial" w:eastAsia="Arial" w:hAnsi="Arial"/>
          <w:sz w:val="17"/>
          <w:szCs w:val="17"/>
          <w:color w:val="auto"/>
        </w:rPr>
        <w:t>Increased public scrutiny on these harmful production practices generates significant financial risk: the poultry processing industry is plagued by legal complaints, fines, and journalist investigations</w:t>
      </w:r>
      <w:r>
        <w:rPr>
          <w:rFonts w:ascii="Arial" w:cs="Arial" w:eastAsia="Arial" w:hAnsi="Arial"/>
          <w:sz w:val="28"/>
          <w:szCs w:val="28"/>
          <w:color w:val="auto"/>
          <w:vertAlign w:val="superscript"/>
        </w:rPr>
        <w:t>6</w:t>
      </w:r>
      <w:r>
        <w:rPr>
          <w:rFonts w:ascii="Arial" w:cs="Arial" w:eastAsia="Arial" w:hAnsi="Arial"/>
          <w:sz w:val="17"/>
          <w:szCs w:val="17"/>
          <w:color w:val="auto"/>
        </w:rPr>
        <w:t xml:space="preserve"> revealing patterns of workplace violations. Pilgrim's is not immune: Recent legal complaints against Pilgrim’s Pride and its subsidiaries range from allegations of hiring discrimination</w:t>
      </w:r>
      <w:r>
        <w:rPr>
          <w:rFonts w:ascii="Arial" w:cs="Arial" w:eastAsia="Arial" w:hAnsi="Arial"/>
          <w:sz w:val="28"/>
          <w:szCs w:val="28"/>
          <w:color w:val="auto"/>
          <w:vertAlign w:val="superscript"/>
        </w:rPr>
        <w:t>7</w:t>
      </w:r>
      <w:r>
        <w:rPr>
          <w:rFonts w:ascii="Arial" w:cs="Arial" w:eastAsia="Arial" w:hAnsi="Arial"/>
          <w:sz w:val="17"/>
          <w:szCs w:val="17"/>
          <w:color w:val="auto"/>
        </w:rPr>
        <w:t xml:space="preserve"> and disability discrimination,</w:t>
      </w:r>
      <w:r>
        <w:rPr>
          <w:rFonts w:ascii="Arial" w:cs="Arial" w:eastAsia="Arial" w:hAnsi="Arial"/>
          <w:sz w:val="28"/>
          <w:szCs w:val="28"/>
          <w:color w:val="auto"/>
          <w:vertAlign w:val="superscript"/>
        </w:rPr>
        <w:t>8</w:t>
      </w:r>
      <w:r>
        <w:rPr>
          <w:rFonts w:ascii="Arial" w:cs="Arial" w:eastAsia="Arial" w:hAnsi="Arial"/>
          <w:sz w:val="17"/>
          <w:szCs w:val="17"/>
          <w:color w:val="auto"/>
        </w:rPr>
        <w:t xml:space="preserve"> to federal fines issued for violations of environmental; wage and hour; workplace safety and health; and labor relations regulations.</w:t>
      </w:r>
      <w:r>
        <w:rPr>
          <w:rFonts w:ascii="Arial" w:cs="Arial" w:eastAsia="Arial" w:hAnsi="Arial"/>
          <w:sz w:val="28"/>
          <w:szCs w:val="28"/>
          <w:color w:val="auto"/>
          <w:vertAlign w:val="superscript"/>
        </w:rPr>
        <w:t>9</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151" w:lineRule="exact"/>
        <w:rPr>
          <w:sz w:val="20"/>
          <w:szCs w:val="20"/>
          <w:color w:val="auto"/>
        </w:rPr>
      </w:pPr>
    </w:p>
    <w:p>
      <w:pPr>
        <w:ind w:left="120" w:hanging="112"/>
        <w:spacing w:after="0"/>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ht</w:t>
      </w:r>
      <w:r>
        <w:rPr>
          <w:rFonts w:ascii="Arial" w:cs="Arial" w:eastAsia="Arial" w:hAnsi="Arial"/>
          <w:sz w:val="18"/>
          <w:szCs w:val="18"/>
          <w:u w:val="single" w:color="auto"/>
          <w:color w:val="auto"/>
        </w:rPr>
        <w:t>tps://www.hrw.org/report/2019/09/04/when-were-dead-and-buried-our-bones-will-keep-hurting/workers-rights-under-threat</w:t>
      </w:r>
    </w:p>
    <w:p>
      <w:pPr>
        <w:spacing w:after="0" w:line="42" w:lineRule="exact"/>
        <w:rPr>
          <w:rFonts w:ascii="Arial" w:cs="Arial" w:eastAsia="Arial" w:hAnsi="Arial"/>
          <w:sz w:val="30"/>
          <w:szCs w:val="30"/>
          <w:color w:val="auto"/>
          <w:vertAlign w:val="superscript"/>
        </w:rPr>
      </w:pP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https://www.theatlantic.com/ideas/archive/2019/11/human-cost-chicken-farming/601687/</w:t>
      </w:r>
    </w:p>
    <w:p>
      <w:pPr>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3</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https://www.oxfamamerica.org/static/media/files/Lives_on_the_Line_Full_Report_Final.pdf</w:t>
      </w:r>
    </w:p>
    <w:p>
      <w:pPr>
        <w:ind w:right="2040"/>
        <w:spacing w:after="0" w:line="18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4</w:t>
      </w:r>
      <w:r>
        <w:rPr>
          <w:rFonts w:ascii="Arial" w:cs="Arial" w:eastAsia="Arial" w:hAnsi="Arial"/>
          <w:sz w:val="18"/>
          <w:szCs w:val="18"/>
          <w:color w:val="auto"/>
        </w:rPr>
        <w:t xml:space="preserve"> https://www.hrw.org/report/2019/09/04/when-were-dead-and-buried-our-bones-will-keep-hurting/workers-rights-under-threat </w:t>
      </w:r>
      <w:r>
        <w:rPr>
          <w:rFonts w:ascii="Arial" w:cs="Arial" w:eastAsia="Arial" w:hAnsi="Arial"/>
          <w:sz w:val="29"/>
          <w:szCs w:val="29"/>
          <w:color w:val="auto"/>
          <w:vertAlign w:val="superscript"/>
        </w:rPr>
        <w:t>5</w:t>
      </w:r>
      <w:r>
        <w:rPr>
          <w:rFonts w:ascii="Arial" w:cs="Arial" w:eastAsia="Arial" w:hAnsi="Arial"/>
          <w:sz w:val="18"/>
          <w:szCs w:val="18"/>
          <w:color w:val="auto"/>
        </w:rPr>
        <w:t xml:space="preserve"> https://www.ucsusa.org/resources/hidden-costs-industrial-agriculture</w:t>
      </w:r>
    </w:p>
    <w:p>
      <w:pPr>
        <w:spacing w:after="0" w:line="1" w:lineRule="exact"/>
        <w:rPr>
          <w:rFonts w:ascii="Arial" w:cs="Arial" w:eastAsia="Arial" w:hAnsi="Arial"/>
          <w:sz w:val="30"/>
          <w:szCs w:val="30"/>
          <w:color w:val="auto"/>
          <w:vertAlign w:val="superscript"/>
        </w:rPr>
      </w:pPr>
    </w:p>
    <w:p>
      <w:pPr>
        <w:spacing w:after="0" w:line="180" w:lineRule="auto"/>
        <w:rPr>
          <w:rFonts w:ascii="Arial" w:cs="Arial" w:eastAsia="Arial" w:hAnsi="Arial"/>
          <w:sz w:val="30"/>
          <w:szCs w:val="30"/>
          <w:color w:val="auto"/>
          <w:vertAlign w:val="superscript"/>
        </w:rPr>
      </w:pPr>
      <w:r>
        <w:rPr>
          <w:rFonts w:ascii="Arial" w:cs="Arial" w:eastAsia="Arial" w:hAnsi="Arial"/>
          <w:sz w:val="25"/>
          <w:szCs w:val="25"/>
          <w:color w:val="auto"/>
          <w:vertAlign w:val="superscript"/>
        </w:rPr>
        <w:t>6</w:t>
      </w:r>
      <w:r>
        <w:rPr>
          <w:rFonts w:ascii="Arial" w:cs="Arial" w:eastAsia="Arial" w:hAnsi="Arial"/>
          <w:sz w:val="16"/>
          <w:szCs w:val="16"/>
          <w:color w:val="auto"/>
        </w:rPr>
        <w:t xml:space="preserve"> </w:t>
      </w:r>
      <w:r>
        <w:rPr>
          <w:rFonts w:ascii="Arial" w:cs="Arial" w:eastAsia="Arial" w:hAnsi="Arial"/>
          <w:sz w:val="16"/>
          <w:szCs w:val="16"/>
          <w:u w:val="single" w:color="auto"/>
          <w:color w:val="auto"/>
        </w:rPr>
        <w:t>https://www.theguardian.com/food/2018/nov/26/revealed-restricting-breaks-keeps-poultry-industry-workers-living-in-fear</w:t>
      </w:r>
    </w:p>
    <w:p>
      <w:pPr>
        <w:spacing w:after="0" w:line="25" w:lineRule="exact"/>
        <w:rPr>
          <w:sz w:val="20"/>
          <w:szCs w:val="20"/>
          <w:color w:val="auto"/>
        </w:rPr>
      </w:pPr>
    </w:p>
    <w:p>
      <w:pPr>
        <w:ind w:right="220" w:firstLine="8"/>
        <w:spacing w:after="0" w:line="194" w:lineRule="auto"/>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u w:val="single" w:color="auto"/>
          <w:color w:val="auto"/>
        </w:rPr>
        <w:t>https://www.reliableplant.com/Read/8537/pilgrim's-pride-to-pay-$1m-for-hiring-discrimination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https://carlairwininc.com/blog/ofccp-files-lawsuit-against-pilgrims-pride-alleging-hiring-discrimination/</w:t>
      </w:r>
    </w:p>
    <w:p>
      <w:pPr>
        <w:spacing w:after="0" w:line="214" w:lineRule="auto"/>
        <w:rPr>
          <w:rFonts w:ascii="Arial" w:cs="Arial" w:eastAsia="Arial" w:hAnsi="Arial"/>
          <w:sz w:val="30"/>
          <w:szCs w:val="30"/>
          <w:color w:val="auto"/>
          <w:vertAlign w:val="superscript"/>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https://www.eeoc.gov/eeoc/newsroom/release/9-24-18i.cfm</w:t>
      </w:r>
    </w:p>
    <w:p>
      <w:pPr>
        <w:spacing w:after="0" w:line="1"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29"/>
          <w:szCs w:val="29"/>
          <w:color w:val="auto"/>
          <w:vertAlign w:val="superscript"/>
        </w:rPr>
        <w:t>9</w:t>
      </w:r>
      <w:r>
        <w:rPr>
          <w:rFonts w:ascii="Arial" w:cs="Arial" w:eastAsia="Arial" w:hAnsi="Arial"/>
          <w:sz w:val="18"/>
          <w:szCs w:val="18"/>
          <w:color w:val="auto"/>
        </w:rPr>
        <w:t xml:space="preserve"> </w:t>
      </w:r>
      <w:r>
        <w:rPr>
          <w:rFonts w:ascii="Arial" w:cs="Arial" w:eastAsia="Arial" w:hAnsi="Arial"/>
          <w:sz w:val="18"/>
          <w:szCs w:val="18"/>
          <w:u w:val="single" w:color="auto"/>
          <w:color w:val="auto"/>
        </w:rPr>
        <w:t>https://violationtracker.goodjobsfirst.org/parent/jbs</w:t>
      </w: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i w:val="1"/>
          <w:iCs w:val="1"/>
          <w:color w:val="auto"/>
        </w:rPr>
        <w:t>B. HRDD Mitigates Against These Risks</w:t>
      </w:r>
    </w:p>
    <w:p>
      <w:pPr>
        <w:spacing w:after="0" w:line="225"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 xml:space="preserve">To mitigate the aforementioned risks and protect long-term shareholder value, conscientious companies conduct HRDD, a risk management process whose steps are outlined by the UN Guiding Principles on Business and Human Rights. </w:t>
      </w:r>
      <w:r>
        <w:rPr>
          <w:rFonts w:ascii="Arial" w:cs="Arial" w:eastAsia="Arial" w:hAnsi="Arial"/>
          <w:sz w:val="26"/>
          <w:szCs w:val="26"/>
          <w:color w:val="auto"/>
          <w:vertAlign w:val="superscript"/>
        </w:rPr>
        <w:t>10</w:t>
      </w:r>
      <w:r>
        <w:rPr>
          <w:rFonts w:ascii="Arial" w:cs="Arial" w:eastAsia="Arial" w:hAnsi="Arial"/>
          <w:sz w:val="16"/>
          <w:szCs w:val="16"/>
          <w:color w:val="auto"/>
        </w:rPr>
        <w:t xml:space="preserve"> HRDD enables a company to detect emerging human rights risks and redress harm, both of which allow a company to protect itself against expensive fines and burnish its reputation. HRDD includes four key steps: assessing</w:t>
      </w:r>
    </w:p>
    <w:p>
      <w:pPr>
        <w:spacing w:after="0" w:line="3"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actual and potential human rights impacts, integrating and acting on findings, tracking responses, and communicating about how impacts are addressed.</w:t>
      </w:r>
      <w:r>
        <w:rPr>
          <w:rFonts w:ascii="Arial" w:cs="Arial" w:eastAsia="Arial" w:hAnsi="Arial"/>
          <w:sz w:val="26"/>
          <w:szCs w:val="26"/>
          <w:color w:val="auto"/>
          <w:vertAlign w:val="superscript"/>
        </w:rPr>
        <w:t>11</w:t>
      </w:r>
      <w:r>
        <w:rPr>
          <w:rFonts w:ascii="Arial" w:cs="Arial" w:eastAsia="Arial" w:hAnsi="Arial"/>
          <w:sz w:val="16"/>
          <w:szCs w:val="16"/>
          <w:color w:val="auto"/>
        </w:rPr>
        <w:t xml:space="preserve"> These proactive steps to identifying and confronting human rights violations can allows companies to address them before they develop into significant</w:t>
      </w:r>
    </w:p>
    <w:p>
      <w:pPr>
        <w:spacing w:after="0" w:line="2"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costs. Indeed, some of the world’s largest agribusiness companies publicly embrace HRDD: Coca Cola,</w:t>
      </w:r>
      <w:r>
        <w:rPr>
          <w:rFonts w:ascii="Arial" w:cs="Arial" w:eastAsia="Arial" w:hAnsi="Arial"/>
          <w:sz w:val="29"/>
          <w:szCs w:val="29"/>
          <w:color w:val="auto"/>
          <w:vertAlign w:val="superscript"/>
        </w:rPr>
        <w:t>12</w:t>
      </w:r>
      <w:r>
        <w:rPr>
          <w:rFonts w:ascii="Arial" w:cs="Arial" w:eastAsia="Arial" w:hAnsi="Arial"/>
          <w:sz w:val="18"/>
          <w:szCs w:val="18"/>
          <w:color w:val="auto"/>
        </w:rPr>
        <w:t xml:space="preserve"> Nestlé,</w:t>
      </w:r>
      <w:r>
        <w:rPr>
          <w:rFonts w:ascii="Arial" w:cs="Arial" w:eastAsia="Arial" w:hAnsi="Arial"/>
          <w:sz w:val="29"/>
          <w:szCs w:val="29"/>
          <w:color w:val="auto"/>
          <w:vertAlign w:val="superscript"/>
        </w:rPr>
        <w:t>13</w:t>
      </w:r>
      <w:r>
        <w:rPr>
          <w:rFonts w:ascii="Arial" w:cs="Arial" w:eastAsia="Arial" w:hAnsi="Arial"/>
          <w:sz w:val="18"/>
          <w:szCs w:val="18"/>
          <w:color w:val="auto"/>
        </w:rPr>
        <w:t xml:space="preserve"> and Mondelez</w:t>
      </w:r>
      <w:r>
        <w:rPr>
          <w:rFonts w:ascii="Arial" w:cs="Arial" w:eastAsia="Arial" w:hAnsi="Arial"/>
          <w:sz w:val="29"/>
          <w:szCs w:val="29"/>
          <w:color w:val="auto"/>
          <w:vertAlign w:val="superscript"/>
        </w:rPr>
        <w:t>14</w:t>
      </w:r>
      <w:r>
        <w:rPr>
          <w:rFonts w:ascii="Arial" w:cs="Arial" w:eastAsia="Arial" w:hAnsi="Arial"/>
          <w:sz w:val="18"/>
          <w:szCs w:val="18"/>
          <w:color w:val="auto"/>
        </w:rPr>
        <w:t xml:space="preserve"> conduct HRDD on their operations, and are transparent about the process on their website; this enables investors to understand that these companies are proactively addressing human rights risks.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HRDD Safeguards a Company’s Bottom Line</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HRDD not only helps to protect workers and community members who may be harmed by company operations by allowing the Company to proactively address potential human rights violations, but helps businesses minimize expensive operations, reputational, and legal risks. As a result, preventing human rights abuses also benefits Pilgrim's bottom line. For example:</w:t>
      </w:r>
    </w:p>
    <w:p>
      <w:pPr>
        <w:spacing w:after="0" w:line="184" w:lineRule="exact"/>
        <w:rPr>
          <w:sz w:val="20"/>
          <w:szCs w:val="20"/>
          <w:color w:val="auto"/>
        </w:rPr>
      </w:pPr>
    </w:p>
    <w:p>
      <w:pPr>
        <w:ind w:left="660" w:right="120" w:hanging="328"/>
        <w:spacing w:after="0" w:line="29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HRDD mitigates the risk that a company will face fines and lawsuits from injured employees and others adversely impacted by the company’s operations. </w:t>
      </w:r>
      <w:r>
        <w:rPr>
          <w:rFonts w:ascii="Arial" w:cs="Arial" w:eastAsia="Arial" w:hAnsi="Arial"/>
          <w:sz w:val="16"/>
          <w:szCs w:val="16"/>
          <w:b w:val="1"/>
          <w:bCs w:val="1"/>
          <w:i w:val="1"/>
          <w:iCs w:val="1"/>
          <w:color w:val="auto"/>
        </w:rPr>
        <w:t>Pilgrim's has already faced costly fines and controversies that could have been avoided with HRDD in place. Continued failure to</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implement HRDD threatens negative financial impact on Pilgrim's, including more fines charged for regulatory violations and lawsuit settlements. </w:t>
      </w:r>
      <w:r>
        <w:rPr>
          <w:rFonts w:ascii="Arial" w:cs="Arial" w:eastAsia="Arial" w:hAnsi="Arial"/>
          <w:sz w:val="16"/>
          <w:szCs w:val="16"/>
          <w:color w:val="auto"/>
        </w:rPr>
        <w:t>The table below includes a non-exhaustive list of specific examples of human rights violations where failure to implement adequate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HRDD has harmed individuals, and in turn generated controversies, fines, lawsuits, or negative financial impacts. This chart does not reflect all controversies the company and its subsidiaries may have, though it would be useful for Pilgrim's to disclose such information to shareholders. According to data compiled using publicly available information, since 2000, </w:t>
      </w:r>
      <w:r>
        <w:rPr>
          <w:rFonts w:ascii="Arial" w:cs="Arial" w:eastAsia="Arial" w:hAnsi="Arial"/>
          <w:sz w:val="16"/>
          <w:szCs w:val="16"/>
          <w:b w:val="1"/>
          <w:bCs w:val="1"/>
          <w:color w:val="auto"/>
        </w:rPr>
        <w:t>Pilgrim's parent company JBS has a record of 179 violations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since 2000, </w:t>
      </w:r>
      <w:r>
        <w:rPr>
          <w:rFonts w:ascii="Arial" w:cs="Arial" w:eastAsia="Arial" w:hAnsi="Arial"/>
          <w:sz w:val="16"/>
          <w:szCs w:val="16"/>
          <w:b w:val="1"/>
          <w:bCs w:val="1"/>
          <w:u w:val="single" w:color="auto"/>
          <w:color w:val="auto"/>
        </w:rPr>
        <w:t>having paid $34,690,704 in penalties thus far.</w:t>
      </w:r>
      <w:r>
        <w:rPr>
          <w:rFonts w:ascii="Arial" w:cs="Arial" w:eastAsia="Arial" w:hAnsi="Arial"/>
          <w:sz w:val="26"/>
          <w:szCs w:val="26"/>
          <w:b w:val="1"/>
          <w:bCs w:val="1"/>
          <w:u w:val="single" w:color="auto"/>
          <w:color w:val="auto"/>
          <w:vertAlign w:val="superscript"/>
        </w:rPr>
        <w:t>15</w:t>
      </w:r>
      <w:r>
        <w:rPr>
          <w:rFonts w:ascii="Arial" w:cs="Arial" w:eastAsia="Arial" w:hAnsi="Arial"/>
          <w:sz w:val="16"/>
          <w:szCs w:val="16"/>
          <w:b w:val="1"/>
          <w:bCs w:val="1"/>
          <w:color w:val="auto"/>
        </w:rPr>
        <w:t xml:space="preserve"> </w:t>
      </w:r>
      <w:r>
        <w:rPr>
          <w:rFonts w:ascii="Arial" w:cs="Arial" w:eastAsia="Arial" w:hAnsi="Arial"/>
          <w:sz w:val="16"/>
          <w:szCs w:val="16"/>
          <w:color w:val="auto"/>
        </w:rPr>
        <w:t>These financial impacts will be further detailed below.</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66" w:lineRule="exact"/>
        <w:rPr>
          <w:sz w:val="20"/>
          <w:szCs w:val="20"/>
          <w:color w:val="auto"/>
        </w:rPr>
      </w:pPr>
    </w:p>
    <w:p>
      <w:pPr>
        <w:ind w:right="200" w:firstLine="8"/>
        <w:spacing w:after="0" w:line="261" w:lineRule="auto"/>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 xml:space="preserve">The United Nations Guiding Principles on Business and Human Rights (UNGPs), adopted by the UN General Assembly in 2011, are the global authoritative framework outlining states and companies’ human rights-related roles and responsibilities. The UNGPs require all businesses, regardless of size or industry, to respect the human rights of stakeholders impacted by their operations and business relationships. </w:t>
      </w:r>
      <w:r>
        <w:rPr>
          <w:rFonts w:ascii="Arial" w:cs="Arial" w:eastAsia="Arial" w:hAnsi="Arial"/>
          <w:sz w:val="15"/>
          <w:szCs w:val="15"/>
          <w:u w:val="single" w:color="auto"/>
          <w:color w:val="auto"/>
        </w:rPr>
        <w:t>https://www.ohchr.org/Documents/Publications/GuidingPrinciplesBusinessHR_EN.pdf.</w:t>
      </w:r>
    </w:p>
    <w:p>
      <w:pPr>
        <w:spacing w:after="0" w:line="29" w:lineRule="exact"/>
        <w:rPr>
          <w:rFonts w:ascii="Arial" w:cs="Arial" w:eastAsia="Arial" w:hAnsi="Arial"/>
          <w:sz w:val="25"/>
          <w:szCs w:val="25"/>
          <w:color w:val="auto"/>
          <w:vertAlign w:val="superscript"/>
        </w:rPr>
      </w:pPr>
    </w:p>
    <w:p>
      <w:pPr>
        <w:ind w:right="580" w:firstLine="8"/>
        <w:spacing w:after="0" w:line="245" w:lineRule="auto"/>
        <w:tabs>
          <w:tab w:leader="none" w:pos="189"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https://www.ungpreporting.org/glossary/human-rights-due-diligence/</w:t>
      </w:r>
      <w:r>
        <w:rPr>
          <w:rFonts w:ascii="Arial" w:cs="Arial" w:eastAsia="Arial" w:hAnsi="Arial"/>
          <w:sz w:val="15"/>
          <w:szCs w:val="15"/>
          <w:color w:val="auto"/>
        </w:rPr>
        <w:t xml:space="preserve">; </w:t>
      </w:r>
      <w:r>
        <w:rPr>
          <w:rFonts w:ascii="Arial" w:cs="Arial" w:eastAsia="Arial" w:hAnsi="Arial"/>
          <w:sz w:val="15"/>
          <w:szCs w:val="15"/>
          <w:u w:val="single" w:color="auto"/>
          <w:color w:val="auto"/>
        </w:rPr>
        <w:t>https://www.ohchr.org/en/professionalinterest/pages/coreinstruments.aspx</w:t>
      </w:r>
      <w:r>
        <w:rPr>
          <w:rFonts w:ascii="Arial" w:cs="Arial" w:eastAsia="Arial" w:hAnsi="Arial"/>
          <w:sz w:val="15"/>
          <w:szCs w:val="15"/>
          <w:color w:val="auto"/>
        </w:rPr>
        <w:t xml:space="preserve">; </w:t>
      </w:r>
      <w:r>
        <w:rPr>
          <w:rFonts w:ascii="Arial" w:cs="Arial" w:eastAsia="Arial" w:hAnsi="Arial"/>
          <w:sz w:val="15"/>
          <w:szCs w:val="15"/>
          <w:u w:val="single" w:color="auto"/>
          <w:color w:val="auto"/>
        </w:rPr>
        <w:t>https://www.ilo.org/declaration/lang--en/index.htm</w:t>
      </w:r>
      <w:r>
        <w:rPr>
          <w:rFonts w:ascii="Arial" w:cs="Arial" w:eastAsia="Arial" w:hAnsi="Arial"/>
          <w:sz w:val="15"/>
          <w:szCs w:val="15"/>
          <w:color w:val="auto"/>
        </w:rPr>
        <w:t xml:space="preserve">; </w:t>
      </w:r>
      <w:r>
        <w:rPr>
          <w:rFonts w:ascii="Arial" w:cs="Arial" w:eastAsia="Arial" w:hAnsi="Arial"/>
          <w:sz w:val="15"/>
          <w:szCs w:val="15"/>
          <w:u w:val="single" w:color="auto"/>
          <w:color w:val="auto"/>
        </w:rPr>
        <w:t>http://www.oecd.org/investment/mne/1922428.pdf</w:t>
      </w:r>
    </w:p>
    <w:p>
      <w:pPr>
        <w:spacing w:after="0" w:line="26" w:lineRule="exact"/>
        <w:rPr>
          <w:rFonts w:ascii="Arial" w:cs="Arial" w:eastAsia="Arial" w:hAnsi="Arial"/>
          <w:sz w:val="23"/>
          <w:szCs w:val="23"/>
          <w:color w:val="auto"/>
          <w:vertAlign w:val="superscript"/>
        </w:rPr>
      </w:pPr>
    </w:p>
    <w:p>
      <w:pPr>
        <w:ind w:right="100" w:firstLine="8"/>
        <w:spacing w:after="0" w:line="232" w:lineRule="auto"/>
        <w:tabs>
          <w:tab w:leader="none" w:pos="195"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https://www.coca-cola.ie/content/dam/journey/ie/en/hidden/PDFs/human-and-workplace-rights/addressing-global-issues/human-rights-self-assessment-checklists.10.2014.pdf.</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8"/>
        </w:numPr>
        <w:rPr>
          <w:rFonts w:ascii="Arial" w:cs="Arial" w:eastAsia="Arial" w:hAnsi="Arial"/>
          <w:sz w:val="25"/>
          <w:szCs w:val="25"/>
          <w:color w:val="auto"/>
          <w:vertAlign w:val="superscript"/>
        </w:rPr>
      </w:pPr>
      <w:r>
        <w:rPr>
          <w:rFonts w:ascii="Arial" w:cs="Arial" w:eastAsia="Arial" w:hAnsi="Arial"/>
          <w:sz w:val="15"/>
          <w:szCs w:val="15"/>
          <w:color w:val="auto"/>
        </w:rPr>
        <w:t>https://www.nestle.com/csv/impact/respecting-human-rights/human-rights-impacts.</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https://www.mondelezinternational.com/~/media/mondelezcorporate/uploads/downloads/mdlz_human_rights_report_2018.pdf?la=en.</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https://violationtracker.goodjobsfirst.org/parent/jbs</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3" w:name="page4"/>
    <w:bookmarkEnd w:id="3"/>
    <w:p>
      <w:pPr>
        <w:jc w:val="both"/>
        <w:ind w:left="660" w:right="18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Poor HRDD poses risks to recruitment and retention of employees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Pilgrim's continues to grow, a diverse and talented workforce is critical.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Protecting these workers throughout business operations is essential to avoiding strikes, work stoppages, and legal battles. Effective HRDD can support Pilgrim's efforts to identify and mitigate labor conflicts.</w:t>
      </w:r>
    </w:p>
    <w:p>
      <w:pPr>
        <w:spacing w:after="0" w:line="210" w:lineRule="exact"/>
        <w:rPr>
          <w:rFonts w:ascii="Arial" w:cs="Arial" w:eastAsia="Arial" w:hAnsi="Arial"/>
          <w:sz w:val="18"/>
          <w:szCs w:val="18"/>
          <w:color w:val="auto"/>
        </w:rPr>
      </w:pPr>
    </w:p>
    <w:p>
      <w:pPr>
        <w:ind w:left="660" w:right="22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Relationships with growers and feed grain suppliers may be harmed without HRDD. </w:t>
      </w:r>
      <w:r>
        <w:rPr>
          <w:rFonts w:ascii="Arial" w:cs="Arial" w:eastAsia="Arial" w:hAnsi="Arial"/>
          <w:sz w:val="18"/>
          <w:szCs w:val="18"/>
          <w:color w:val="auto"/>
        </w:rPr>
        <w:t>Pilgrim's relies on relationships with independent family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farmers to source its chickens and other supplies. To attract and maintain contracts, Pilgrim's should treat growers fairly, respect environmental regulations, and consult with growers before expanding operations.</w:t>
      </w:r>
    </w:p>
    <w:p>
      <w:pPr>
        <w:spacing w:after="0" w:line="210" w:lineRule="exact"/>
        <w:rPr>
          <w:rFonts w:ascii="Arial" w:cs="Arial" w:eastAsia="Arial" w:hAnsi="Arial"/>
          <w:sz w:val="18"/>
          <w:szCs w:val="18"/>
          <w:color w:val="auto"/>
        </w:rPr>
      </w:pPr>
    </w:p>
    <w:p>
      <w:pPr>
        <w:ind w:left="660" w:right="240" w:hanging="328"/>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HRDD confers many financial benefits</w:t>
      </w:r>
      <w:r>
        <w:rPr>
          <w:rFonts w:ascii="Arial" w:cs="Arial" w:eastAsia="Arial" w:hAnsi="Arial"/>
          <w:sz w:val="18"/>
          <w:szCs w:val="18"/>
          <w:color w:val="auto"/>
        </w:rPr>
        <w:t>, including improving risk management, strengthening brand reputation, fewer disruptions 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employee turnover, positive recognition from civil society groups and shareholders, and improved relationships with communities. These benefits can ultimately contribute to protecting the company’s long-term financial interests.</w:t>
      </w:r>
    </w:p>
    <w:p>
      <w:pPr>
        <w:spacing w:after="0" w:line="210" w:lineRule="exact"/>
        <w:rPr>
          <w:rFonts w:ascii="Arial" w:cs="Arial" w:eastAsia="Arial" w:hAnsi="Arial"/>
          <w:sz w:val="18"/>
          <w:szCs w:val="18"/>
          <w:color w:val="auto"/>
        </w:rPr>
      </w:pPr>
    </w:p>
    <w:p>
      <w:pPr>
        <w:ind w:left="660" w:hanging="328"/>
        <w:spacing w:after="0" w:line="22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Pilgrim's social license to operate is at risk without strong community relationships. </w:t>
      </w:r>
      <w:r>
        <w:rPr>
          <w:rFonts w:ascii="Arial" w:cs="Arial" w:eastAsia="Arial" w:hAnsi="Arial"/>
          <w:sz w:val="18"/>
          <w:szCs w:val="18"/>
          <w:color w:val="auto"/>
        </w:rPr>
        <w:t>Pilgrim’s has already faced public resistance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expansion of its operations and footprint to meet growing demand for protein. In 2018, community members spoke up in opposition to a proposed plant in Georgia due to concerns about negative impact to the local community and environment.</w:t>
      </w:r>
      <w:r>
        <w:rPr>
          <w:rFonts w:ascii="Arial" w:cs="Arial" w:eastAsia="Arial" w:hAnsi="Arial"/>
          <w:sz w:val="29"/>
          <w:szCs w:val="29"/>
          <w:color w:val="auto"/>
          <w:vertAlign w:val="superscript"/>
        </w:rPr>
        <w:t>16</w:t>
      </w:r>
      <w:r>
        <w:rPr>
          <w:rFonts w:ascii="Arial" w:cs="Arial" w:eastAsia="Arial" w:hAnsi="Arial"/>
          <w:sz w:val="18"/>
          <w:szCs w:val="18"/>
          <w:color w:val="auto"/>
        </w:rPr>
        <w:t xml:space="preserve"> A proactive assessment of the salient human rights risks, informed by meaningful stakeholder consultation, would mitigate adverse human rights impacts and threats to the company’s social license to operate. Pilgrim’s Code of Conduct does not currently provide details about how it considers its impacts on local communities,</w:t>
      </w:r>
      <w:r>
        <w:rPr>
          <w:rFonts w:ascii="Arial" w:cs="Arial" w:eastAsia="Arial" w:hAnsi="Arial"/>
          <w:sz w:val="29"/>
          <w:szCs w:val="29"/>
          <w:color w:val="auto"/>
          <w:vertAlign w:val="superscript"/>
        </w:rPr>
        <w:t>17</w:t>
      </w:r>
      <w:r>
        <w:rPr>
          <w:rFonts w:ascii="Arial" w:cs="Arial" w:eastAsia="Arial" w:hAnsi="Arial"/>
          <w:sz w:val="18"/>
          <w:szCs w:val="18"/>
          <w:color w:val="auto"/>
        </w:rPr>
        <w:t xml:space="preserve"> and the repeated occurrence of investigations, fines, and lawsuits indicates that broader steps need be taken to ensure that the company upholds these values (see chart on page 5 below).</w:t>
      </w:r>
    </w:p>
    <w:p>
      <w:pPr>
        <w:spacing w:after="0" w:line="206" w:lineRule="exact"/>
        <w:rPr>
          <w:rFonts w:ascii="Arial" w:cs="Arial" w:eastAsia="Arial" w:hAnsi="Arial"/>
          <w:sz w:val="18"/>
          <w:szCs w:val="18"/>
          <w:color w:val="auto"/>
        </w:rPr>
      </w:pPr>
    </w:p>
    <w:p>
      <w:pPr>
        <w:ind w:left="660" w:right="100" w:hanging="328"/>
        <w:spacing w:after="0" w:line="25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Risk of falling behind competitors. </w:t>
      </w:r>
      <w:r>
        <w:rPr>
          <w:rFonts w:ascii="Arial" w:cs="Arial" w:eastAsia="Arial" w:hAnsi="Arial"/>
          <w:sz w:val="17"/>
          <w:szCs w:val="17"/>
          <w:color w:val="auto"/>
        </w:rPr>
        <w:t>If Pilgrim's continues to fail to conduct HRDD, it risks falling further behind competitors. Indeed, Pilgrims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currently has one of the highest records of severe injury among animal processing companies, according to OSHA,</w:t>
      </w:r>
      <w:r>
        <w:rPr>
          <w:rFonts w:ascii="Arial" w:cs="Arial" w:eastAsia="Arial" w:hAnsi="Arial"/>
          <w:sz w:val="28"/>
          <w:szCs w:val="28"/>
          <w:color w:val="auto"/>
          <w:vertAlign w:val="superscript"/>
        </w:rPr>
        <w:t>18</w:t>
      </w:r>
      <w:r>
        <w:rPr>
          <w:rFonts w:ascii="Arial" w:cs="Arial" w:eastAsia="Arial" w:hAnsi="Arial"/>
          <w:sz w:val="17"/>
          <w:szCs w:val="17"/>
          <w:color w:val="auto"/>
        </w:rPr>
        <w:t xml:space="preserve"> making it imperative for the company to introduce safeguards. In addition to the HRDD efforts undertaken by agribusiness leaders Coca Cola, Nestle, and Mondelez in the examples cited above, in February 2019 Cargill committed to conducting HRDD on issues related to workplace safety, responsible supply chains, and respecting the human rights of extended communities.</w:t>
      </w:r>
      <w:r>
        <w:rPr>
          <w:rFonts w:ascii="Arial" w:cs="Arial" w:eastAsia="Arial" w:hAnsi="Arial"/>
          <w:sz w:val="28"/>
          <w:szCs w:val="28"/>
          <w:color w:val="auto"/>
          <w:vertAlign w:val="superscript"/>
        </w:rPr>
        <w:t>19</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8" w:lineRule="exact"/>
        <w:rPr>
          <w:sz w:val="20"/>
          <w:szCs w:val="20"/>
          <w:color w:val="auto"/>
        </w:rPr>
      </w:pPr>
    </w:p>
    <w:p>
      <w:pPr>
        <w:ind w:left="200" w:hanging="192"/>
        <w:spacing w:after="0"/>
        <w:tabs>
          <w:tab w:leader="none" w:pos="200"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https://www.change.org/p/shannon-whitfield-don-t-slaughter-our-</w:t>
      </w:r>
    </w:p>
    <w:p>
      <w:pPr>
        <w:spacing w:after="0" w:line="2" w:lineRule="exact"/>
        <w:rPr>
          <w:sz w:val="20"/>
          <w:szCs w:val="20"/>
          <w:color w:val="auto"/>
        </w:rPr>
      </w:pPr>
    </w:p>
    <w:p>
      <w:pPr>
        <w:ind w:right="1680"/>
        <w:spacing w:after="0" w:line="280" w:lineRule="auto"/>
        <w:rPr>
          <w:sz w:val="20"/>
          <w:szCs w:val="20"/>
          <w:color w:val="auto"/>
        </w:rPr>
      </w:pPr>
      <w:r>
        <w:rPr>
          <w:rFonts w:ascii="Arial" w:cs="Arial" w:eastAsia="Arial" w:hAnsi="Arial"/>
          <w:sz w:val="16"/>
          <w:szCs w:val="16"/>
          <w:u w:val="single" w:color="auto"/>
          <w:color w:val="auto"/>
        </w:rPr>
        <w:t>cove?recruiter=877445526&amp;utm_source=share_petition&amp;utm_medium=copylink&amp;utm_campaign=share_petition&amp;fbclid=IwAR3Z-GKdlt258ZpbEuhqsuMRU2KilyJCuhW_QLETn4FUM84pF_rie4TFVss.</w:t>
      </w:r>
    </w:p>
    <w:p>
      <w:pPr>
        <w:ind w:left="200" w:hanging="192"/>
        <w:spacing w:after="0" w:line="215" w:lineRule="auto"/>
        <w:tabs>
          <w:tab w:leader="none" w:pos="20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https://pilgrimspridecorporation.gcs-web.com/statFic-files/d7c83ec8-33aa-4254-b8f6-f4f2cc5f504e.</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https://www.osha.gov/severeinjury/index.html.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1"/>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https://www.cargill.com/doc/1432136529974/cargill-commitment-on-human-rights.pdf.</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4" w:name="page5"/>
    <w:bookmarkEnd w:id="4"/>
    <w:p>
      <w:pPr>
        <w:ind w:left="660" w:right="40" w:hanging="328"/>
        <w:spacing w:after="0" w:line="276" w:lineRule="auto"/>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Pilgrims’ parent company, JBS, is under global scrutiny for human rights and environmental violations. </w:t>
      </w:r>
      <w:r>
        <w:rPr>
          <w:rFonts w:ascii="Arial" w:cs="Arial" w:eastAsia="Arial" w:hAnsi="Arial"/>
          <w:sz w:val="16"/>
          <w:szCs w:val="16"/>
          <w:color w:val="auto"/>
        </w:rPr>
        <w:t>In March 2020 a new investigation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exposed a link between Pilgrim’s parent company JBS and a farm whose owner is implicated in massacres in the Amazon, with 9 people being murdered.</w:t>
      </w:r>
      <w:r>
        <w:rPr>
          <w:rFonts w:ascii="Arial" w:cs="Arial" w:eastAsia="Arial" w:hAnsi="Arial"/>
          <w:sz w:val="26"/>
          <w:szCs w:val="26"/>
          <w:color w:val="auto"/>
          <w:vertAlign w:val="superscript"/>
        </w:rPr>
        <w:t>20</w:t>
      </w:r>
      <w:r>
        <w:rPr>
          <w:rFonts w:ascii="Arial" w:cs="Arial" w:eastAsia="Arial" w:hAnsi="Arial"/>
          <w:sz w:val="16"/>
          <w:szCs w:val="16"/>
          <w:color w:val="auto"/>
        </w:rPr>
        <w:t xml:space="preserve"> In 2009 JBS committed to not buy from farms involved in illegal deforestation, yet in 2016 an audit by federal prosecutors found that 19% of its cattle was produced on land that had “evidence of irregularities,” and the company was fined and dropped from an agreement with Greenpeace.</w:t>
      </w:r>
      <w:r>
        <w:rPr>
          <w:rFonts w:ascii="Arial" w:cs="Arial" w:eastAsia="Arial" w:hAnsi="Arial"/>
          <w:sz w:val="26"/>
          <w:szCs w:val="26"/>
          <w:color w:val="auto"/>
          <w:vertAlign w:val="superscript"/>
        </w:rPr>
        <w:t>21</w:t>
      </w:r>
      <w:r>
        <w:rPr>
          <w:rFonts w:ascii="Arial" w:cs="Arial" w:eastAsia="Arial" w:hAnsi="Arial"/>
          <w:sz w:val="16"/>
          <w:szCs w:val="16"/>
          <w:color w:val="auto"/>
        </w:rPr>
        <w:t xml:space="preserve"> Such stories of human rights and environmental violations place the company at great risk of damage to its brand.</w:t>
      </w:r>
    </w:p>
    <w:p>
      <w:pPr>
        <w:spacing w:after="0" w:line="50" w:lineRule="exact"/>
        <w:rPr>
          <w:rFonts w:ascii="Arial" w:cs="Arial" w:eastAsia="Arial" w:hAnsi="Arial"/>
          <w:sz w:val="16"/>
          <w:szCs w:val="16"/>
          <w:color w:val="auto"/>
        </w:rPr>
      </w:pPr>
    </w:p>
    <w:p>
      <w:pPr>
        <w:ind w:left="180" w:hanging="172"/>
        <w:spacing w:after="0"/>
        <w:tabs>
          <w:tab w:leader="none" w:pos="1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Pilgrim’s Repeated Health &amp; Safety Violations Exact High Cost on Investors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 mentioned above, </w:t>
      </w:r>
      <w:r>
        <w:rPr>
          <w:rFonts w:ascii="Arial" w:cs="Arial" w:eastAsia="Arial" w:hAnsi="Arial"/>
          <w:sz w:val="16"/>
          <w:szCs w:val="16"/>
          <w:b w:val="1"/>
          <w:bCs w:val="1"/>
          <w:color w:val="auto"/>
        </w:rPr>
        <w:t>the company has an established record of severe, preventable injuries and death at poultry processing plants.</w:t>
      </w:r>
      <w:r>
        <w:rPr>
          <w:rFonts w:ascii="Arial" w:cs="Arial" w:eastAsia="Arial" w:hAnsi="Arial"/>
          <w:sz w:val="16"/>
          <w:szCs w:val="16"/>
          <w:color w:val="auto"/>
        </w:rPr>
        <w:t xml:space="preserve"> The recent death</w:t>
      </w:r>
    </w:p>
    <w:p>
      <w:pPr>
        <w:spacing w:after="0" w:line="50" w:lineRule="exact"/>
        <w:rPr>
          <w:sz w:val="20"/>
          <w:szCs w:val="20"/>
          <w:color w:val="auto"/>
        </w:rPr>
      </w:pPr>
    </w:p>
    <w:p>
      <w:pPr>
        <w:ind w:right="40"/>
        <w:spacing w:after="0" w:line="223" w:lineRule="auto"/>
        <w:rPr>
          <w:sz w:val="20"/>
          <w:szCs w:val="20"/>
          <w:color w:val="auto"/>
        </w:rPr>
      </w:pPr>
      <w:r>
        <w:rPr>
          <w:rFonts w:ascii="Arial" w:cs="Arial" w:eastAsia="Arial" w:hAnsi="Arial"/>
          <w:sz w:val="16"/>
          <w:szCs w:val="16"/>
          <w:color w:val="auto"/>
        </w:rPr>
        <w:t>of Gabriel Seth Brutley on January 6, 2020 at the Guntersville, Alabama plant</w:t>
      </w:r>
      <w:r>
        <w:rPr>
          <w:rFonts w:ascii="Arial" w:cs="Arial" w:eastAsia="Arial" w:hAnsi="Arial"/>
          <w:sz w:val="26"/>
          <w:szCs w:val="26"/>
          <w:color w:val="auto"/>
          <w:vertAlign w:val="superscript"/>
        </w:rPr>
        <w:t>22</w:t>
      </w:r>
      <w:r>
        <w:rPr>
          <w:rFonts w:ascii="Arial" w:cs="Arial" w:eastAsia="Arial" w:hAnsi="Arial"/>
          <w:sz w:val="16"/>
          <w:szCs w:val="16"/>
          <w:color w:val="auto"/>
        </w:rPr>
        <w:t xml:space="preserve"> builds on others - the death of Christopher Chin at the Canton, GA plant in October 2012</w:t>
      </w:r>
      <w:r>
        <w:rPr>
          <w:rFonts w:ascii="Arial" w:cs="Arial" w:eastAsia="Arial" w:hAnsi="Arial"/>
          <w:sz w:val="26"/>
          <w:szCs w:val="26"/>
          <w:color w:val="auto"/>
          <w:vertAlign w:val="superscript"/>
        </w:rPr>
        <w:t>23</w:t>
      </w:r>
      <w:r>
        <w:rPr>
          <w:rFonts w:ascii="Arial" w:cs="Arial" w:eastAsia="Arial" w:hAnsi="Arial"/>
          <w:sz w:val="16"/>
          <w:szCs w:val="16"/>
          <w:color w:val="auto"/>
        </w:rPr>
        <w:t xml:space="preserve"> along with a history of preventable documented injuries</w:t>
      </w:r>
      <w:r>
        <w:rPr>
          <w:rFonts w:ascii="Arial" w:cs="Arial" w:eastAsia="Arial" w:hAnsi="Arial"/>
          <w:sz w:val="26"/>
          <w:szCs w:val="26"/>
          <w:color w:val="auto"/>
          <w:vertAlign w:val="superscript"/>
        </w:rPr>
        <w:t>24</w:t>
      </w:r>
      <w:r>
        <w:rPr>
          <w:rFonts w:ascii="Arial" w:cs="Arial" w:eastAsia="Arial" w:hAnsi="Arial"/>
          <w:sz w:val="16"/>
          <w:szCs w:val="16"/>
          <w:color w:val="auto"/>
        </w:rPr>
        <w:t xml:space="preserve"> such as amputations, fractured elbows, head injuries, and fractured hips.</w:t>
      </w:r>
      <w:r>
        <w:rPr>
          <w:rFonts w:ascii="Arial" w:cs="Arial" w:eastAsia="Arial" w:hAnsi="Arial"/>
          <w:sz w:val="26"/>
          <w:szCs w:val="26"/>
          <w:color w:val="auto"/>
          <w:vertAlign w:val="superscript"/>
        </w:rPr>
        <w:t>25</w:t>
      </w:r>
      <w:r>
        <w:rPr>
          <w:rFonts w:ascii="Arial" w:cs="Arial" w:eastAsia="Arial" w:hAnsi="Arial"/>
          <w:sz w:val="16"/>
          <w:szCs w:val="16"/>
          <w:color w:val="auto"/>
        </w:rPr>
        <w:t xml:space="preserve"> The company has also been beset by allegations of </w:t>
      </w:r>
      <w:r>
        <w:rPr>
          <w:rFonts w:ascii="Arial" w:cs="Arial" w:eastAsia="Arial" w:hAnsi="Arial"/>
          <w:sz w:val="16"/>
          <w:szCs w:val="16"/>
          <w:b w:val="1"/>
          <w:bCs w:val="1"/>
          <w:color w:val="auto"/>
        </w:rPr>
        <w:t>ongoing exposure to dangerous chemicals and work-related injury.</w:t>
      </w:r>
      <w:r>
        <w:rPr>
          <w:rFonts w:ascii="Arial" w:cs="Arial" w:eastAsia="Arial" w:hAnsi="Arial"/>
          <w:sz w:val="16"/>
          <w:szCs w:val="16"/>
          <w:color w:val="auto"/>
        </w:rPr>
        <w:t xml:space="preserve"> Pilgrims has a history of repeat</w:t>
      </w:r>
    </w:p>
    <w:p>
      <w:pPr>
        <w:spacing w:after="0" w:line="2" w:lineRule="exact"/>
        <w:rPr>
          <w:sz w:val="20"/>
          <w:szCs w:val="20"/>
          <w:color w:val="auto"/>
        </w:rPr>
      </w:pPr>
    </w:p>
    <w:p>
      <w:pPr>
        <w:ind w:right="700"/>
        <w:spacing w:after="0" w:line="228" w:lineRule="auto"/>
        <w:rPr>
          <w:sz w:val="20"/>
          <w:szCs w:val="20"/>
          <w:color w:val="auto"/>
        </w:rPr>
      </w:pPr>
      <w:r>
        <w:rPr>
          <w:rFonts w:ascii="Arial" w:cs="Arial" w:eastAsia="Arial" w:hAnsi="Arial"/>
          <w:sz w:val="18"/>
          <w:szCs w:val="18"/>
          <w:color w:val="auto"/>
        </w:rPr>
        <w:t>citations from OSHA for exposing its workers to highly hazardous chemicals and other ongoing workplace dangers,</w:t>
      </w:r>
      <w:r>
        <w:rPr>
          <w:rFonts w:ascii="Arial" w:cs="Arial" w:eastAsia="Arial" w:hAnsi="Arial"/>
          <w:sz w:val="29"/>
          <w:szCs w:val="29"/>
          <w:color w:val="auto"/>
          <w:vertAlign w:val="superscript"/>
        </w:rPr>
        <w:t>26</w:t>
      </w:r>
      <w:r>
        <w:rPr>
          <w:rFonts w:ascii="Arial" w:cs="Arial" w:eastAsia="Arial" w:hAnsi="Arial"/>
          <w:sz w:val="18"/>
          <w:szCs w:val="18"/>
          <w:color w:val="auto"/>
        </w:rPr>
        <w:t xml:space="preserve"> including failing to provide sufficient hearing protection.</w:t>
      </w:r>
      <w:r>
        <w:rPr>
          <w:rFonts w:ascii="Arial" w:cs="Arial" w:eastAsia="Arial" w:hAnsi="Arial"/>
          <w:sz w:val="29"/>
          <w:szCs w:val="29"/>
          <w:color w:val="auto"/>
          <w:vertAlign w:val="superscript"/>
        </w:rPr>
        <w:t>27</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below is a sample of just some of these violations at Pilgrim’s properties, along with other controversies of note.</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50"/>
        </w:trPr>
        <w:tc>
          <w:tcPr>
            <w:tcW w:w="28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i w:val="1"/>
                <w:iCs w:val="1"/>
                <w:color w:val="auto"/>
              </w:rPr>
              <w:t>Human Rights Impact</w:t>
            </w:r>
          </w:p>
        </w:tc>
        <w:tc>
          <w:tcPr>
            <w:tcW w:w="28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i w:val="1"/>
                <w:iCs w:val="1"/>
                <w:color w:val="auto"/>
              </w:rPr>
              <w:t>Date</w:t>
            </w:r>
          </w:p>
        </w:tc>
        <w:tc>
          <w:tcPr>
            <w:tcW w:w="560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Financial Impact on Pilgrim's</w:t>
            </w:r>
          </w:p>
        </w:tc>
      </w:tr>
      <w:tr>
        <w:trPr>
          <w:trHeight w:val="215"/>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Death</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January 6, 2020</w:t>
            </w: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b w:val="1"/>
                <w:bCs w:val="1"/>
                <w:color w:val="auto"/>
                <w:w w:val="96"/>
              </w:rPr>
              <w:t xml:space="preserve">Not yet determined. </w:t>
            </w:r>
            <w:r>
              <w:rPr>
                <w:rFonts w:ascii="Arial" w:cs="Arial" w:eastAsia="Arial" w:hAnsi="Arial"/>
                <w:sz w:val="18"/>
                <w:szCs w:val="18"/>
                <w:color w:val="auto"/>
                <w:w w:val="96"/>
              </w:rPr>
              <w:t>Gabriel Seth Brutley, 35, died on the job during an</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elevator accident at Pilgrim’s Pride meat processing plant in Guntersville,</w:t>
            </w:r>
          </w:p>
        </w:tc>
      </w:tr>
      <w:tr>
        <w:trPr>
          <w:trHeight w:val="281"/>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ind w:left="20"/>
              <w:spacing w:after="0" w:line="280" w:lineRule="exact"/>
              <w:rPr>
                <w:sz w:val="20"/>
                <w:szCs w:val="20"/>
                <w:color w:val="auto"/>
              </w:rPr>
            </w:pPr>
            <w:r>
              <w:rPr>
                <w:rFonts w:ascii="Arial" w:cs="Arial" w:eastAsia="Arial" w:hAnsi="Arial"/>
                <w:sz w:val="18"/>
                <w:szCs w:val="18"/>
                <w:color w:val="auto"/>
              </w:rPr>
              <w:t>Alabama. OSHA is currently leading an investigation.</w:t>
            </w:r>
            <w:r>
              <w:rPr>
                <w:rFonts w:ascii="Arial" w:cs="Arial" w:eastAsia="Arial" w:hAnsi="Arial"/>
                <w:sz w:val="29"/>
                <w:szCs w:val="29"/>
                <w:color w:val="auto"/>
                <w:vertAlign w:val="superscript"/>
              </w:rPr>
              <w:t>28</w:t>
            </w:r>
          </w:p>
        </w:tc>
      </w:tr>
      <w:tr>
        <w:trPr>
          <w:trHeight w:val="425"/>
        </w:trPr>
        <w:tc>
          <w:tcPr>
            <w:tcW w:w="2840" w:type="dxa"/>
            <w:vAlign w:val="bottom"/>
          </w:tcPr>
          <w:p>
            <w:pPr>
              <w:jc w:val="right"/>
              <w:ind w:right="230"/>
              <w:spacing w:after="0"/>
              <w:rPr>
                <w:sz w:val="20"/>
                <w:szCs w:val="20"/>
                <w:color w:val="auto"/>
              </w:rPr>
            </w:pPr>
            <w:r>
              <w:rPr>
                <w:rFonts w:ascii="Arial" w:cs="Arial" w:eastAsia="Arial" w:hAnsi="Arial"/>
                <w:sz w:val="18"/>
                <w:szCs w:val="18"/>
                <w:color w:val="auto"/>
                <w:w w:val="89"/>
              </w:rPr>
              <w:t>____________________________</w:t>
            </w:r>
          </w:p>
        </w:tc>
        <w:tc>
          <w:tcPr>
            <w:tcW w:w="2800" w:type="dxa"/>
            <w:vAlign w:val="bottom"/>
          </w:tcPr>
          <w:p>
            <w:pPr>
              <w:spacing w:after="0"/>
              <w:rPr>
                <w:sz w:val="24"/>
                <w:szCs w:val="24"/>
                <w:color w:val="auto"/>
              </w:rPr>
            </w:pPr>
          </w:p>
        </w:tc>
        <w:tc>
          <w:tcPr>
            <w:tcW w:w="5600" w:type="dxa"/>
            <w:vAlign w:val="bottom"/>
          </w:tcPr>
          <w:p>
            <w:pPr>
              <w:spacing w:after="0"/>
              <w:rPr>
                <w:sz w:val="24"/>
                <w:szCs w:val="24"/>
                <w:color w:val="auto"/>
              </w:rPr>
            </w:pPr>
          </w:p>
        </w:tc>
      </w:tr>
    </w:tbl>
    <w:p>
      <w:pPr>
        <w:spacing w:after="0" w:line="242" w:lineRule="exact"/>
        <w:rPr>
          <w:sz w:val="20"/>
          <w:szCs w:val="20"/>
          <w:color w:val="auto"/>
        </w:rPr>
      </w:pPr>
    </w:p>
    <w:p>
      <w:pPr>
        <w:ind w:right="980" w:firstLine="8"/>
        <w:spacing w:after="0" w:line="232" w:lineRule="auto"/>
        <w:tabs>
          <w:tab w:leader="none" w:pos="195"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https://www.theguardian.com/environment/2020/mar/03/worlds-biggest-meat-company-linked-to-brutal-massacre-in-amazon?CMP=twt_a-environment_b-gdneco.</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3"/>
        </w:numPr>
        <w:rPr>
          <w:rFonts w:ascii="Arial" w:cs="Arial" w:eastAsia="Arial" w:hAnsi="Arial"/>
          <w:sz w:val="25"/>
          <w:szCs w:val="25"/>
          <w:color w:val="auto"/>
          <w:vertAlign w:val="superscript"/>
        </w:rPr>
      </w:pPr>
      <w:r>
        <w:rPr>
          <w:rFonts w:ascii="Arial" w:cs="Arial" w:eastAsia="Arial" w:hAnsi="Arial"/>
          <w:sz w:val="15"/>
          <w:szCs w:val="15"/>
          <w:color w:val="auto"/>
        </w:rPr>
        <w:t>https://www.theguardian.com/environment/2020/mar/03/brazilian-meat-companies-linked-to-farmer-charged-with-massacre-in-amazon.</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color w:val="auto"/>
        </w:rPr>
        <w:t>h</w:t>
      </w:r>
      <w:r>
        <w:rPr>
          <w:rFonts w:ascii="Arial" w:cs="Arial" w:eastAsia="Arial" w:hAnsi="Arial"/>
          <w:sz w:val="15"/>
          <w:szCs w:val="15"/>
          <w:u w:val="single" w:color="auto"/>
          <w:color w:val="auto"/>
        </w:rPr>
        <w:t>ttp://www.sandmountainreporter.com/free_share/article_74521162-30bd-11ea-b1d0-6f36f74e1693.html.</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3"/>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https://www.osha.gov/news/newsreleases/region4/04162013</w:t>
      </w:r>
      <w:r>
        <w:rPr>
          <w:rFonts w:ascii="Arial" w:cs="Arial" w:eastAsia="Arial" w:hAnsi="Arial"/>
          <w:sz w:val="15"/>
          <w:szCs w:val="15"/>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https://www.nelp.org/news-releases/two-worker-deaths-january-show-need-reforms-u-s-poultry-slaughterhouses/.</w:t>
      </w:r>
    </w:p>
    <w:p>
      <w:pPr>
        <w:ind w:left="200" w:hanging="192"/>
        <w:spacing w:after="0" w:line="220" w:lineRule="auto"/>
        <w:tabs>
          <w:tab w:leader="none" w:pos="20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https://www.osha.gov/news/newsreleases/region3/09222015.</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4"/>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https://coshnetwork.org/sites/default/files/uploads/Pilgrim%27s_Pride_Record_RK.pdf.</w:t>
      </w:r>
    </w:p>
    <w:p>
      <w:pPr>
        <w:spacing w:after="0" w:line="42" w:lineRule="exact"/>
        <w:rPr>
          <w:rFonts w:ascii="Arial" w:cs="Arial" w:eastAsia="Arial" w:hAnsi="Arial"/>
          <w:sz w:val="23"/>
          <w:szCs w:val="23"/>
          <w:color w:val="auto"/>
          <w:vertAlign w:val="superscript"/>
        </w:rPr>
      </w:pPr>
    </w:p>
    <w:p>
      <w:pPr>
        <w:ind w:right="900" w:firstLine="8"/>
        <w:spacing w:after="0" w:line="224" w:lineRule="auto"/>
        <w:tabs>
          <w:tab w:leader="none" w:pos="195"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https://www.greeleytribune.com/news/local/greeley-based-pilgrims-pride-cited-by-osha-for-22-health-and-safety-violations-at-florida-plant/</w:t>
      </w:r>
      <w:r>
        <w:rPr>
          <w:rFonts w:ascii="Arial" w:cs="Arial" w:eastAsia="Arial" w:hAnsi="Arial"/>
          <w:sz w:val="15"/>
          <w:szCs w:val="15"/>
          <w:color w:val="auto"/>
        </w:rPr>
        <w:t>; https://advancedsafetyhealth.com/blog/pilgrims-pride-corporation-workers-exposed-to-hazardous-chemicals/</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https://www.greeleytribune.com/news/local/greeley-based-pilgrims-pride-cited-by-osha-for-22-health-and-safety-violations-at-florida-plant/</w:t>
      </w:r>
      <w:r>
        <w:rPr>
          <w:rFonts w:ascii="Arial" w:cs="Arial" w:eastAsia="Arial" w:hAnsi="Arial"/>
          <w:sz w:val="15"/>
          <w:szCs w:val="15"/>
          <w:color w:val="auto"/>
        </w:rPr>
        <w:t>.</w:t>
      </w:r>
    </w:p>
    <w:p>
      <w:pPr>
        <w:spacing w:after="0" w:line="42" w:lineRule="exact"/>
        <w:rPr>
          <w:rFonts w:ascii="Arial" w:cs="Arial" w:eastAsia="Arial" w:hAnsi="Arial"/>
          <w:sz w:val="25"/>
          <w:szCs w:val="25"/>
          <w:color w:val="auto"/>
          <w:vertAlign w:val="superscript"/>
        </w:rPr>
      </w:pPr>
    </w:p>
    <w:p>
      <w:pPr>
        <w:ind w:right="180" w:firstLine="8"/>
        <w:spacing w:after="0" w:line="224" w:lineRule="auto"/>
        <w:tabs>
          <w:tab w:leader="none" w:pos="195" w:val="left"/>
        </w:tabs>
        <w:numPr>
          <w:ilvl w:val="0"/>
          <w:numId w:val="14"/>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https://www.waff.com/2020/01/08/alabama-department-labor-pilgrims-pride-fatal-accident-lift-not-regulated-by-state/</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https://www.nelp.org/news-releases/two-worker-deaths-january-show-need-reforms-u-s-poultry-slaughterhouses/.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Labor Rights: </w:t>
            </w:r>
            <w:r>
              <w:rPr>
                <w:rFonts w:ascii="Arial" w:cs="Arial" w:eastAsia="Arial" w:hAnsi="Arial"/>
                <w:sz w:val="18"/>
                <w:szCs w:val="18"/>
                <w:color w:val="auto"/>
              </w:rPr>
              <w:t>Disability</w:t>
            </w:r>
          </w:p>
        </w:tc>
        <w:tc>
          <w:tcPr>
            <w:tcW w:w="2800" w:type="dxa"/>
            <w:vAlign w:val="bottom"/>
            <w:tcBorders>
              <w:top w:val="single" w:sz="8" w:color="auto"/>
              <w:right w:val="single" w:sz="8" w:color="auto"/>
            </w:tcBorders>
          </w:tcPr>
          <w:p>
            <w:pPr>
              <w:spacing w:after="0" w:line="230" w:lineRule="exact"/>
              <w:rPr>
                <w:sz w:val="20"/>
                <w:szCs w:val="20"/>
                <w:color w:val="auto"/>
              </w:rPr>
            </w:pPr>
            <w:r>
              <w:rPr>
                <w:rFonts w:ascii="Arial" w:cs="Arial" w:eastAsia="Arial" w:hAnsi="Arial"/>
                <w:sz w:val="16"/>
                <w:szCs w:val="16"/>
                <w:color w:val="auto"/>
              </w:rPr>
              <w:t>May 16, 2019</w:t>
            </w:r>
            <w:r>
              <w:rPr>
                <w:rFonts w:ascii="Arial" w:cs="Arial" w:eastAsia="Arial" w:hAnsi="Arial"/>
                <w:sz w:val="26"/>
                <w:szCs w:val="26"/>
                <w:color w:val="auto"/>
                <w:vertAlign w:val="superscript"/>
              </w:rPr>
              <w:t>29</w:t>
            </w:r>
          </w:p>
        </w:tc>
        <w:tc>
          <w:tcPr>
            <w:tcW w:w="56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333333"/>
              </w:rPr>
              <w:t xml:space="preserve">$50,000 fine. </w:t>
            </w:r>
            <w:r>
              <w:rPr>
                <w:rFonts w:ascii="Arial" w:cs="Arial" w:eastAsia="Arial" w:hAnsi="Arial"/>
                <w:sz w:val="18"/>
                <w:szCs w:val="18"/>
                <w:color w:val="333333"/>
              </w:rPr>
              <w:t>Pilgrim’s paid a $50,000 settlement in a U.S. Equal</w:t>
            </w:r>
          </w:p>
        </w:tc>
      </w:tr>
      <w:tr>
        <w:trPr>
          <w:trHeight w:val="215"/>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Discrimination</w:t>
            </w: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333333"/>
                <w:w w:val="92"/>
              </w:rPr>
              <w:t>Employment Opportunity Commission (EEOC) lawsuit. The EEOC charged</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333333"/>
                <w:w w:val="95"/>
              </w:rPr>
              <w:t>Pilgrim’s with violating federal law (Americans with Disabilities Act) when</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333333"/>
                <w:w w:val="94"/>
              </w:rPr>
              <w:t>it terminated an employee with a disabling heart condition who took leave</w:t>
            </w:r>
          </w:p>
        </w:tc>
      </w:tr>
      <w:tr>
        <w:trPr>
          <w:trHeight w:val="281"/>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5600" w:type="dxa"/>
            <w:vAlign w:val="bottom"/>
            <w:tcBorders>
              <w:bottom w:val="single" w:sz="8" w:color="auto"/>
              <w:right w:val="single" w:sz="8" w:color="auto"/>
            </w:tcBorders>
          </w:tcPr>
          <w:p>
            <w:pPr>
              <w:ind w:left="20"/>
              <w:spacing w:after="0" w:line="280" w:lineRule="exact"/>
              <w:rPr>
                <w:sz w:val="20"/>
                <w:szCs w:val="20"/>
                <w:color w:val="auto"/>
              </w:rPr>
            </w:pPr>
            <w:r>
              <w:rPr>
                <w:rFonts w:ascii="Arial" w:cs="Arial" w:eastAsia="Arial" w:hAnsi="Arial"/>
                <w:sz w:val="18"/>
                <w:szCs w:val="18"/>
                <w:color w:val="333333"/>
              </w:rPr>
              <w:t>for medical treatment.</w:t>
            </w:r>
            <w:r>
              <w:rPr>
                <w:rFonts w:ascii="Arial" w:cs="Arial" w:eastAsia="Arial" w:hAnsi="Arial"/>
                <w:sz w:val="29"/>
                <w:szCs w:val="29"/>
                <w:color w:val="333333"/>
                <w:vertAlign w:val="superscript"/>
              </w:rPr>
              <w:t>30</w:t>
            </w:r>
          </w:p>
        </w:tc>
      </w:tr>
      <w:tr>
        <w:trPr>
          <w:trHeight w:val="205"/>
        </w:trPr>
        <w:tc>
          <w:tcPr>
            <w:tcW w:w="2840" w:type="dxa"/>
            <w:vAlign w:val="bottom"/>
            <w:tcBorders>
              <w:left w:val="single" w:sz="8" w:color="auto"/>
              <w:right w:val="single" w:sz="8" w:color="auto"/>
            </w:tcBorders>
          </w:tcPr>
          <w:p>
            <w:pPr>
              <w:ind w:left="40"/>
              <w:spacing w:after="0" w:line="205" w:lineRule="exact"/>
              <w:rPr>
                <w:sz w:val="20"/>
                <w:szCs w:val="20"/>
                <w:color w:val="auto"/>
              </w:rPr>
            </w:pPr>
            <w:r>
              <w:rPr>
                <w:rFonts w:ascii="Arial" w:cs="Arial" w:eastAsia="Arial" w:hAnsi="Arial"/>
                <w:sz w:val="18"/>
                <w:szCs w:val="18"/>
                <w:b w:val="1"/>
                <w:bCs w:val="1"/>
                <w:color w:val="auto"/>
              </w:rPr>
              <w:t xml:space="preserve">Labor Rights: </w:t>
            </w:r>
            <w:r>
              <w:rPr>
                <w:rFonts w:ascii="Arial" w:cs="Arial" w:eastAsia="Arial" w:hAnsi="Arial"/>
                <w:sz w:val="18"/>
                <w:szCs w:val="18"/>
                <w:color w:val="auto"/>
              </w:rPr>
              <w:t>Worker</w:t>
            </w:r>
          </w:p>
        </w:tc>
        <w:tc>
          <w:tcPr>
            <w:tcW w:w="280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w w:val="95"/>
              </w:rPr>
              <w:t>2015, 2016, 2017, 2018, 2019, 2020</w:t>
            </w:r>
          </w:p>
        </w:tc>
        <w:tc>
          <w:tcPr>
            <w:tcW w:w="560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w w:val="92"/>
              </w:rPr>
              <w:t>At the Guntersville Pilgrim’s Pride location alone, OSHA has recorded three</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Health and Safety Violations,</w:t>
            </w: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 xml:space="preserve">violations in ten years, totaling </w:t>
            </w:r>
            <w:r>
              <w:rPr>
                <w:rFonts w:ascii="Arial" w:cs="Arial" w:eastAsia="Arial" w:hAnsi="Arial"/>
                <w:sz w:val="18"/>
                <w:szCs w:val="18"/>
                <w:b w:val="1"/>
                <w:bCs w:val="1"/>
                <w:color w:val="auto"/>
              </w:rPr>
              <w:t>$20,270</w:t>
            </w:r>
            <w:r>
              <w:rPr>
                <w:rFonts w:ascii="Arial" w:cs="Arial" w:eastAsia="Arial" w:hAnsi="Arial"/>
                <w:sz w:val="18"/>
                <w:szCs w:val="18"/>
                <w:color w:val="auto"/>
              </w:rPr>
              <w:t>:</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Guntersville</w:t>
            </w: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$1,400</w:t>
            </w:r>
            <w:r>
              <w:rPr>
                <w:rFonts w:ascii="Arial" w:cs="Arial" w:eastAsia="Arial" w:hAnsi="Arial"/>
                <w:sz w:val="18"/>
                <w:szCs w:val="18"/>
                <w:color w:val="auto"/>
              </w:rPr>
              <w:t xml:space="preserve"> for Hazard communications (2015)</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$5,610</w:t>
            </w:r>
            <w:r>
              <w:rPr>
                <w:rFonts w:ascii="Arial" w:cs="Arial" w:eastAsia="Arial" w:hAnsi="Arial"/>
                <w:sz w:val="18"/>
                <w:szCs w:val="18"/>
                <w:color w:val="auto"/>
              </w:rPr>
              <w:t xml:space="preserve"> control of hazardous energy (2016)</w:t>
            </w:r>
          </w:p>
        </w:tc>
      </w:tr>
      <w:tr>
        <w:trPr>
          <w:trHeight w:val="224"/>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1"/>
              </w:rPr>
              <w:t xml:space="preserve">●   </w:t>
            </w:r>
            <w:r>
              <w:rPr>
                <w:rFonts w:ascii="Arial" w:cs="Arial" w:eastAsia="Arial" w:hAnsi="Arial"/>
                <w:sz w:val="18"/>
                <w:szCs w:val="18"/>
                <w:b w:val="1"/>
                <w:bCs w:val="1"/>
                <w:color w:val="auto"/>
                <w:w w:val="91"/>
              </w:rPr>
              <w:t>$13,260</w:t>
            </w:r>
            <w:r>
              <w:rPr>
                <w:rFonts w:ascii="Arial" w:cs="Arial" w:eastAsia="Arial" w:hAnsi="Arial"/>
                <w:sz w:val="18"/>
                <w:szCs w:val="18"/>
                <w:color w:val="auto"/>
                <w:w w:val="91"/>
              </w:rPr>
              <w:t xml:space="preserve"> process safety management of highly hazardous chemicals</w:t>
            </w:r>
          </w:p>
        </w:tc>
      </w:tr>
      <w:tr>
        <w:trPr>
          <w:trHeight w:val="253"/>
        </w:trPr>
        <w:tc>
          <w:tcPr>
            <w:tcW w:w="2840" w:type="dxa"/>
            <w:vAlign w:val="bottom"/>
            <w:tcBorders>
              <w:left w:val="single" w:sz="8" w:color="auto"/>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ind w:left="660"/>
              <w:spacing w:after="0" w:line="252" w:lineRule="exact"/>
              <w:rPr>
                <w:sz w:val="20"/>
                <w:szCs w:val="20"/>
                <w:color w:val="auto"/>
              </w:rPr>
            </w:pPr>
            <w:r>
              <w:rPr>
                <w:rFonts w:ascii="Arial" w:cs="Arial" w:eastAsia="Arial" w:hAnsi="Arial"/>
                <w:sz w:val="18"/>
                <w:szCs w:val="18"/>
                <w:color w:val="auto"/>
              </w:rPr>
              <w:t>(2019)</w:t>
            </w:r>
            <w:r>
              <w:rPr>
                <w:rFonts w:ascii="Arial" w:cs="Arial" w:eastAsia="Arial" w:hAnsi="Arial"/>
                <w:sz w:val="29"/>
                <w:szCs w:val="29"/>
                <w:color w:val="auto"/>
                <w:vertAlign w:val="superscript"/>
              </w:rPr>
              <w:t>31</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In addition, the following incidents at the Guntersville plant had adverse</w:t>
            </w:r>
          </w:p>
        </w:tc>
      </w:tr>
      <w:tr>
        <w:trPr>
          <w:trHeight w:val="249"/>
        </w:trPr>
        <w:tc>
          <w:tcPr>
            <w:tcW w:w="2840" w:type="dxa"/>
            <w:vAlign w:val="bottom"/>
            <w:tcBorders>
              <w:left w:val="single" w:sz="8" w:color="auto"/>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5600" w:type="dxa"/>
            <w:vAlign w:val="bottom"/>
            <w:tcBorders>
              <w:right w:val="single" w:sz="8" w:color="auto"/>
            </w:tcBorders>
          </w:tcPr>
          <w:p>
            <w:pPr>
              <w:ind w:left="20"/>
              <w:spacing w:after="0" w:line="249" w:lineRule="exact"/>
              <w:rPr>
                <w:sz w:val="20"/>
                <w:szCs w:val="20"/>
                <w:color w:val="auto"/>
              </w:rPr>
            </w:pPr>
            <w:r>
              <w:rPr>
                <w:rFonts w:ascii="Arial" w:cs="Arial" w:eastAsia="Arial" w:hAnsi="Arial"/>
                <w:sz w:val="17"/>
                <w:szCs w:val="17"/>
                <w:color w:val="auto"/>
              </w:rPr>
              <w:t>social ramifications:</w:t>
            </w:r>
            <w:r>
              <w:rPr>
                <w:rFonts w:ascii="Arial" w:cs="Arial" w:eastAsia="Arial" w:hAnsi="Arial"/>
                <w:sz w:val="28"/>
                <w:szCs w:val="28"/>
                <w:color w:val="auto"/>
                <w:vertAlign w:val="superscript"/>
              </w:rPr>
              <w:t>32</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9"/>
              </w:rPr>
              <w:t xml:space="preserve">●   </w:t>
            </w:r>
            <w:r>
              <w:rPr>
                <w:rFonts w:ascii="Arial" w:cs="Arial" w:eastAsia="Arial" w:hAnsi="Arial"/>
                <w:sz w:val="18"/>
                <w:szCs w:val="18"/>
                <w:b w:val="1"/>
                <w:bCs w:val="1"/>
                <w:color w:val="auto"/>
                <w:w w:val="99"/>
              </w:rPr>
              <w:t>Citation issued.</w:t>
            </w:r>
            <w:r>
              <w:rPr>
                <w:rFonts w:ascii="Arial" w:cs="Arial" w:eastAsia="Arial" w:hAnsi="Arial"/>
                <w:sz w:val="18"/>
                <w:szCs w:val="18"/>
                <w:color w:val="auto"/>
                <w:w w:val="99"/>
              </w:rPr>
              <w:t xml:space="preserve"> February 4, 2016: An employee’s thumb was</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4"/>
              </w:rPr>
              <w:t>amputated working in the saddle pack department taking product</w:t>
            </w:r>
          </w:p>
        </w:tc>
      </w:tr>
      <w:tr>
        <w:trPr>
          <w:trHeight w:val="212"/>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9"/>
              </w:rPr>
              <w:t>off the test line. OSHA inspected and issued citation 1125252.</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Employee injury.</w:t>
            </w:r>
            <w:r>
              <w:rPr>
                <w:rFonts w:ascii="Arial" w:cs="Arial" w:eastAsia="Arial" w:hAnsi="Arial"/>
                <w:sz w:val="18"/>
                <w:szCs w:val="18"/>
                <w:color w:val="auto"/>
              </w:rPr>
              <w:t xml:space="preserve"> An employee tripped on the leg of a stand,</w:t>
            </w:r>
          </w:p>
        </w:tc>
      </w:tr>
      <w:tr>
        <w:trPr>
          <w:trHeight w:val="212"/>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fracturing his left hip and being hospitalized, July 17, 2017.</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Health inspection.</w:t>
            </w:r>
            <w:r>
              <w:rPr>
                <w:rFonts w:ascii="Arial" w:cs="Arial" w:eastAsia="Arial" w:hAnsi="Arial"/>
                <w:sz w:val="18"/>
                <w:szCs w:val="18"/>
                <w:color w:val="auto"/>
              </w:rPr>
              <w:t xml:space="preserve"> After a complaint was filed regarding the</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2"/>
              </w:rPr>
              <w:t>handling of dangerous chemicals used in the plant - including a fire</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3"/>
              </w:rPr>
              <w:t>and ammonia leak - OSHA investigated “handling of chemicals” in</w:t>
            </w:r>
          </w:p>
        </w:tc>
      </w:tr>
      <w:tr>
        <w:trPr>
          <w:trHeight w:val="212"/>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December 2018.</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8"/>
              </w:rPr>
              <w:t xml:space="preserve">●   </w:t>
            </w:r>
            <w:r>
              <w:rPr>
                <w:rFonts w:ascii="Arial" w:cs="Arial" w:eastAsia="Arial" w:hAnsi="Arial"/>
                <w:sz w:val="18"/>
                <w:szCs w:val="18"/>
                <w:b w:val="1"/>
                <w:bCs w:val="1"/>
                <w:color w:val="auto"/>
                <w:w w:val="98"/>
              </w:rPr>
              <w:t>Citation and health inspection.</w:t>
            </w:r>
            <w:r>
              <w:rPr>
                <w:rFonts w:ascii="Arial" w:cs="Arial" w:eastAsia="Arial" w:hAnsi="Arial"/>
                <w:sz w:val="18"/>
                <w:szCs w:val="18"/>
                <w:color w:val="auto"/>
                <w:w w:val="98"/>
              </w:rPr>
              <w:t xml:space="preserve"> In February 2019 OSHA cited</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8"/>
              </w:rPr>
              <w:t>Pilgrim’s for not following OSHA’s process safety management</w:t>
            </w:r>
          </w:p>
        </w:tc>
      </w:tr>
      <w:tr>
        <w:trPr>
          <w:trHeight w:val="212"/>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rPr>
              <w:t>standards about the safe handling of chemicals.</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560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w w:val="94"/>
              </w:rPr>
              <w:t xml:space="preserve">●   </w:t>
            </w:r>
            <w:r>
              <w:rPr>
                <w:rFonts w:ascii="Arial" w:cs="Arial" w:eastAsia="Arial" w:hAnsi="Arial"/>
                <w:sz w:val="18"/>
                <w:szCs w:val="18"/>
                <w:b w:val="1"/>
                <w:bCs w:val="1"/>
                <w:color w:val="auto"/>
                <w:w w:val="94"/>
              </w:rPr>
              <w:t>Employee injury.</w:t>
            </w:r>
            <w:r>
              <w:rPr>
                <w:rFonts w:ascii="Arial" w:cs="Arial" w:eastAsia="Arial" w:hAnsi="Arial"/>
                <w:sz w:val="18"/>
                <w:szCs w:val="18"/>
                <w:color w:val="auto"/>
                <w:w w:val="94"/>
              </w:rPr>
              <w:t xml:space="preserve"> An employee fell 8 feet and sustained fractured</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5600" w:type="dxa"/>
            <w:vAlign w:val="bottom"/>
            <w:tcBorders>
              <w:right w:val="single" w:sz="8" w:color="auto"/>
            </w:tcBorders>
          </w:tcPr>
          <w:p>
            <w:pPr>
              <w:ind w:left="660"/>
              <w:spacing w:after="0"/>
              <w:rPr>
                <w:sz w:val="20"/>
                <w:szCs w:val="20"/>
                <w:color w:val="auto"/>
              </w:rPr>
            </w:pPr>
            <w:r>
              <w:rPr>
                <w:rFonts w:ascii="Arial" w:cs="Arial" w:eastAsia="Arial" w:hAnsi="Arial"/>
                <w:sz w:val="18"/>
                <w:szCs w:val="18"/>
                <w:color w:val="auto"/>
                <w:w w:val="98"/>
              </w:rPr>
              <w:t>elbow, left wrist, head injury, and was hospitalized October 15,</w:t>
            </w:r>
          </w:p>
        </w:tc>
      </w:tr>
      <w:tr>
        <w:trPr>
          <w:trHeight w:val="237"/>
        </w:trPr>
        <w:tc>
          <w:tcPr>
            <w:tcW w:w="2840" w:type="dxa"/>
            <w:vAlign w:val="bottom"/>
            <w:tcBorders>
              <w:left w:val="single" w:sz="8" w:color="auto"/>
              <w:bottom w:val="single" w:sz="8" w:color="auto"/>
              <w:right w:val="single" w:sz="8" w:color="auto"/>
            </w:tcBorders>
          </w:tcPr>
          <w:p>
            <w:pPr>
              <w:spacing w:after="0"/>
              <w:rPr>
                <w:sz w:val="20"/>
                <w:szCs w:val="20"/>
                <w:color w:val="auto"/>
              </w:rPr>
            </w:pPr>
          </w:p>
        </w:tc>
        <w:tc>
          <w:tcPr>
            <w:tcW w:w="2800" w:type="dxa"/>
            <w:vAlign w:val="bottom"/>
            <w:tcBorders>
              <w:bottom w:val="single" w:sz="8" w:color="auto"/>
              <w:right w:val="single" w:sz="8" w:color="auto"/>
            </w:tcBorders>
          </w:tcPr>
          <w:p>
            <w:pPr>
              <w:spacing w:after="0"/>
              <w:rPr>
                <w:sz w:val="20"/>
                <w:szCs w:val="20"/>
                <w:color w:val="auto"/>
              </w:rPr>
            </w:pPr>
          </w:p>
        </w:tc>
        <w:tc>
          <w:tcPr>
            <w:tcW w:w="560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2019. OSHA did not inspect.</w:t>
            </w: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w w:val="99"/>
              </w:rPr>
              <w:t>____________________________</w:t>
            </w:r>
          </w:p>
        </w:tc>
        <w:tc>
          <w:tcPr>
            <w:tcW w:w="2800" w:type="dxa"/>
            <w:vAlign w:val="bottom"/>
          </w:tcPr>
          <w:p>
            <w:pPr>
              <w:spacing w:after="0"/>
              <w:rPr>
                <w:sz w:val="24"/>
                <w:szCs w:val="24"/>
                <w:color w:val="auto"/>
              </w:rPr>
            </w:pPr>
          </w:p>
        </w:tc>
        <w:tc>
          <w:tcPr>
            <w:tcW w:w="5600" w:type="dxa"/>
            <w:vAlign w:val="bottom"/>
          </w:tcPr>
          <w:p>
            <w:pPr>
              <w:spacing w:after="0"/>
              <w:rPr>
                <w:sz w:val="24"/>
                <w:szCs w:val="24"/>
                <w:color w:val="auto"/>
              </w:rPr>
            </w:pPr>
          </w:p>
        </w:tc>
      </w:tr>
    </w:tbl>
    <w:p>
      <w:pPr>
        <w:spacing w:after="0" w:line="185"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25"/>
          <w:szCs w:val="25"/>
          <w:color w:val="auto"/>
          <w:vertAlign w:val="superscript"/>
        </w:rPr>
      </w:pPr>
      <w:r>
        <w:rPr>
          <w:rFonts w:ascii="Arial" w:cs="Arial" w:eastAsia="Arial" w:hAnsi="Arial"/>
          <w:sz w:val="15"/>
          <w:szCs w:val="15"/>
          <w:color w:val="auto"/>
        </w:rPr>
        <w:t xml:space="preserve">Also see: </w:t>
      </w:r>
      <w:r>
        <w:rPr>
          <w:rFonts w:ascii="Arial" w:cs="Arial" w:eastAsia="Arial" w:hAnsi="Arial"/>
          <w:sz w:val="15"/>
          <w:szCs w:val="15"/>
          <w:u w:val="single" w:color="auto"/>
          <w:color w:val="auto"/>
        </w:rPr>
        <w:t>https://thehill.com/regulation/labor/256209-labor-department-files-discrimination-suit-against-us-chicken-supplier</w:t>
      </w:r>
      <w:r>
        <w:rPr>
          <w:rFonts w:ascii="Arial" w:cs="Arial" w:eastAsia="Arial" w:hAnsi="Arial"/>
          <w:sz w:val="15"/>
          <w:szCs w:val="15"/>
          <w:color w:val="auto"/>
        </w:rPr>
        <w:t>.</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5"/>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https://www.eeoc.gov/eeoc/newsroom/release/5-16-19b.cfm</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https://www.eeoc.gov/eeoc/newsroom/release/9-24-18i.cfm.</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5"/>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https://www.waff.com/2020/01/08/alabama-department-labor-pilgrims-pride-fatal-accident-lift-not-regulated-by-state/.</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5"/>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https://coshnetwork.org/sites/default/files/uploads/Pilgrim%27s_Pride_Record_RK.pdf.</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1"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Labor Rights: </w:t>
            </w:r>
            <w:r>
              <w:rPr>
                <w:rFonts w:ascii="Arial" w:cs="Arial" w:eastAsia="Arial" w:hAnsi="Arial"/>
                <w:sz w:val="18"/>
                <w:szCs w:val="18"/>
                <w:color w:val="auto"/>
              </w:rPr>
              <w:t>Worker</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w w:val="96"/>
              </w:rPr>
              <w:t>July 2011; January 22, 2013; March</w:t>
            </w:r>
          </w:p>
        </w:tc>
        <w:tc>
          <w:tcPr>
            <w:tcW w:w="20" w:type="dxa"/>
            <w:vAlign w:val="bottom"/>
            <w:tcBorders>
              <w:top w:val="single" w:sz="8" w:color="auto"/>
            </w:tcBorders>
          </w:tcPr>
          <w:p>
            <w:pPr>
              <w:spacing w:after="0"/>
              <w:rPr>
                <w:sz w:val="19"/>
                <w:szCs w:val="19"/>
                <w:color w:val="auto"/>
              </w:rPr>
            </w:pPr>
          </w:p>
        </w:tc>
        <w:tc>
          <w:tcPr>
            <w:tcW w:w="558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 xml:space="preserve">Proposed penalties of over $299,126. </w:t>
            </w:r>
            <w:r>
              <w:rPr>
                <w:rFonts w:ascii="Arial" w:cs="Arial" w:eastAsia="Arial" w:hAnsi="Arial"/>
                <w:sz w:val="18"/>
                <w:szCs w:val="18"/>
                <w:color w:val="auto"/>
                <w:w w:val="99"/>
              </w:rPr>
              <w:t>Enterprise, AL facility cited by</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Health and Safety</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3, 2010; February 11, 2019</w:t>
            </w:r>
          </w:p>
        </w:tc>
        <w:tc>
          <w:tcPr>
            <w:tcW w:w="20" w:type="dxa"/>
            <w:vAlign w:val="bottom"/>
          </w:tcPr>
          <w:p>
            <w:pPr>
              <w:spacing w:after="0"/>
              <w:rPr>
                <w:sz w:val="18"/>
                <w:szCs w:val="18"/>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2"/>
              </w:rPr>
              <w:t>OSHA for violations including excessive accumulation of grain dust where a</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housekeeping program exists but is not followed or maintained, allowing</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electrical components such as motors, outlets, drop lights and controller</w:t>
            </w:r>
          </w:p>
        </w:tc>
      </w:tr>
      <w:tr>
        <w:trPr>
          <w:trHeight w:val="249"/>
        </w:trPr>
        <w:tc>
          <w:tcPr>
            <w:tcW w:w="2840" w:type="dxa"/>
            <w:vAlign w:val="bottom"/>
            <w:tcBorders>
              <w:left w:val="single" w:sz="8" w:color="auto"/>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5580" w:type="dxa"/>
            <w:vAlign w:val="bottom"/>
            <w:tcBorders>
              <w:right w:val="single" w:sz="8" w:color="auto"/>
            </w:tcBorders>
            <w:gridSpan w:val="2"/>
          </w:tcPr>
          <w:p>
            <w:pPr>
              <w:spacing w:after="0" w:line="249" w:lineRule="exact"/>
              <w:rPr>
                <w:sz w:val="20"/>
                <w:szCs w:val="20"/>
                <w:color w:val="auto"/>
              </w:rPr>
            </w:pPr>
            <w:r>
              <w:rPr>
                <w:rFonts w:ascii="Arial" w:cs="Arial" w:eastAsia="Arial" w:hAnsi="Arial"/>
                <w:sz w:val="17"/>
                <w:szCs w:val="17"/>
                <w:color w:val="auto"/>
                <w:w w:val="98"/>
              </w:rPr>
              <w:t>equipment, causing the potential for a fire or explosion.</w:t>
            </w:r>
            <w:r>
              <w:rPr>
                <w:rFonts w:ascii="Arial" w:cs="Arial" w:eastAsia="Arial" w:hAnsi="Arial"/>
                <w:sz w:val="28"/>
                <w:szCs w:val="28"/>
                <w:color w:val="auto"/>
                <w:w w:val="98"/>
                <w:vertAlign w:val="superscript"/>
              </w:rPr>
              <w:t>33</w:t>
            </w:r>
            <w:r>
              <w:rPr>
                <w:rFonts w:ascii="Arial" w:cs="Arial" w:eastAsia="Arial" w:hAnsi="Arial"/>
                <w:sz w:val="17"/>
                <w:szCs w:val="17"/>
                <w:color w:val="auto"/>
                <w:w w:val="98"/>
              </w:rPr>
              <w:t xml:space="preserve"> </w:t>
            </w:r>
            <w:r>
              <w:rPr>
                <w:rFonts w:ascii="Arial" w:cs="Arial" w:eastAsia="Arial" w:hAnsi="Arial"/>
                <w:sz w:val="17"/>
                <w:szCs w:val="17"/>
                <w:b w:val="1"/>
                <w:bCs w:val="1"/>
                <w:color w:val="auto"/>
                <w:w w:val="98"/>
              </w:rPr>
              <w:t>$85,000 penalty</w:t>
            </w:r>
          </w:p>
        </w:tc>
      </w:tr>
      <w:tr>
        <w:trPr>
          <w:trHeight w:val="224"/>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w w:val="91"/>
              </w:rPr>
              <w:t xml:space="preserve">assessed </w:t>
            </w:r>
            <w:r>
              <w:rPr>
                <w:rFonts w:ascii="Arial" w:cs="Arial" w:eastAsia="Arial" w:hAnsi="Arial"/>
                <w:sz w:val="18"/>
                <w:szCs w:val="18"/>
                <w:color w:val="auto"/>
                <w:w w:val="91"/>
              </w:rPr>
              <w:t>for workplace safety and health violations at the De Queen facility</w:t>
            </w:r>
          </w:p>
        </w:tc>
      </w:tr>
      <w:tr>
        <w:trPr>
          <w:trHeight w:val="256"/>
        </w:trPr>
        <w:tc>
          <w:tcPr>
            <w:tcW w:w="2840" w:type="dxa"/>
            <w:vAlign w:val="bottom"/>
            <w:tcBorders>
              <w:left w:val="single" w:sz="8" w:color="auto"/>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tcBorders>
              <w:right w:val="single" w:sz="8" w:color="auto"/>
            </w:tcBorders>
            <w:gridSpan w:val="2"/>
          </w:tcPr>
          <w:p>
            <w:pPr>
              <w:spacing w:after="0" w:line="256" w:lineRule="exact"/>
              <w:rPr>
                <w:sz w:val="20"/>
                <w:szCs w:val="20"/>
                <w:color w:val="auto"/>
              </w:rPr>
            </w:pPr>
            <w:r>
              <w:rPr>
                <w:rFonts w:ascii="Arial" w:cs="Arial" w:eastAsia="Arial" w:hAnsi="Arial"/>
                <w:sz w:val="18"/>
                <w:szCs w:val="18"/>
                <w:color w:val="auto"/>
                <w:w w:val="91"/>
              </w:rPr>
              <w:t>in Arkansas,</w:t>
            </w:r>
            <w:r>
              <w:rPr>
                <w:rFonts w:ascii="Arial" w:cs="Arial" w:eastAsia="Arial" w:hAnsi="Arial"/>
                <w:sz w:val="29"/>
                <w:szCs w:val="29"/>
                <w:color w:val="auto"/>
                <w:w w:val="91"/>
                <w:vertAlign w:val="superscript"/>
              </w:rPr>
              <w:t>34</w:t>
            </w:r>
            <w:r>
              <w:rPr>
                <w:rFonts w:ascii="Arial" w:cs="Arial" w:eastAsia="Arial" w:hAnsi="Arial"/>
                <w:sz w:val="18"/>
                <w:szCs w:val="18"/>
                <w:color w:val="auto"/>
                <w:w w:val="91"/>
              </w:rPr>
              <w:t xml:space="preserve"> </w:t>
            </w:r>
            <w:r>
              <w:rPr>
                <w:rFonts w:ascii="Arial" w:cs="Arial" w:eastAsia="Arial" w:hAnsi="Arial"/>
                <w:sz w:val="18"/>
                <w:szCs w:val="18"/>
                <w:b w:val="1"/>
                <w:bCs w:val="1"/>
                <w:color w:val="auto"/>
                <w:w w:val="91"/>
              </w:rPr>
              <w:t>$74,826 paid</w:t>
            </w:r>
            <w:r>
              <w:rPr>
                <w:rFonts w:ascii="Arial" w:cs="Arial" w:eastAsia="Arial" w:hAnsi="Arial"/>
                <w:sz w:val="18"/>
                <w:szCs w:val="18"/>
                <w:color w:val="auto"/>
                <w:w w:val="91"/>
              </w:rPr>
              <w:t xml:space="preserve"> for violations in Waco, TX</w:t>
            </w:r>
            <w:r>
              <w:rPr>
                <w:rFonts w:ascii="Arial" w:cs="Arial" w:eastAsia="Arial" w:hAnsi="Arial"/>
                <w:sz w:val="29"/>
                <w:szCs w:val="29"/>
                <w:color w:val="auto"/>
                <w:w w:val="91"/>
                <w:vertAlign w:val="superscript"/>
              </w:rPr>
              <w:t>35</w:t>
            </w:r>
            <w:r>
              <w:rPr>
                <w:rFonts w:ascii="Arial" w:cs="Arial" w:eastAsia="Arial" w:hAnsi="Arial"/>
                <w:sz w:val="18"/>
                <w:szCs w:val="18"/>
                <w:color w:val="auto"/>
                <w:w w:val="91"/>
              </w:rPr>
              <w:t xml:space="preserve">, </w:t>
            </w:r>
            <w:r>
              <w:rPr>
                <w:rFonts w:ascii="Arial" w:cs="Arial" w:eastAsia="Arial" w:hAnsi="Arial"/>
                <w:sz w:val="18"/>
                <w:szCs w:val="18"/>
                <w:b w:val="1"/>
                <w:bCs w:val="1"/>
                <w:color w:val="auto"/>
                <w:w w:val="91"/>
              </w:rPr>
              <w:t>$72,500 paid</w:t>
            </w:r>
            <w:r>
              <w:rPr>
                <w:rFonts w:ascii="Arial" w:cs="Arial" w:eastAsia="Arial" w:hAnsi="Arial"/>
                <w:sz w:val="18"/>
                <w:szCs w:val="18"/>
                <w:color w:val="auto"/>
                <w:w w:val="91"/>
              </w:rPr>
              <w:t xml:space="preserve"> for</w:t>
            </w:r>
          </w:p>
        </w:tc>
      </w:tr>
      <w:tr>
        <w:trPr>
          <w:trHeight w:val="253"/>
        </w:trPr>
        <w:tc>
          <w:tcPr>
            <w:tcW w:w="2840" w:type="dxa"/>
            <w:vAlign w:val="bottom"/>
            <w:tcBorders>
              <w:left w:val="single" w:sz="8" w:color="auto"/>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5580" w:type="dxa"/>
            <w:vAlign w:val="bottom"/>
            <w:tcBorders>
              <w:right w:val="single" w:sz="8" w:color="auto"/>
            </w:tcBorders>
            <w:gridSpan w:val="2"/>
          </w:tcPr>
          <w:p>
            <w:pPr>
              <w:spacing w:after="0" w:line="252" w:lineRule="exact"/>
              <w:rPr>
                <w:sz w:val="20"/>
                <w:szCs w:val="20"/>
                <w:color w:val="auto"/>
              </w:rPr>
            </w:pPr>
            <w:r>
              <w:rPr>
                <w:rFonts w:ascii="Arial" w:cs="Arial" w:eastAsia="Arial" w:hAnsi="Arial"/>
                <w:sz w:val="18"/>
                <w:szCs w:val="18"/>
                <w:color w:val="auto"/>
              </w:rPr>
              <w:t>violations in Russellville, AL in 2010,</w:t>
            </w:r>
            <w:r>
              <w:rPr>
                <w:rFonts w:ascii="Arial" w:cs="Arial" w:eastAsia="Arial" w:hAnsi="Arial"/>
                <w:sz w:val="29"/>
                <w:szCs w:val="29"/>
                <w:color w:val="auto"/>
                <w:vertAlign w:val="superscript"/>
              </w:rPr>
              <w:t>36</w:t>
            </w:r>
            <w:r>
              <w:rPr>
                <w:rFonts w:ascii="Arial" w:cs="Arial" w:eastAsia="Arial" w:hAnsi="Arial"/>
                <w:sz w:val="18"/>
                <w:szCs w:val="18"/>
                <w:color w:val="auto"/>
              </w:rPr>
              <w:t xml:space="preserve"> cited for 29 safety violations</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including ammonia odors, trip and struck-by hazards, cuts and stabbing</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injuries, unmarked fire exits, unsafe batteries that exposed workers to acid</w:t>
            </w:r>
          </w:p>
        </w:tc>
      </w:tr>
      <w:tr>
        <w:trPr>
          <w:trHeight w:val="257"/>
        </w:trPr>
        <w:tc>
          <w:tcPr>
            <w:tcW w:w="2840" w:type="dxa"/>
            <w:vAlign w:val="bottom"/>
            <w:tcBorders>
              <w:left w:val="single" w:sz="8" w:color="auto"/>
              <w:right w:val="single" w:sz="8" w:color="auto"/>
            </w:tcBorders>
          </w:tcPr>
          <w:p>
            <w:pPr>
              <w:spacing w:after="0"/>
              <w:rPr>
                <w:sz w:val="22"/>
                <w:szCs w:val="22"/>
                <w:color w:val="auto"/>
              </w:rPr>
            </w:pPr>
          </w:p>
        </w:tc>
        <w:tc>
          <w:tcPr>
            <w:tcW w:w="28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tcBorders>
              <w:right w:val="single" w:sz="8" w:color="auto"/>
            </w:tcBorders>
            <w:gridSpan w:val="2"/>
          </w:tcPr>
          <w:p>
            <w:pPr>
              <w:spacing w:after="0" w:line="256" w:lineRule="exact"/>
              <w:rPr>
                <w:sz w:val="20"/>
                <w:szCs w:val="20"/>
                <w:color w:val="auto"/>
              </w:rPr>
            </w:pPr>
            <w:r>
              <w:rPr>
                <w:rFonts w:ascii="Arial" w:cs="Arial" w:eastAsia="Arial" w:hAnsi="Arial"/>
                <w:sz w:val="18"/>
                <w:szCs w:val="18"/>
                <w:color w:val="auto"/>
                <w:w w:val="93"/>
              </w:rPr>
              <w:t>burns and electric shock, and more;</w:t>
            </w:r>
            <w:r>
              <w:rPr>
                <w:rFonts w:ascii="Arial" w:cs="Arial" w:eastAsia="Arial" w:hAnsi="Arial"/>
                <w:sz w:val="29"/>
                <w:szCs w:val="29"/>
                <w:color w:val="auto"/>
                <w:w w:val="93"/>
                <w:vertAlign w:val="superscript"/>
              </w:rPr>
              <w:t>37</w:t>
            </w:r>
            <w:r>
              <w:rPr>
                <w:rFonts w:ascii="Arial" w:cs="Arial" w:eastAsia="Arial" w:hAnsi="Arial"/>
                <w:sz w:val="18"/>
                <w:szCs w:val="18"/>
                <w:color w:val="auto"/>
                <w:w w:val="93"/>
              </w:rPr>
              <w:t xml:space="preserve"> </w:t>
            </w:r>
            <w:r>
              <w:rPr>
                <w:rFonts w:ascii="Arial" w:cs="Arial" w:eastAsia="Arial" w:hAnsi="Arial"/>
                <w:sz w:val="18"/>
                <w:szCs w:val="18"/>
                <w:b w:val="1"/>
                <w:bCs w:val="1"/>
                <w:color w:val="auto"/>
                <w:w w:val="93"/>
              </w:rPr>
              <w:t>$66,300</w:t>
            </w:r>
            <w:r>
              <w:rPr>
                <w:rFonts w:ascii="Arial" w:cs="Arial" w:eastAsia="Arial" w:hAnsi="Arial"/>
                <w:sz w:val="18"/>
                <w:szCs w:val="18"/>
                <w:color w:val="auto"/>
                <w:w w:val="93"/>
              </w:rPr>
              <w:t xml:space="preserve"> for violations in Lexington,</w:t>
            </w:r>
          </w:p>
        </w:tc>
      </w:tr>
      <w:tr>
        <w:trPr>
          <w:trHeight w:val="253"/>
        </w:trPr>
        <w:tc>
          <w:tcPr>
            <w:tcW w:w="2840" w:type="dxa"/>
            <w:vAlign w:val="bottom"/>
            <w:tcBorders>
              <w:left w:val="single" w:sz="8" w:color="auto"/>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5580" w:type="dxa"/>
            <w:vAlign w:val="bottom"/>
            <w:tcBorders>
              <w:right w:val="single" w:sz="8" w:color="auto"/>
            </w:tcBorders>
            <w:gridSpan w:val="2"/>
          </w:tcPr>
          <w:p>
            <w:pPr>
              <w:spacing w:after="0" w:line="252" w:lineRule="exact"/>
              <w:rPr>
                <w:sz w:val="20"/>
                <w:szCs w:val="20"/>
                <w:color w:val="auto"/>
              </w:rPr>
            </w:pPr>
            <w:r>
              <w:rPr>
                <w:rFonts w:ascii="Arial" w:cs="Arial" w:eastAsia="Arial" w:hAnsi="Arial"/>
                <w:sz w:val="18"/>
                <w:szCs w:val="18"/>
                <w:color w:val="auto"/>
              </w:rPr>
              <w:t>GA in 2019.</w:t>
            </w:r>
            <w:r>
              <w:rPr>
                <w:rFonts w:ascii="Arial" w:cs="Arial" w:eastAsia="Arial" w:hAnsi="Arial"/>
                <w:sz w:val="29"/>
                <w:szCs w:val="29"/>
                <w:color w:val="auto"/>
                <w:vertAlign w:val="superscript"/>
              </w:rPr>
              <w:t>38</w:t>
            </w:r>
            <w:r>
              <w:rPr>
                <w:rFonts w:ascii="Arial" w:cs="Arial" w:eastAsia="Arial" w:hAnsi="Arial"/>
                <w:sz w:val="18"/>
                <w:szCs w:val="18"/>
                <w:color w:val="auto"/>
              </w:rPr>
              <w:t xml:space="preserve"> A litany of other violations listed here:</w:t>
            </w:r>
          </w:p>
        </w:tc>
      </w:tr>
      <w:tr>
        <w:trPr>
          <w:trHeight w:val="190"/>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580" w:type="dxa"/>
            <w:vAlign w:val="bottom"/>
            <w:tcBorders>
              <w:right w:val="single" w:sz="8" w:color="auto"/>
            </w:tcBorders>
            <w:gridSpan w:val="2"/>
          </w:tcPr>
          <w:p>
            <w:pPr>
              <w:spacing w:after="0" w:line="190" w:lineRule="exact"/>
              <w:rPr>
                <w:sz w:val="20"/>
                <w:szCs w:val="20"/>
                <w:color w:val="auto"/>
              </w:rPr>
            </w:pPr>
            <w:r>
              <w:rPr>
                <w:rFonts w:ascii="Arial" w:cs="Arial" w:eastAsia="Arial" w:hAnsi="Arial"/>
                <w:sz w:val="18"/>
                <w:szCs w:val="18"/>
                <w:color w:val="1155CC"/>
                <w:w w:val="99"/>
              </w:rPr>
              <w:t>https://violationtracker.goodjobsfirst.org/prog.php?parent=jbs&amp;page=1</w:t>
            </w: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100" w:type="dxa"/>
            <w:vAlign w:val="bottom"/>
            <w:tcBorders>
              <w:top w:val="single" w:sz="8" w:color="1155CC"/>
              <w:bottom w:val="single" w:sz="8" w:color="auto"/>
            </w:tcBorders>
          </w:tcPr>
          <w:p>
            <w:pPr>
              <w:spacing w:after="0"/>
              <w:rPr>
                <w:sz w:val="2"/>
                <w:szCs w:val="2"/>
                <w:color w:val="auto"/>
              </w:rPr>
            </w:pPr>
          </w:p>
        </w:tc>
        <w:tc>
          <w:tcPr>
            <w:tcW w:w="480" w:type="dxa"/>
            <w:vAlign w:val="bottom"/>
            <w:tcBorders>
              <w:bottom w:val="single" w:sz="8" w:color="auto"/>
              <w:right w:val="single" w:sz="8" w:color="auto"/>
            </w:tcBorders>
          </w:tcPr>
          <w:p>
            <w:pPr>
              <w:spacing w:after="0"/>
              <w:rPr>
                <w:sz w:val="2"/>
                <w:szCs w:val="2"/>
                <w:color w:val="auto"/>
              </w:rPr>
            </w:pPr>
          </w:p>
        </w:tc>
      </w:tr>
      <w:tr>
        <w:trPr>
          <w:trHeight w:val="209"/>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Environment: </w:t>
            </w:r>
            <w:r>
              <w:rPr>
                <w:rFonts w:ascii="Arial" w:cs="Arial" w:eastAsia="Arial" w:hAnsi="Arial"/>
                <w:sz w:val="18"/>
                <w:szCs w:val="18"/>
                <w:color w:val="auto"/>
              </w:rPr>
              <w:t>Air pollution</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May 19, 2016; September 4, 2019</w:t>
            </w:r>
          </w:p>
        </w:tc>
        <w:tc>
          <w:tcPr>
            <w:tcW w:w="20" w:type="dxa"/>
            <w:vAlign w:val="bottom"/>
          </w:tcPr>
          <w:p>
            <w:pPr>
              <w:spacing w:after="0"/>
              <w:rPr>
                <w:sz w:val="18"/>
                <w:szCs w:val="18"/>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rPr>
              <w:t xml:space="preserve">$65,850 </w:t>
            </w:r>
            <w:r>
              <w:rPr>
                <w:rFonts w:ascii="Arial" w:cs="Arial" w:eastAsia="Arial" w:hAnsi="Arial"/>
                <w:sz w:val="18"/>
                <w:szCs w:val="18"/>
                <w:color w:val="auto"/>
              </w:rPr>
              <w:t>fine for violation paid to Environmental Protection Agency in</w:t>
            </w:r>
          </w:p>
        </w:tc>
      </w:tr>
      <w:tr>
        <w:trPr>
          <w:trHeight w:val="257"/>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and odor violations</w:t>
            </w:r>
          </w:p>
        </w:tc>
        <w:tc>
          <w:tcPr>
            <w:tcW w:w="2800" w:type="dxa"/>
            <w:vAlign w:val="bottom"/>
            <w:tcBorders>
              <w:right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5580" w:type="dxa"/>
            <w:vAlign w:val="bottom"/>
            <w:tcBorders>
              <w:right w:val="single" w:sz="8" w:color="auto"/>
            </w:tcBorders>
            <w:gridSpan w:val="2"/>
          </w:tcPr>
          <w:p>
            <w:pPr>
              <w:spacing w:after="0" w:line="256" w:lineRule="exact"/>
              <w:rPr>
                <w:sz w:val="20"/>
                <w:szCs w:val="20"/>
                <w:color w:val="auto"/>
              </w:rPr>
            </w:pPr>
            <w:r>
              <w:rPr>
                <w:rFonts w:ascii="Arial" w:cs="Arial" w:eastAsia="Arial" w:hAnsi="Arial"/>
                <w:sz w:val="18"/>
                <w:szCs w:val="18"/>
                <w:color w:val="auto"/>
                <w:w w:val="94"/>
              </w:rPr>
              <w:t>2016.</w:t>
            </w:r>
            <w:r>
              <w:rPr>
                <w:rFonts w:ascii="Arial" w:cs="Arial" w:eastAsia="Arial" w:hAnsi="Arial"/>
                <w:sz w:val="29"/>
                <w:szCs w:val="29"/>
                <w:color w:val="auto"/>
                <w:w w:val="94"/>
                <w:vertAlign w:val="superscript"/>
              </w:rPr>
              <w:t>39</w:t>
            </w:r>
            <w:r>
              <w:rPr>
                <w:rFonts w:ascii="Arial" w:cs="Arial" w:eastAsia="Arial" w:hAnsi="Arial"/>
                <w:sz w:val="18"/>
                <w:szCs w:val="18"/>
                <w:color w:val="auto"/>
                <w:w w:val="94"/>
              </w:rPr>
              <w:t xml:space="preserve"> </w:t>
            </w:r>
            <w:r>
              <w:rPr>
                <w:rFonts w:ascii="Arial" w:cs="Arial" w:eastAsia="Arial" w:hAnsi="Arial"/>
                <w:sz w:val="18"/>
                <w:szCs w:val="18"/>
                <w:b w:val="1"/>
                <w:bCs w:val="1"/>
                <w:color w:val="auto"/>
                <w:w w:val="94"/>
              </w:rPr>
              <w:t>Community tensions and a potential fine of $25,000.</w:t>
            </w:r>
            <w:r>
              <w:rPr>
                <w:rFonts w:ascii="Arial" w:cs="Arial" w:eastAsia="Arial" w:hAnsi="Arial"/>
                <w:sz w:val="18"/>
                <w:szCs w:val="18"/>
                <w:color w:val="auto"/>
                <w:w w:val="94"/>
              </w:rPr>
              <w:t xml:space="preserve"> Pilgrim’s</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plant in Chattanooga, TN was cited for odor violation and litter buildup, and</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3"/>
              </w:rPr>
              <w:t>Pilgrims risks fines up to $25,000 per day. In addition, the incident sparked</w:t>
            </w:r>
          </w:p>
        </w:tc>
      </w:tr>
      <w:tr>
        <w:trPr>
          <w:trHeight w:val="281"/>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gridSpan w:val="2"/>
          </w:tcPr>
          <w:p>
            <w:pPr>
              <w:spacing w:after="0" w:line="280" w:lineRule="exact"/>
              <w:rPr>
                <w:sz w:val="20"/>
                <w:szCs w:val="20"/>
                <w:color w:val="auto"/>
              </w:rPr>
            </w:pPr>
            <w:r>
              <w:rPr>
                <w:rFonts w:ascii="Arial" w:cs="Arial" w:eastAsia="Arial" w:hAnsi="Arial"/>
                <w:sz w:val="18"/>
                <w:szCs w:val="18"/>
                <w:color w:val="auto"/>
              </w:rPr>
              <w:t>tensions between the company and local community.</w:t>
            </w:r>
            <w:r>
              <w:rPr>
                <w:rFonts w:ascii="Arial" w:cs="Arial" w:eastAsia="Arial" w:hAnsi="Arial"/>
                <w:sz w:val="29"/>
                <w:szCs w:val="29"/>
                <w:color w:val="auto"/>
                <w:vertAlign w:val="superscript"/>
              </w:rPr>
              <w:t>40</w:t>
            </w:r>
          </w:p>
        </w:tc>
      </w:tr>
      <w:tr>
        <w:trPr>
          <w:trHeight w:val="209"/>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Death, Labor Rights:</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May 6, 2013</w:t>
            </w:r>
          </w:p>
        </w:tc>
        <w:tc>
          <w:tcPr>
            <w:tcW w:w="20" w:type="dxa"/>
            <w:vAlign w:val="bottom"/>
          </w:tcPr>
          <w:p>
            <w:pPr>
              <w:spacing w:after="0"/>
              <w:rPr>
                <w:sz w:val="18"/>
                <w:szCs w:val="18"/>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 xml:space="preserve">Death and 8 violations, carrying proposed $58,755 fine. </w:t>
            </w:r>
            <w:r>
              <w:rPr>
                <w:rFonts w:ascii="Arial" w:cs="Arial" w:eastAsia="Arial" w:hAnsi="Arial"/>
                <w:sz w:val="18"/>
                <w:szCs w:val="18"/>
                <w:color w:val="auto"/>
                <w:w w:val="97"/>
              </w:rPr>
              <w:t>OSHA cited</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Worker Health and Safety,</w:t>
            </w: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6"/>
              </w:rPr>
              <w:t>Pilgrim’s with 8 alleged serious and repeat safety violations following the</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Canton, GA.</w:t>
            </w: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4"/>
              </w:rPr>
              <w:t>death of Christopher Chin, a worker who became caught in an unguarded</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w w:val="97"/>
              </w:rPr>
              <w:t>hopper while attempting to remove a piece of cardboard at the facility in</w:t>
            </w:r>
          </w:p>
        </w:tc>
      </w:tr>
      <w:tr>
        <w:trPr>
          <w:trHeight w:val="281"/>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gridSpan w:val="2"/>
          </w:tcPr>
          <w:p>
            <w:pPr>
              <w:spacing w:after="0" w:line="280" w:lineRule="exact"/>
              <w:rPr>
                <w:sz w:val="20"/>
                <w:szCs w:val="20"/>
                <w:color w:val="auto"/>
              </w:rPr>
            </w:pPr>
            <w:r>
              <w:rPr>
                <w:rFonts w:ascii="Arial" w:cs="Arial" w:eastAsia="Arial" w:hAnsi="Arial"/>
                <w:sz w:val="18"/>
                <w:szCs w:val="18"/>
                <w:color w:val="auto"/>
              </w:rPr>
              <w:t>Canton, GA.</w:t>
            </w:r>
            <w:r>
              <w:rPr>
                <w:rFonts w:ascii="Arial" w:cs="Arial" w:eastAsia="Arial" w:hAnsi="Arial"/>
                <w:sz w:val="29"/>
                <w:szCs w:val="29"/>
                <w:color w:val="auto"/>
                <w:vertAlign w:val="superscript"/>
              </w:rPr>
              <w:t>41</w:t>
            </w:r>
          </w:p>
        </w:tc>
      </w:tr>
      <w:tr>
        <w:trPr>
          <w:trHeight w:val="426"/>
        </w:trPr>
        <w:tc>
          <w:tcPr>
            <w:tcW w:w="2840" w:type="dxa"/>
            <w:vAlign w:val="bottom"/>
          </w:tcPr>
          <w:p>
            <w:pPr>
              <w:spacing w:after="0"/>
              <w:rPr>
                <w:sz w:val="20"/>
                <w:szCs w:val="20"/>
                <w:color w:val="auto"/>
              </w:rPr>
            </w:pPr>
            <w:r>
              <w:rPr>
                <w:rFonts w:ascii="Arial" w:cs="Arial" w:eastAsia="Arial" w:hAnsi="Arial"/>
                <w:sz w:val="18"/>
                <w:szCs w:val="18"/>
                <w:color w:val="auto"/>
                <w:w w:val="99"/>
              </w:rPr>
              <w:t>____________________________</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185"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https://www.ehstoday.com/standards/osha/article/21918042/no-pride-in-safety-record-for-food-company</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https://violationtracker.goodjobsfirst.org/violation-tracker/ar-pilgrims-pride-corporation-0.</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https://violationtracker.goodjobsfirst.org/violation-tracker/tx-pilgrims.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https://violationtracker.goodjobsfirst.org/violation-tracker/al-pilgrims-pride-corporation-1.</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https://www.ehstoday.com/standards/osha/article/21918042/no-pride-in-safety-record-for-food-company.</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https://violationtracker.goodjobsfirst.org/violation-tracker/ga-pilgrims-pride-corporation-2.</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https://violationtracker.goodjobsfirst.org/violation-tracker/-pilgrims-pride-corporation.</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6"/>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https://newschannel9.com/news/local/pilgrims-pride-chicken-plant-in-chattanooga-cited-for-odor-violation-litter-buildup</w:t>
      </w:r>
    </w:p>
    <w:p>
      <w:pPr>
        <w:spacing w:after="0" w:line="42" w:lineRule="exact"/>
        <w:rPr>
          <w:rFonts w:ascii="Arial" w:cs="Arial" w:eastAsia="Arial" w:hAnsi="Arial"/>
          <w:sz w:val="23"/>
          <w:szCs w:val="23"/>
          <w:color w:val="auto"/>
          <w:vertAlign w:val="superscript"/>
        </w:rPr>
      </w:pPr>
    </w:p>
    <w:p>
      <w:pPr>
        <w:ind w:right="220" w:firstLine="8"/>
        <w:spacing w:after="0" w:line="224" w:lineRule="auto"/>
        <w:tabs>
          <w:tab w:leader="none" w:pos="195" w:val="left"/>
        </w:tabs>
        <w:numPr>
          <w:ilvl w:val="0"/>
          <w:numId w:val="16"/>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https://www.osha.gov/news/newsreleases/region4/04162013</w:t>
      </w:r>
      <w:r>
        <w:rPr>
          <w:rFonts w:ascii="Arial" w:cs="Arial" w:eastAsia="Arial" w:hAnsi="Arial"/>
          <w:sz w:val="15"/>
          <w:szCs w:val="15"/>
          <w:color w:val="auto"/>
        </w:rPr>
        <w:t>; https://www.nelp.org/news-releases/two-worker-deaths-january-show-need-reforms-u-s-poultry-slaughterhouses/.</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29"/>
        </w:trPr>
        <w:tc>
          <w:tcPr>
            <w:tcW w:w="28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Labor Rights: </w:t>
            </w:r>
            <w:r>
              <w:rPr>
                <w:rFonts w:ascii="Arial" w:cs="Arial" w:eastAsia="Arial" w:hAnsi="Arial"/>
                <w:sz w:val="18"/>
                <w:szCs w:val="18"/>
                <w:color w:val="auto"/>
              </w:rPr>
              <w:t>Worker</w:t>
            </w:r>
          </w:p>
        </w:tc>
        <w:tc>
          <w:tcPr>
            <w:tcW w:w="280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December 2012</w:t>
            </w:r>
          </w:p>
        </w:tc>
        <w:tc>
          <w:tcPr>
            <w:tcW w:w="20" w:type="dxa"/>
            <w:vAlign w:val="bottom"/>
            <w:tcBorders>
              <w:top w:val="single" w:sz="8" w:color="auto"/>
            </w:tcBorders>
          </w:tcPr>
          <w:p>
            <w:pPr>
              <w:spacing w:after="0"/>
              <w:rPr>
                <w:sz w:val="19"/>
                <w:szCs w:val="19"/>
                <w:color w:val="auto"/>
              </w:rPr>
            </w:pPr>
          </w:p>
        </w:tc>
        <w:tc>
          <w:tcPr>
            <w:tcW w:w="5580" w:type="dxa"/>
            <w:vAlign w:val="bottom"/>
            <w:tcBorders>
              <w:top w:val="single" w:sz="8" w:color="auto"/>
              <w:right w:val="single" w:sz="8" w:color="auto"/>
            </w:tcBorders>
            <w:gridSpan w:val="4"/>
          </w:tcPr>
          <w:p>
            <w:pPr>
              <w:spacing w:after="0"/>
              <w:rPr>
                <w:sz w:val="20"/>
                <w:szCs w:val="20"/>
                <w:color w:val="auto"/>
              </w:rPr>
            </w:pPr>
            <w:r>
              <w:rPr>
                <w:rFonts w:ascii="Arial" w:cs="Arial" w:eastAsia="Arial" w:hAnsi="Arial"/>
                <w:sz w:val="18"/>
                <w:szCs w:val="18"/>
                <w:b w:val="1"/>
                <w:bCs w:val="1"/>
                <w:color w:val="auto"/>
                <w:w w:val="89"/>
              </w:rPr>
              <w:t xml:space="preserve">Proposed penalties of $99,000. </w:t>
            </w:r>
            <w:r>
              <w:rPr>
                <w:rFonts w:ascii="Arial" w:cs="Arial" w:eastAsia="Arial" w:hAnsi="Arial"/>
                <w:sz w:val="18"/>
                <w:szCs w:val="18"/>
                <w:color w:val="auto"/>
                <w:w w:val="89"/>
              </w:rPr>
              <w:t>Cited by OSHA for 3 repeat and 4 proposed</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Health and Safety, Lufkin,</w:t>
            </w: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4"/>
              </w:rPr>
              <w:t>serious violations of process safety management related to toxic, reactive</w:t>
            </w:r>
          </w:p>
        </w:tc>
      </w:tr>
      <w:tr>
        <w:trPr>
          <w:trHeight w:val="284"/>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TX.</w:t>
            </w:r>
          </w:p>
        </w:tc>
        <w:tc>
          <w:tcPr>
            <w:tcW w:w="28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gridSpan w:val="4"/>
          </w:tcPr>
          <w:p>
            <w:pPr>
              <w:spacing w:after="0" w:line="284" w:lineRule="exact"/>
              <w:rPr>
                <w:sz w:val="20"/>
                <w:szCs w:val="20"/>
                <w:color w:val="auto"/>
              </w:rPr>
            </w:pPr>
            <w:r>
              <w:rPr>
                <w:rFonts w:ascii="Arial" w:cs="Arial" w:eastAsia="Arial" w:hAnsi="Arial"/>
                <w:sz w:val="18"/>
                <w:szCs w:val="18"/>
                <w:color w:val="auto"/>
              </w:rPr>
              <w:t>and flammable chemicals that could be fatal.</w:t>
            </w:r>
            <w:r>
              <w:rPr>
                <w:rFonts w:ascii="Arial" w:cs="Arial" w:eastAsia="Arial" w:hAnsi="Arial"/>
                <w:sz w:val="29"/>
                <w:szCs w:val="29"/>
                <w:color w:val="auto"/>
                <w:vertAlign w:val="superscript"/>
              </w:rPr>
              <w:t>42</w:t>
            </w:r>
          </w:p>
        </w:tc>
      </w:tr>
      <w:tr>
        <w:trPr>
          <w:trHeight w:val="209"/>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Labor Rights: </w:t>
            </w:r>
            <w:r>
              <w:rPr>
                <w:rFonts w:ascii="Arial" w:cs="Arial" w:eastAsia="Arial" w:hAnsi="Arial"/>
                <w:sz w:val="18"/>
                <w:szCs w:val="18"/>
                <w:color w:val="auto"/>
              </w:rPr>
              <w:t>Worker</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June 29, 2012</w:t>
            </w: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w w:val="90"/>
              </w:rPr>
              <w:t xml:space="preserve">$50,000: </w:t>
            </w:r>
            <w:r>
              <w:rPr>
                <w:rFonts w:ascii="Arial" w:cs="Arial" w:eastAsia="Arial" w:hAnsi="Arial"/>
                <w:sz w:val="18"/>
                <w:szCs w:val="18"/>
                <w:color w:val="auto"/>
                <w:w w:val="90"/>
              </w:rPr>
              <w:t>The U.S. Department of Labor entered into a settlement agreement</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Health and Safety Violation</w:t>
            </w: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with Pilgrim's Pride Corp. to resolve an investigation by the department's</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Occupational Safety and Health Administration into the company's</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termination of an employee who raised environmental complaints, in</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violation of the whistleblower provision of the Federal Water Pollution</w:t>
            </w:r>
          </w:p>
        </w:tc>
      </w:tr>
      <w:tr>
        <w:trPr>
          <w:trHeight w:val="281"/>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gridSpan w:val="4"/>
          </w:tcPr>
          <w:p>
            <w:pPr>
              <w:spacing w:after="0" w:line="280" w:lineRule="exact"/>
              <w:rPr>
                <w:sz w:val="20"/>
                <w:szCs w:val="20"/>
                <w:color w:val="auto"/>
              </w:rPr>
            </w:pPr>
            <w:r>
              <w:rPr>
                <w:rFonts w:ascii="Arial" w:cs="Arial" w:eastAsia="Arial" w:hAnsi="Arial"/>
                <w:sz w:val="18"/>
                <w:szCs w:val="18"/>
                <w:color w:val="auto"/>
              </w:rPr>
              <w:t>Control Act.</w:t>
            </w:r>
            <w:r>
              <w:rPr>
                <w:rFonts w:ascii="Arial" w:cs="Arial" w:eastAsia="Arial" w:hAnsi="Arial"/>
                <w:sz w:val="29"/>
                <w:szCs w:val="29"/>
                <w:color w:val="auto"/>
                <w:vertAlign w:val="superscript"/>
              </w:rPr>
              <w:t>43</w:t>
            </w:r>
          </w:p>
        </w:tc>
      </w:tr>
      <w:tr>
        <w:trPr>
          <w:trHeight w:val="209"/>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Labor Rights: </w:t>
            </w:r>
            <w:r>
              <w:rPr>
                <w:rFonts w:ascii="Arial" w:cs="Arial" w:eastAsia="Arial" w:hAnsi="Arial"/>
                <w:sz w:val="18"/>
                <w:szCs w:val="18"/>
                <w:color w:val="auto"/>
              </w:rPr>
              <w:t>Wage and</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March 4, 2010; April 2, 2010;</w:t>
            </w: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b w:val="1"/>
                <w:bCs w:val="1"/>
                <w:color w:val="auto"/>
                <w:w w:val="91"/>
              </w:rPr>
              <w:t xml:space="preserve">$1,001,438. </w:t>
            </w:r>
            <w:r>
              <w:rPr>
                <w:rFonts w:ascii="Arial" w:cs="Arial" w:eastAsia="Arial" w:hAnsi="Arial"/>
                <w:sz w:val="18"/>
                <w:szCs w:val="18"/>
                <w:color w:val="auto"/>
                <w:w w:val="91"/>
              </w:rPr>
              <w:t>Wage and hour violation, and violation of Fair Labor Standards</w:t>
            </w:r>
          </w:p>
        </w:tc>
      </w:tr>
      <w:tr>
        <w:trPr>
          <w:trHeight w:val="260"/>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Hour Violation</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April 19, 2008</w:t>
            </w:r>
          </w:p>
        </w:tc>
        <w:tc>
          <w:tcPr>
            <w:tcW w:w="20" w:type="dxa"/>
            <w:vAlign w:val="bottom"/>
          </w:tcPr>
          <w:p>
            <w:pPr>
              <w:spacing w:after="0"/>
              <w:rPr>
                <w:sz w:val="22"/>
                <w:szCs w:val="22"/>
                <w:color w:val="auto"/>
              </w:rPr>
            </w:pPr>
          </w:p>
        </w:tc>
        <w:tc>
          <w:tcPr>
            <w:tcW w:w="5580" w:type="dxa"/>
            <w:vAlign w:val="bottom"/>
            <w:tcBorders>
              <w:right w:val="single" w:sz="8" w:color="auto"/>
            </w:tcBorders>
            <w:gridSpan w:val="4"/>
          </w:tcPr>
          <w:p>
            <w:pPr>
              <w:spacing w:after="0" w:line="260" w:lineRule="exact"/>
              <w:rPr>
                <w:sz w:val="20"/>
                <w:szCs w:val="20"/>
                <w:color w:val="auto"/>
              </w:rPr>
            </w:pPr>
            <w:r>
              <w:rPr>
                <w:rFonts w:ascii="Arial" w:cs="Arial" w:eastAsia="Arial" w:hAnsi="Arial"/>
                <w:sz w:val="18"/>
                <w:szCs w:val="18"/>
                <w:color w:val="auto"/>
                <w:w w:val="91"/>
              </w:rPr>
              <w:t>Act.</w:t>
            </w:r>
            <w:r>
              <w:rPr>
                <w:rFonts w:ascii="Arial" w:cs="Arial" w:eastAsia="Arial" w:hAnsi="Arial"/>
                <w:sz w:val="29"/>
                <w:szCs w:val="29"/>
                <w:color w:val="auto"/>
                <w:w w:val="91"/>
                <w:vertAlign w:val="superscript"/>
              </w:rPr>
              <w:t>44</w:t>
            </w:r>
            <w:r>
              <w:rPr>
                <w:rFonts w:ascii="Arial" w:cs="Arial" w:eastAsia="Arial" w:hAnsi="Arial"/>
                <w:sz w:val="18"/>
                <w:szCs w:val="18"/>
                <w:color w:val="auto"/>
                <w:w w:val="91"/>
              </w:rPr>
              <w:t xml:space="preserve"> </w:t>
            </w:r>
            <w:r>
              <w:rPr>
                <w:rFonts w:ascii="Arial" w:cs="Arial" w:eastAsia="Arial" w:hAnsi="Arial"/>
                <w:sz w:val="18"/>
                <w:szCs w:val="18"/>
                <w:b w:val="1"/>
                <w:bCs w:val="1"/>
                <w:color w:val="auto"/>
                <w:w w:val="91"/>
              </w:rPr>
              <w:t>$10,000,000</w:t>
            </w:r>
            <w:r>
              <w:rPr>
                <w:rFonts w:ascii="Arial" w:cs="Arial" w:eastAsia="Arial" w:hAnsi="Arial"/>
                <w:sz w:val="18"/>
                <w:szCs w:val="18"/>
                <w:color w:val="auto"/>
                <w:w w:val="91"/>
              </w:rPr>
              <w:t xml:space="preserve"> private litigation regarding wage and hour violations and</w:t>
            </w:r>
          </w:p>
        </w:tc>
      </w:tr>
      <w:tr>
        <w:trPr>
          <w:trHeight w:val="253"/>
        </w:trPr>
        <w:tc>
          <w:tcPr>
            <w:tcW w:w="2840" w:type="dxa"/>
            <w:vAlign w:val="bottom"/>
            <w:tcBorders>
              <w:left w:val="single" w:sz="8" w:color="auto"/>
              <w:right w:val="single" w:sz="8" w:color="auto"/>
            </w:tcBorders>
          </w:tcPr>
          <w:p>
            <w:pPr>
              <w:spacing w:after="0"/>
              <w:rPr>
                <w:sz w:val="21"/>
                <w:szCs w:val="21"/>
                <w:color w:val="auto"/>
              </w:rPr>
            </w:pPr>
          </w:p>
        </w:tc>
        <w:tc>
          <w:tcPr>
            <w:tcW w:w="280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5580" w:type="dxa"/>
            <w:vAlign w:val="bottom"/>
            <w:tcBorders>
              <w:right w:val="single" w:sz="8" w:color="auto"/>
            </w:tcBorders>
            <w:gridSpan w:val="4"/>
          </w:tcPr>
          <w:p>
            <w:pPr>
              <w:spacing w:after="0" w:line="252" w:lineRule="exact"/>
              <w:rPr>
                <w:sz w:val="20"/>
                <w:szCs w:val="20"/>
                <w:color w:val="auto"/>
              </w:rPr>
            </w:pPr>
            <w:r>
              <w:rPr>
                <w:rFonts w:ascii="Arial" w:cs="Arial" w:eastAsia="Arial" w:hAnsi="Arial"/>
                <w:sz w:val="18"/>
                <w:szCs w:val="18"/>
                <w:color w:val="auto"/>
                <w:w w:val="93"/>
              </w:rPr>
              <w:t xml:space="preserve">overtime violations in 2010 and </w:t>
            </w:r>
            <w:r>
              <w:rPr>
                <w:rFonts w:ascii="Arial" w:cs="Arial" w:eastAsia="Arial" w:hAnsi="Arial"/>
                <w:sz w:val="18"/>
                <w:szCs w:val="18"/>
                <w:b w:val="1"/>
                <w:bCs w:val="1"/>
                <w:color w:val="auto"/>
                <w:w w:val="93"/>
              </w:rPr>
              <w:t>$140,614</w:t>
            </w:r>
            <w:r>
              <w:rPr>
                <w:rFonts w:ascii="Arial" w:cs="Arial" w:eastAsia="Arial" w:hAnsi="Arial"/>
                <w:sz w:val="18"/>
                <w:szCs w:val="18"/>
                <w:color w:val="auto"/>
                <w:w w:val="93"/>
              </w:rPr>
              <w:t xml:space="preserve"> in 2008.</w:t>
            </w:r>
            <w:r>
              <w:rPr>
                <w:rFonts w:ascii="Arial" w:cs="Arial" w:eastAsia="Arial" w:hAnsi="Arial"/>
                <w:sz w:val="29"/>
                <w:szCs w:val="29"/>
                <w:color w:val="auto"/>
                <w:w w:val="93"/>
                <w:vertAlign w:val="superscript"/>
              </w:rPr>
              <w:t>45</w:t>
            </w:r>
            <w:r>
              <w:rPr>
                <w:rFonts w:ascii="Arial" w:cs="Arial" w:eastAsia="Arial" w:hAnsi="Arial"/>
                <w:sz w:val="18"/>
                <w:szCs w:val="18"/>
                <w:color w:val="auto"/>
                <w:w w:val="93"/>
              </w:rPr>
              <w:t xml:space="preserve"> Many other violations</w:t>
            </w:r>
          </w:p>
        </w:tc>
      </w:tr>
      <w:tr>
        <w:trPr>
          <w:trHeight w:val="190"/>
        </w:trPr>
        <w:tc>
          <w:tcPr>
            <w:tcW w:w="2840" w:type="dxa"/>
            <w:vAlign w:val="bottom"/>
            <w:tcBorders>
              <w:left w:val="single" w:sz="8" w:color="auto"/>
              <w:right w:val="single" w:sz="8" w:color="auto"/>
            </w:tcBorders>
          </w:tcPr>
          <w:p>
            <w:pPr>
              <w:spacing w:after="0"/>
              <w:rPr>
                <w:sz w:val="16"/>
                <w:szCs w:val="16"/>
                <w:color w:val="auto"/>
              </w:rPr>
            </w:pPr>
          </w:p>
        </w:tc>
        <w:tc>
          <w:tcPr>
            <w:tcW w:w="280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5580" w:type="dxa"/>
            <w:vAlign w:val="bottom"/>
            <w:tcBorders>
              <w:right w:val="single" w:sz="8" w:color="auto"/>
            </w:tcBorders>
            <w:gridSpan w:val="4"/>
          </w:tcPr>
          <w:p>
            <w:pPr>
              <w:spacing w:after="0" w:line="190" w:lineRule="exact"/>
              <w:rPr>
                <w:sz w:val="20"/>
                <w:szCs w:val="20"/>
                <w:color w:val="auto"/>
              </w:rPr>
            </w:pPr>
            <w:r>
              <w:rPr>
                <w:rFonts w:ascii="Arial" w:cs="Arial" w:eastAsia="Arial" w:hAnsi="Arial"/>
                <w:sz w:val="18"/>
                <w:szCs w:val="18"/>
                <w:color w:val="auto"/>
              </w:rPr>
              <w:t xml:space="preserve">listed here: </w:t>
            </w:r>
            <w:r>
              <w:rPr>
                <w:rFonts w:ascii="Arial" w:cs="Arial" w:eastAsia="Arial" w:hAnsi="Arial"/>
                <w:sz w:val="18"/>
                <w:szCs w:val="18"/>
                <w:color w:val="1155CC"/>
              </w:rPr>
              <w:t>https://violationtracker.goodjobsfirst.org/prog.php?</w:t>
            </w:r>
          </w:p>
        </w:tc>
      </w:tr>
      <w:tr>
        <w:trPr>
          <w:trHeight w:val="20"/>
        </w:trPr>
        <w:tc>
          <w:tcPr>
            <w:tcW w:w="2840" w:type="dxa"/>
            <w:vAlign w:val="bottom"/>
            <w:tcBorders>
              <w:left w:val="single" w:sz="8" w:color="auto"/>
              <w:right w:val="single" w:sz="8" w:color="auto"/>
            </w:tcBorders>
          </w:tcPr>
          <w:p>
            <w:pPr>
              <w:spacing w:after="0" w:line="20" w:lineRule="exact"/>
              <w:rPr>
                <w:sz w:val="1"/>
                <w:szCs w:val="1"/>
                <w:color w:val="auto"/>
              </w:rPr>
            </w:pPr>
          </w:p>
        </w:tc>
        <w:tc>
          <w:tcPr>
            <w:tcW w:w="280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80" w:type="dxa"/>
            <w:vAlign w:val="bottom"/>
            <w:shd w:val="clear" w:color="auto" w:fill="1155CC"/>
          </w:tcPr>
          <w:p>
            <w:pPr>
              <w:spacing w:after="0" w:line="20" w:lineRule="exact"/>
              <w:rPr>
                <w:sz w:val="1"/>
                <w:szCs w:val="1"/>
                <w:color w:val="auto"/>
              </w:rPr>
            </w:pPr>
          </w:p>
        </w:tc>
        <w:tc>
          <w:tcPr>
            <w:tcW w:w="3080" w:type="dxa"/>
            <w:vAlign w:val="bottom"/>
            <w:shd w:val="clear" w:color="auto" w:fill="1155CC"/>
          </w:tcPr>
          <w:p>
            <w:pPr>
              <w:spacing w:after="0" w:line="20" w:lineRule="exact"/>
              <w:rPr>
                <w:sz w:val="1"/>
                <w:szCs w:val="1"/>
                <w:color w:val="auto"/>
              </w:rPr>
            </w:pPr>
          </w:p>
        </w:tc>
        <w:tc>
          <w:tcPr>
            <w:tcW w:w="1080" w:type="dxa"/>
            <w:vAlign w:val="bottom"/>
            <w:tcBorders>
              <w:right w:val="single" w:sz="8" w:color="auto"/>
            </w:tcBorders>
          </w:tcPr>
          <w:p>
            <w:pPr>
              <w:spacing w:after="0" w:line="20" w:lineRule="exact"/>
              <w:rPr>
                <w:sz w:val="1"/>
                <w:szCs w:val="1"/>
                <w:color w:val="auto"/>
              </w:rPr>
            </w:pPr>
          </w:p>
        </w:tc>
      </w:tr>
      <w:tr>
        <w:trPr>
          <w:trHeight w:val="196"/>
        </w:trPr>
        <w:tc>
          <w:tcPr>
            <w:tcW w:w="2840" w:type="dxa"/>
            <w:vAlign w:val="bottom"/>
            <w:tcBorders>
              <w:left w:val="single" w:sz="8" w:color="auto"/>
              <w:right w:val="single" w:sz="8" w:color="auto"/>
            </w:tcBorders>
          </w:tcPr>
          <w:p>
            <w:pPr>
              <w:spacing w:after="0"/>
              <w:rPr>
                <w:sz w:val="17"/>
                <w:szCs w:val="17"/>
                <w:color w:val="auto"/>
              </w:rPr>
            </w:pPr>
          </w:p>
        </w:tc>
        <w:tc>
          <w:tcPr>
            <w:tcW w:w="28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5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8"/>
                <w:szCs w:val="18"/>
                <w:color w:val="1155CC"/>
              </w:rPr>
              <w:t>parent=jbs&amp;page=1</w:t>
            </w:r>
          </w:p>
        </w:tc>
      </w:tr>
      <w:tr>
        <w:trPr>
          <w:trHeight w:val="34"/>
        </w:trPr>
        <w:tc>
          <w:tcPr>
            <w:tcW w:w="284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40" w:type="dxa"/>
            <w:vAlign w:val="bottom"/>
            <w:tcBorders>
              <w:top w:val="single" w:sz="8" w:color="1155CC"/>
              <w:bottom w:val="single" w:sz="8" w:color="auto"/>
            </w:tcBorders>
          </w:tcPr>
          <w:p>
            <w:pPr>
              <w:spacing w:after="0"/>
              <w:rPr>
                <w:sz w:val="2"/>
                <w:szCs w:val="2"/>
                <w:color w:val="auto"/>
              </w:rPr>
            </w:pPr>
          </w:p>
        </w:tc>
        <w:tc>
          <w:tcPr>
            <w:tcW w:w="580" w:type="dxa"/>
            <w:vAlign w:val="bottom"/>
            <w:tcBorders>
              <w:top w:val="single" w:sz="8" w:color="1155CC"/>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r>
      <w:tr>
        <w:trPr>
          <w:trHeight w:val="209"/>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Labor Rights: </w:t>
            </w:r>
            <w:r>
              <w:rPr>
                <w:rFonts w:ascii="Arial" w:cs="Arial" w:eastAsia="Arial" w:hAnsi="Arial"/>
                <w:sz w:val="18"/>
                <w:szCs w:val="18"/>
                <w:color w:val="auto"/>
              </w:rPr>
              <w:t>Work Visa</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December 30, 2009</w:t>
            </w: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 xml:space="preserve">$4,500,000. </w:t>
            </w:r>
            <w:r>
              <w:rPr>
                <w:rFonts w:ascii="Arial" w:cs="Arial" w:eastAsia="Arial" w:hAnsi="Arial"/>
                <w:sz w:val="18"/>
                <w:szCs w:val="18"/>
                <w:color w:val="auto"/>
                <w:w w:val="92"/>
              </w:rPr>
              <w:t>Pilgrim's Pride Corporation and Immigration was offered a non-</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Violations</w:t>
            </w: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2"/>
              </w:rPr>
              <w:t>prosecution agreement to resolve an investigation with respect to the hiring</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and employment of undocumented workers and its plants in the Eastern</w:t>
            </w:r>
          </w:p>
        </w:tc>
      </w:tr>
      <w:tr>
        <w:trPr>
          <w:trHeight w:val="281"/>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gridSpan w:val="4"/>
          </w:tcPr>
          <w:p>
            <w:pPr>
              <w:spacing w:after="0" w:line="280" w:lineRule="exact"/>
              <w:rPr>
                <w:sz w:val="20"/>
                <w:szCs w:val="20"/>
                <w:color w:val="auto"/>
              </w:rPr>
            </w:pPr>
            <w:r>
              <w:rPr>
                <w:rFonts w:ascii="Arial" w:cs="Arial" w:eastAsia="Arial" w:hAnsi="Arial"/>
                <w:sz w:val="18"/>
                <w:szCs w:val="18"/>
                <w:color w:val="auto"/>
              </w:rPr>
              <w:t>District of Texas.</w:t>
            </w:r>
            <w:r>
              <w:rPr>
                <w:rFonts w:ascii="Arial" w:cs="Arial" w:eastAsia="Arial" w:hAnsi="Arial"/>
                <w:sz w:val="29"/>
                <w:szCs w:val="29"/>
                <w:color w:val="auto"/>
                <w:vertAlign w:val="superscript"/>
              </w:rPr>
              <w:t>46</w:t>
            </w:r>
          </w:p>
        </w:tc>
      </w:tr>
      <w:tr>
        <w:trPr>
          <w:trHeight w:val="209"/>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Labor Rights: </w:t>
            </w:r>
            <w:r>
              <w:rPr>
                <w:rFonts w:ascii="Arial" w:cs="Arial" w:eastAsia="Arial" w:hAnsi="Arial"/>
                <w:sz w:val="18"/>
                <w:szCs w:val="18"/>
                <w:color w:val="auto"/>
              </w:rPr>
              <w:t>Hiring</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October 3, 2007</w:t>
            </w: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 xml:space="preserve">$1,000,000. </w:t>
            </w:r>
            <w:r>
              <w:rPr>
                <w:rFonts w:ascii="Arial" w:cs="Arial" w:eastAsia="Arial" w:hAnsi="Arial"/>
                <w:sz w:val="18"/>
                <w:szCs w:val="18"/>
                <w:color w:val="auto"/>
                <w:w w:val="97"/>
              </w:rPr>
              <w:t>Pilgrim's entered into two consent decrees to settle the US</w:t>
            </w:r>
          </w:p>
        </w:tc>
      </w:tr>
      <w:tr>
        <w:trPr>
          <w:trHeight w:val="216"/>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Discrimination</w:t>
            </w: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6"/>
              </w:rPr>
              <w:t>Department of Labor’s Office of Federal Contract Compliance Programs’</w:t>
            </w:r>
          </w:p>
        </w:tc>
      </w:tr>
      <w:tr>
        <w:trPr>
          <w:trHeight w:val="216"/>
        </w:trPr>
        <w:tc>
          <w:tcPr>
            <w:tcW w:w="2840" w:type="dxa"/>
            <w:vAlign w:val="bottom"/>
            <w:tcBorders>
              <w:left w:val="single" w:sz="8" w:color="auto"/>
              <w:right w:val="single" w:sz="8" w:color="auto"/>
            </w:tcBorders>
          </w:tcPr>
          <w:p>
            <w:pPr>
              <w:spacing w:after="0"/>
              <w:rPr>
                <w:sz w:val="18"/>
                <w:szCs w:val="18"/>
                <w:color w:val="auto"/>
              </w:rPr>
            </w:pPr>
          </w:p>
        </w:tc>
        <w:tc>
          <w:tcPr>
            <w:tcW w:w="280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w w:val="97"/>
              </w:rPr>
              <w:t>allegations that the company engaged in hiring discrimination based on</w:t>
            </w:r>
          </w:p>
        </w:tc>
      </w:tr>
      <w:tr>
        <w:trPr>
          <w:trHeight w:val="220"/>
        </w:trPr>
        <w:tc>
          <w:tcPr>
            <w:tcW w:w="2840" w:type="dxa"/>
            <w:vAlign w:val="bottom"/>
            <w:tcBorders>
              <w:left w:val="single" w:sz="8" w:color="auto"/>
              <w:right w:val="single" w:sz="8" w:color="auto"/>
            </w:tcBorders>
          </w:tcPr>
          <w:p>
            <w:pPr>
              <w:spacing w:after="0"/>
              <w:rPr>
                <w:sz w:val="19"/>
                <w:szCs w:val="19"/>
                <w:color w:val="auto"/>
              </w:rPr>
            </w:pPr>
          </w:p>
        </w:tc>
        <w:tc>
          <w:tcPr>
            <w:tcW w:w="280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580" w:type="dxa"/>
            <w:vAlign w:val="bottom"/>
            <w:tcBorders>
              <w:right w:val="single" w:sz="8" w:color="auto"/>
            </w:tcBorders>
            <w:gridSpan w:val="4"/>
          </w:tcPr>
          <w:p>
            <w:pPr>
              <w:spacing w:after="0"/>
              <w:rPr>
                <w:sz w:val="20"/>
                <w:szCs w:val="20"/>
                <w:color w:val="auto"/>
              </w:rPr>
            </w:pPr>
            <w:r>
              <w:rPr>
                <w:rFonts w:ascii="Arial" w:cs="Arial" w:eastAsia="Arial" w:hAnsi="Arial"/>
                <w:sz w:val="18"/>
                <w:szCs w:val="18"/>
                <w:color w:val="auto"/>
              </w:rPr>
              <w:t>gender, race and ethnicity over a two-year period against some 5,300</w:t>
            </w:r>
          </w:p>
        </w:tc>
      </w:tr>
      <w:tr>
        <w:trPr>
          <w:trHeight w:val="281"/>
        </w:trPr>
        <w:tc>
          <w:tcPr>
            <w:tcW w:w="2840" w:type="dxa"/>
            <w:vAlign w:val="bottom"/>
            <w:tcBorders>
              <w:left w:val="single" w:sz="8" w:color="auto"/>
              <w:bottom w:val="single" w:sz="8" w:color="auto"/>
              <w:right w:val="single" w:sz="8" w:color="auto"/>
            </w:tcBorders>
          </w:tcPr>
          <w:p>
            <w:pPr>
              <w:spacing w:after="0"/>
              <w:rPr>
                <w:sz w:val="24"/>
                <w:szCs w:val="24"/>
                <w:color w:val="auto"/>
              </w:rPr>
            </w:pPr>
          </w:p>
        </w:tc>
        <w:tc>
          <w:tcPr>
            <w:tcW w:w="280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580" w:type="dxa"/>
            <w:vAlign w:val="bottom"/>
            <w:tcBorders>
              <w:bottom w:val="single" w:sz="8" w:color="auto"/>
              <w:right w:val="single" w:sz="8" w:color="auto"/>
            </w:tcBorders>
            <w:gridSpan w:val="4"/>
          </w:tcPr>
          <w:p>
            <w:pPr>
              <w:spacing w:after="0" w:line="280" w:lineRule="exact"/>
              <w:rPr>
                <w:sz w:val="20"/>
                <w:szCs w:val="20"/>
                <w:color w:val="auto"/>
              </w:rPr>
            </w:pPr>
            <w:r>
              <w:rPr>
                <w:rFonts w:ascii="Arial" w:cs="Arial" w:eastAsia="Arial" w:hAnsi="Arial"/>
                <w:sz w:val="18"/>
                <w:szCs w:val="18"/>
                <w:color w:val="auto"/>
              </w:rPr>
              <w:t>applicants, a settlement of $1 million.</w:t>
            </w:r>
            <w:r>
              <w:rPr>
                <w:rFonts w:ascii="Arial" w:cs="Arial" w:eastAsia="Arial" w:hAnsi="Arial"/>
                <w:sz w:val="29"/>
                <w:szCs w:val="29"/>
                <w:color w:val="auto"/>
                <w:vertAlign w:val="superscript"/>
              </w:rPr>
              <w:t>47</w:t>
            </w:r>
          </w:p>
        </w:tc>
      </w:tr>
      <w:tr>
        <w:trPr>
          <w:trHeight w:val="210"/>
        </w:trPr>
        <w:tc>
          <w:tcPr>
            <w:tcW w:w="28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auto"/>
              </w:rPr>
              <w:t xml:space="preserve">Labor Rights: </w:t>
            </w:r>
            <w:r>
              <w:rPr>
                <w:rFonts w:ascii="Arial" w:cs="Arial" w:eastAsia="Arial" w:hAnsi="Arial"/>
                <w:sz w:val="18"/>
                <w:szCs w:val="18"/>
                <w:color w:val="auto"/>
              </w:rPr>
              <w:t>Wage and</w:t>
            </w:r>
          </w:p>
        </w:tc>
        <w:tc>
          <w:tcPr>
            <w:tcW w:w="280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June 8, 2005</w:t>
            </w:r>
          </w:p>
        </w:tc>
        <w:tc>
          <w:tcPr>
            <w:tcW w:w="20" w:type="dxa"/>
            <w:vAlign w:val="bottom"/>
          </w:tcPr>
          <w:p>
            <w:pPr>
              <w:spacing w:after="0"/>
              <w:rPr>
                <w:sz w:val="18"/>
                <w:szCs w:val="18"/>
                <w:color w:val="auto"/>
              </w:rPr>
            </w:pPr>
          </w:p>
        </w:tc>
        <w:tc>
          <w:tcPr>
            <w:tcW w:w="5580" w:type="dxa"/>
            <w:vAlign w:val="bottom"/>
            <w:tcBorders>
              <w:right w:val="single" w:sz="8" w:color="auto"/>
            </w:tcBorders>
            <w:gridSpan w:val="4"/>
          </w:tcPr>
          <w:p>
            <w:pPr>
              <w:spacing w:after="0" w:line="210" w:lineRule="exact"/>
              <w:rPr>
                <w:sz w:val="20"/>
                <w:szCs w:val="20"/>
                <w:color w:val="auto"/>
              </w:rPr>
            </w:pPr>
            <w:r>
              <w:rPr>
                <w:rFonts w:ascii="Arial" w:cs="Arial" w:eastAsia="Arial" w:hAnsi="Arial"/>
                <w:sz w:val="15"/>
                <w:szCs w:val="15"/>
                <w:b w:val="1"/>
                <w:bCs w:val="1"/>
                <w:color w:val="auto"/>
              </w:rPr>
              <w:t>$17,600</w:t>
            </w:r>
            <w:r>
              <w:rPr>
                <w:rFonts w:ascii="Arial" w:cs="Arial" w:eastAsia="Arial" w:hAnsi="Arial"/>
                <w:sz w:val="15"/>
                <w:szCs w:val="15"/>
                <w:color w:val="auto"/>
              </w:rPr>
              <w:t>: Back pay award in unfair labor practices case.</w:t>
            </w:r>
            <w:r>
              <w:rPr>
                <w:rFonts w:ascii="Arial" w:cs="Arial" w:eastAsia="Arial" w:hAnsi="Arial"/>
                <w:sz w:val="24"/>
                <w:szCs w:val="24"/>
                <w:color w:val="auto"/>
                <w:vertAlign w:val="superscript"/>
              </w:rPr>
              <w:t>48</w:t>
            </w:r>
          </w:p>
        </w:tc>
      </w:tr>
      <w:tr>
        <w:trPr>
          <w:trHeight w:val="237"/>
        </w:trPr>
        <w:tc>
          <w:tcPr>
            <w:tcW w:w="28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Hour Violation</w:t>
            </w:r>
          </w:p>
        </w:tc>
        <w:tc>
          <w:tcPr>
            <w:tcW w:w="280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r>
      <w:tr>
        <w:trPr>
          <w:trHeight w:val="432"/>
        </w:trPr>
        <w:tc>
          <w:tcPr>
            <w:tcW w:w="2840" w:type="dxa"/>
            <w:vAlign w:val="bottom"/>
          </w:tcPr>
          <w:p>
            <w:pPr>
              <w:spacing w:after="0"/>
              <w:rPr>
                <w:sz w:val="20"/>
                <w:szCs w:val="20"/>
                <w:color w:val="auto"/>
              </w:rPr>
            </w:pPr>
            <w:r>
              <w:rPr>
                <w:rFonts w:ascii="Arial" w:cs="Arial" w:eastAsia="Arial" w:hAnsi="Arial"/>
                <w:sz w:val="18"/>
                <w:szCs w:val="18"/>
                <w:color w:val="auto"/>
                <w:w w:val="99"/>
              </w:rPr>
              <w:t>____________________________</w:t>
            </w:r>
          </w:p>
        </w:tc>
        <w:tc>
          <w:tcPr>
            <w:tcW w:w="2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85" w:lineRule="exact"/>
        <w:rPr>
          <w:sz w:val="20"/>
          <w:szCs w:val="20"/>
          <w:color w:val="auto"/>
        </w:rPr>
      </w:pPr>
    </w:p>
    <w:p>
      <w:pPr>
        <w:ind w:left="200" w:hanging="192"/>
        <w:spacing w:after="0"/>
        <w:tabs>
          <w:tab w:leader="none" w:pos="20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https://www.ehstoday.com/standards/osha/article/21918042/no-pride-in-safety-record-for-food-company</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7"/>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https://violationtracker.goodjobsfirst.org/violation-tracker/tx-pilgrims-pride-corp</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7"/>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https://violationtracker.goodjobsfirst.org/violation-tracker/tx-pilgrims-pride-corporation</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7"/>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https://violationtracker.goodjobsfirst.org/violation-tracker/tx-pilgrims-pride-corporation-0</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7"/>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https://violationtracker.goodjobsfirst.org/violation-tracker/tx-pilgrims-pride-inc</w:t>
      </w:r>
    </w:p>
    <w:p>
      <w:pPr>
        <w:spacing w:after="0" w:line="42" w:lineRule="exact"/>
        <w:rPr>
          <w:rFonts w:ascii="Arial" w:cs="Arial" w:eastAsia="Arial" w:hAnsi="Arial"/>
          <w:sz w:val="23"/>
          <w:szCs w:val="23"/>
          <w:color w:val="auto"/>
          <w:vertAlign w:val="superscript"/>
        </w:rPr>
      </w:pPr>
    </w:p>
    <w:p>
      <w:pPr>
        <w:ind w:right="180" w:firstLine="8"/>
        <w:spacing w:after="0" w:line="224" w:lineRule="auto"/>
        <w:tabs>
          <w:tab w:leader="none" w:pos="195"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https://www.reliableplant.com/Read/8537/pilgrim's-pride-to-pay-$1m-for-hiring-discrimination</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https://carlairwininc.com/blog/ofccp-files-lawsuit-against-pilgrims-pride-alleging-hiring-discrimination/</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https://violationtracker.goodjobsfirst.org/violation-tracker/tx-pilgrims-pride-corp-0.</w:t>
      </w:r>
    </w:p>
    <w:p>
      <w:pPr>
        <w:spacing w:after="0" w:line="1" w:lineRule="exact"/>
        <w:rPr>
          <w:rFonts w:ascii="Arial" w:cs="Arial" w:eastAsia="Arial" w:hAnsi="Arial"/>
          <w:sz w:val="25"/>
          <w:szCs w:val="25"/>
          <w:color w:val="auto"/>
          <w:vertAlign w:val="superscript"/>
        </w:rPr>
      </w:pPr>
    </w:p>
    <w:p>
      <w:pPr>
        <w:ind w:left="200" w:hanging="192"/>
        <w:spacing w:after="0" w:line="214" w:lineRule="auto"/>
        <w:tabs>
          <w:tab w:leader="none" w:pos="200" w:val="left"/>
        </w:tabs>
        <w:numPr>
          <w:ilvl w:val="0"/>
          <w:numId w:val="17"/>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https://violationtracker.goodjobsfirst.org/violation-tracker/pr-pilgrims-pride-corporation-dba-to-ricos.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Pilgrim's existing policies and practices do not demonstrate effective due diligence and create material risk.</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Board of Directors claim in their opposition statement that the Company is “strongly committed to protecting human rights in our business activities” and values the “health and safety of our employees and other parties,” asserting that the Code of Conduct and “Ethics Hotline” represent adequate substitutes. While Proponents appreciate these gestures, these are in no way a comprehensive approach to HRDD. A thorough analysis must be conducted to understand not only the stated policies but whether they are actually being practiced, and where they must be improved.</w:t>
      </w:r>
    </w:p>
    <w:p>
      <w:pPr>
        <w:spacing w:after="0" w:line="171" w:lineRule="exact"/>
        <w:rPr>
          <w:sz w:val="20"/>
          <w:szCs w:val="20"/>
          <w:color w:val="auto"/>
        </w:rPr>
      </w:pPr>
    </w:p>
    <w:p>
      <w:pPr>
        <w:jc w:val="both"/>
        <w:ind w:right="120"/>
        <w:spacing w:after="0" w:line="254" w:lineRule="auto"/>
        <w:rPr>
          <w:sz w:val="20"/>
          <w:szCs w:val="20"/>
          <w:color w:val="auto"/>
        </w:rPr>
      </w:pPr>
      <w:r>
        <w:rPr>
          <w:rFonts w:ascii="Arial" w:cs="Arial" w:eastAsia="Arial" w:hAnsi="Arial"/>
          <w:sz w:val="18"/>
          <w:szCs w:val="18"/>
          <w:color w:val="auto"/>
        </w:rPr>
        <w:t>Indeed, despite the Code of Conduct’s focus on “health and safety in the workplace,” “the right to legal wages and benefits,” “appropriate working hours and overtime pay, and “the fair and ethical treatment of all team members, including nondiscrimination,” there is ample evidence to suggest a discrepancy between these statements and records of actual human rights violations. In addition to the workplace death and injury examples cited above, Pilgrim’s has faced the following allegations:</w:t>
      </w:r>
    </w:p>
    <w:p>
      <w:pPr>
        <w:spacing w:after="0" w:line="2" w:lineRule="exact"/>
        <w:rPr>
          <w:sz w:val="20"/>
          <w:szCs w:val="20"/>
          <w:color w:val="auto"/>
        </w:rPr>
      </w:pPr>
    </w:p>
    <w:p>
      <w:pPr>
        <w:ind w:left="660" w:right="120" w:hanging="328"/>
        <w:spacing w:after="0" w:line="219"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Restricting breaks + denial of bathroom access. </w:t>
      </w:r>
      <w:r>
        <w:rPr>
          <w:rFonts w:ascii="Arial" w:cs="Arial" w:eastAsia="Arial" w:hAnsi="Arial"/>
          <w:sz w:val="17"/>
          <w:szCs w:val="17"/>
          <w:color w:val="auto"/>
        </w:rPr>
        <w:t>Workers at Pilgrim’s have been speaking out about labor violations such as restricted breaks</w:t>
      </w:r>
      <w:r>
        <w:rPr>
          <w:rFonts w:ascii="Arial" w:cs="Arial" w:eastAsia="Arial" w:hAnsi="Arial"/>
          <w:sz w:val="17"/>
          <w:szCs w:val="17"/>
          <w:b w:val="1"/>
          <w:bCs w:val="1"/>
          <w:color w:val="auto"/>
        </w:rPr>
        <w:t xml:space="preserve"> </w:t>
      </w:r>
      <w:r>
        <w:rPr>
          <w:rFonts w:ascii="Arial" w:cs="Arial" w:eastAsia="Arial" w:hAnsi="Arial"/>
          <w:sz w:val="17"/>
          <w:szCs w:val="17"/>
          <w:color w:val="auto"/>
        </w:rPr>
        <w:t>and denial of bathrooms. For example, workers, former workers and advocates gathered on April 25, 2019 in St. Cloud, MN to protest unsafe working conditions.</w:t>
      </w:r>
      <w:r>
        <w:rPr>
          <w:rFonts w:ascii="Arial" w:cs="Arial" w:eastAsia="Arial" w:hAnsi="Arial"/>
          <w:sz w:val="28"/>
          <w:szCs w:val="28"/>
          <w:color w:val="auto"/>
          <w:vertAlign w:val="superscript"/>
        </w:rPr>
        <w:t>49</w:t>
      </w:r>
      <w:r>
        <w:rPr>
          <w:rFonts w:ascii="Arial" w:cs="Arial" w:eastAsia="Arial" w:hAnsi="Arial"/>
          <w:sz w:val="17"/>
          <w:szCs w:val="17"/>
          <w:color w:val="auto"/>
        </w:rPr>
        <w:t xml:space="preserve"> A key grievance was that workers were systematically denied access to bathrooms -- leading to unsafe working conditions that include employees choosing not to drink water while they do physically demanding work.</w:t>
      </w:r>
      <w:r>
        <w:rPr>
          <w:rFonts w:ascii="Arial" w:cs="Arial" w:eastAsia="Arial" w:hAnsi="Arial"/>
          <w:sz w:val="28"/>
          <w:szCs w:val="28"/>
          <w:color w:val="auto"/>
          <w:vertAlign w:val="superscript"/>
        </w:rPr>
        <w:t>50</w:t>
      </w:r>
    </w:p>
    <w:p>
      <w:pPr>
        <w:spacing w:after="0" w:line="2" w:lineRule="exact"/>
        <w:rPr>
          <w:rFonts w:ascii="Arial" w:cs="Arial" w:eastAsia="Arial" w:hAnsi="Arial"/>
          <w:sz w:val="17"/>
          <w:szCs w:val="17"/>
          <w:color w:val="auto"/>
        </w:rPr>
      </w:pPr>
    </w:p>
    <w:p>
      <w:pPr>
        <w:ind w:left="660" w:hanging="328"/>
        <w:spacing w:after="0" w:line="212"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Line speeds above safe limits. </w:t>
      </w:r>
      <w:r>
        <w:rPr>
          <w:rFonts w:ascii="Arial" w:cs="Arial" w:eastAsia="Arial" w:hAnsi="Arial"/>
          <w:sz w:val="17"/>
          <w:szCs w:val="17"/>
          <w:color w:val="auto"/>
        </w:rPr>
        <w:t>Increased line speeds put workers at greater risk of injury- including musculoskeletal injury due to repetitive</w:t>
      </w:r>
      <w:r>
        <w:rPr>
          <w:rFonts w:ascii="Arial" w:cs="Arial" w:eastAsia="Arial" w:hAnsi="Arial"/>
          <w:sz w:val="17"/>
          <w:szCs w:val="17"/>
          <w:b w:val="1"/>
          <w:bCs w:val="1"/>
          <w:color w:val="auto"/>
        </w:rPr>
        <w:t xml:space="preserve"> </w:t>
      </w:r>
      <w:r>
        <w:rPr>
          <w:rFonts w:ascii="Arial" w:cs="Arial" w:eastAsia="Arial" w:hAnsi="Arial"/>
          <w:sz w:val="17"/>
          <w:szCs w:val="17"/>
          <w:color w:val="auto"/>
        </w:rPr>
        <w:t>motions involved in the work - which is why the USDA has an upper limit of 140 birds per minute.</w:t>
      </w:r>
      <w:r>
        <w:rPr>
          <w:rFonts w:ascii="Arial" w:cs="Arial" w:eastAsia="Arial" w:hAnsi="Arial"/>
          <w:sz w:val="28"/>
          <w:szCs w:val="28"/>
          <w:color w:val="auto"/>
          <w:vertAlign w:val="superscript"/>
        </w:rPr>
        <w:t>51</w:t>
      </w:r>
      <w:r>
        <w:rPr>
          <w:rFonts w:ascii="Arial" w:cs="Arial" w:eastAsia="Arial" w:hAnsi="Arial"/>
          <w:sz w:val="17"/>
          <w:szCs w:val="17"/>
          <w:color w:val="auto"/>
        </w:rPr>
        <w:t xml:space="preserve"> Yet Pilgrim’s has obtained waivers to increase line speed to 175 birds per minute at some sites -- and workers have been suffering injuries as a result.</w:t>
      </w:r>
      <w:r>
        <w:rPr>
          <w:rFonts w:ascii="Arial" w:cs="Arial" w:eastAsia="Arial" w:hAnsi="Arial"/>
          <w:sz w:val="28"/>
          <w:szCs w:val="28"/>
          <w:color w:val="auto"/>
          <w:vertAlign w:val="superscript"/>
        </w:rPr>
        <w:t>52</w:t>
      </w:r>
      <w:r>
        <w:rPr>
          <w:rFonts w:ascii="Arial" w:cs="Arial" w:eastAsia="Arial" w:hAnsi="Arial"/>
          <w:sz w:val="17"/>
          <w:szCs w:val="17"/>
          <w:color w:val="auto"/>
        </w:rPr>
        <w:t xml:space="preserve"> Pilgrim’s has already been called out for investigation by high profile politicians: Congresswoman Rosa DeLauro, for example, publicly urged OSHA to conduct an investigation of the plant in Guntersville, Alabama, citing the line speed waiver as particularly suspect.</w:t>
      </w:r>
      <w:r>
        <w:rPr>
          <w:rFonts w:ascii="Arial" w:cs="Arial" w:eastAsia="Arial" w:hAnsi="Arial"/>
          <w:sz w:val="28"/>
          <w:szCs w:val="28"/>
          <w:color w:val="auto"/>
          <w:vertAlign w:val="superscript"/>
        </w:rPr>
        <w:t>53</w:t>
      </w:r>
    </w:p>
    <w:p>
      <w:pPr>
        <w:spacing w:after="0" w:line="2" w:lineRule="exact"/>
        <w:rPr>
          <w:rFonts w:ascii="Arial" w:cs="Arial" w:eastAsia="Arial" w:hAnsi="Arial"/>
          <w:sz w:val="17"/>
          <w:szCs w:val="17"/>
          <w:color w:val="auto"/>
        </w:rPr>
      </w:pPr>
    </w:p>
    <w:p>
      <w:pPr>
        <w:ind w:left="660" w:right="420" w:hanging="328"/>
        <w:spacing w:after="0" w:line="284"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 xml:space="preserve">Tensions with Community Stakeholders. </w:t>
      </w:r>
      <w:r>
        <w:rPr>
          <w:rFonts w:ascii="Arial" w:cs="Arial" w:eastAsia="Arial" w:hAnsi="Arial"/>
          <w:sz w:val="17"/>
          <w:szCs w:val="17"/>
          <w:color w:val="auto"/>
        </w:rPr>
        <w:t>Rural landowners operating under the name ‘Save McLemore’ protested the development of new</w:t>
      </w:r>
      <w:r>
        <w:rPr>
          <w:rFonts w:ascii="Arial" w:cs="Arial" w:eastAsia="Arial" w:hAnsi="Arial"/>
          <w:sz w:val="17"/>
          <w:szCs w:val="17"/>
          <w:b w:val="1"/>
          <w:bCs w:val="1"/>
          <w:color w:val="auto"/>
        </w:rPr>
        <w:t xml:space="preserve"> </w:t>
      </w:r>
      <w:r>
        <w:rPr>
          <w:rFonts w:ascii="Arial" w:cs="Arial" w:eastAsia="Arial" w:hAnsi="Arial"/>
          <w:sz w:val="17"/>
          <w:szCs w:val="17"/>
          <w:color w:val="auto"/>
        </w:rPr>
        <w:t>Pilgrim's development in McLemore Cove, Georgia, citing the risks of pollution, increased road usage, smell, and Pilgrim’s Prides’ specific reputation of poor working conditions. Over 3,200 people signed a petition to stop the plant from opening.</w:t>
      </w:r>
      <w:r>
        <w:rPr>
          <w:rFonts w:ascii="Arial" w:cs="Arial" w:eastAsia="Arial" w:hAnsi="Arial"/>
          <w:sz w:val="28"/>
          <w:szCs w:val="28"/>
          <w:color w:val="auto"/>
          <w:vertAlign w:val="superscript"/>
        </w:rPr>
        <w:t>54</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8"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https://www.sctimes.com/story/money/2019/04/25/pilgrims-pride-poultry-workers-rally-workplace-safety-cold-spring/3541160002/.</w:t>
      </w:r>
    </w:p>
    <w:p>
      <w:pPr>
        <w:spacing w:after="0" w:line="42" w:lineRule="exact"/>
        <w:rPr>
          <w:rFonts w:ascii="Arial" w:cs="Arial" w:eastAsia="Arial" w:hAnsi="Arial"/>
          <w:sz w:val="25"/>
          <w:szCs w:val="25"/>
          <w:color w:val="auto"/>
          <w:vertAlign w:val="superscript"/>
        </w:rPr>
      </w:pPr>
    </w:p>
    <w:p>
      <w:pPr>
        <w:ind w:left="200" w:hanging="192"/>
        <w:spacing w:after="0" w:line="194" w:lineRule="auto"/>
        <w:tabs>
          <w:tab w:leader="none" w:pos="20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https://www.nbcnews.com/business/business-news/poultry-workers-denied-bathroom-breaks-wear-diapers-oxfam-report-n572806.</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https://www.natlawreview.com/article/usda-updates-poultry-line-speed-standards.</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u w:val="single" w:color="auto"/>
          <w:color w:val="auto"/>
        </w:rPr>
        <w:t>https://www.npr.org/sections/thesalt/2017/10/27/559572147/too-fast-for-safety-poultry-industry-wants-to-speed-up-the-slaughter-line.</w:t>
      </w:r>
    </w:p>
    <w:p>
      <w:pPr>
        <w:spacing w:after="0" w:line="42" w:lineRule="exact"/>
        <w:rPr>
          <w:rFonts w:ascii="Arial" w:cs="Arial" w:eastAsia="Arial" w:hAnsi="Arial"/>
          <w:sz w:val="23"/>
          <w:szCs w:val="23"/>
          <w:color w:val="auto"/>
          <w:vertAlign w:val="superscript"/>
        </w:rPr>
      </w:pPr>
    </w:p>
    <w:p>
      <w:pPr>
        <w:ind w:left="200" w:hanging="192"/>
        <w:spacing w:after="0" w:line="194" w:lineRule="auto"/>
        <w:tabs>
          <w:tab w:leader="none" w:pos="200" w:val="left"/>
        </w:tabs>
        <w:numPr>
          <w:ilvl w:val="0"/>
          <w:numId w:val="19"/>
        </w:numPr>
        <w:rPr>
          <w:rFonts w:ascii="Arial" w:cs="Arial" w:eastAsia="Arial" w:hAnsi="Arial"/>
          <w:sz w:val="23"/>
          <w:szCs w:val="23"/>
          <w:color w:val="auto"/>
          <w:vertAlign w:val="superscript"/>
        </w:rPr>
      </w:pPr>
      <w:r>
        <w:rPr>
          <w:rFonts w:ascii="Arial" w:cs="Arial" w:eastAsia="Arial" w:hAnsi="Arial"/>
          <w:sz w:val="15"/>
          <w:szCs w:val="15"/>
          <w:color w:val="auto"/>
        </w:rPr>
        <w:t>https://delauro.house.gov/sites/delauro.house.gov/files/DeLauro_JBS_Pilgrims_Pride_Worker_Fatality_Letter.pdf</w:t>
      </w:r>
    </w:p>
    <w:p>
      <w:pPr>
        <w:spacing w:after="0" w:line="42" w:lineRule="exact"/>
        <w:rPr>
          <w:rFonts w:ascii="Arial" w:cs="Arial" w:eastAsia="Arial" w:hAnsi="Arial"/>
          <w:sz w:val="23"/>
          <w:szCs w:val="23"/>
          <w:color w:val="auto"/>
          <w:vertAlign w:val="superscript"/>
        </w:rPr>
      </w:pPr>
    </w:p>
    <w:p>
      <w:pPr>
        <w:ind w:right="2640" w:firstLine="8"/>
        <w:spacing w:after="0" w:line="224" w:lineRule="auto"/>
        <w:tabs>
          <w:tab w:leader="none" w:pos="195" w:val="left"/>
        </w:tabs>
        <w:numPr>
          <w:ilvl w:val="0"/>
          <w:numId w:val="19"/>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https://www.change.org/p/shannon-whitfield-don-t-slaughter-our-cove?recruiter=877445526</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https://www.timesfreepress.com/news/local/story/2018/jun/01/walker-county-residents-protest-chicken-proce/472192/.</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9" w:name="page10"/>
    <w:bookmarkEnd w:id="9"/>
    <w:p>
      <w:pPr>
        <w:ind w:left="660" w:right="100" w:hanging="328"/>
        <w:spacing w:after="0" w:line="22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Records of discrimination against women and people with disabilities. </w:t>
      </w:r>
      <w:r>
        <w:rPr>
          <w:rFonts w:ascii="Arial" w:cs="Arial" w:eastAsia="Arial" w:hAnsi="Arial"/>
          <w:sz w:val="18"/>
          <w:szCs w:val="18"/>
          <w:color w:val="auto"/>
        </w:rPr>
        <w:t>On May 16, 2019 Pilgrim’s paid a $50,000 settlement in a</w:t>
      </w:r>
      <w:r>
        <w:rPr>
          <w:rFonts w:ascii="Arial" w:cs="Arial" w:eastAsia="Arial" w:hAnsi="Arial"/>
          <w:sz w:val="18"/>
          <w:szCs w:val="18"/>
          <w:b w:val="1"/>
          <w:bCs w:val="1"/>
          <w:color w:val="auto"/>
        </w:rPr>
        <w:t xml:space="preserve"> </w:t>
      </w:r>
      <w:r>
        <w:rPr>
          <w:rFonts w:ascii="Arial" w:cs="Arial" w:eastAsia="Arial" w:hAnsi="Arial"/>
          <w:sz w:val="18"/>
          <w:szCs w:val="18"/>
          <w:color w:val="333333"/>
        </w:rPr>
        <w:t>U.S. Equal</w:t>
      </w:r>
      <w:r>
        <w:rPr>
          <w:rFonts w:ascii="Arial" w:cs="Arial" w:eastAsia="Arial" w:hAnsi="Arial"/>
          <w:sz w:val="18"/>
          <w:szCs w:val="18"/>
          <w:b w:val="1"/>
          <w:bCs w:val="1"/>
          <w:color w:val="auto"/>
        </w:rPr>
        <w:t xml:space="preserve"> </w:t>
      </w:r>
      <w:r>
        <w:rPr>
          <w:rFonts w:ascii="Arial" w:cs="Arial" w:eastAsia="Arial" w:hAnsi="Arial"/>
          <w:sz w:val="18"/>
          <w:szCs w:val="18"/>
          <w:color w:val="333333"/>
        </w:rPr>
        <w:t>Employment Opportunity Commission (EEOC) lawsuit. Pilgrims was charged with violating the Americans with Disabilities Act when it terminated an employee with a disabling heart condition who took leave for medical treatment.</w:t>
      </w:r>
      <w:r>
        <w:rPr>
          <w:rFonts w:ascii="Arial" w:cs="Arial" w:eastAsia="Arial" w:hAnsi="Arial"/>
          <w:sz w:val="29"/>
          <w:szCs w:val="29"/>
          <w:color w:val="333333"/>
          <w:vertAlign w:val="superscript"/>
        </w:rPr>
        <w:t>55</w:t>
      </w:r>
      <w:r>
        <w:rPr>
          <w:rFonts w:ascii="Arial" w:cs="Arial" w:eastAsia="Arial" w:hAnsi="Arial"/>
          <w:sz w:val="18"/>
          <w:szCs w:val="18"/>
          <w:color w:val="333333"/>
        </w:rPr>
        <w:t xml:space="preserve"> In 2007 Pilgrims paid $1 million in settlements </w:t>
      </w:r>
      <w:r>
        <w:rPr>
          <w:rFonts w:ascii="Arial" w:cs="Arial" w:eastAsia="Arial" w:hAnsi="Arial"/>
          <w:sz w:val="18"/>
          <w:szCs w:val="18"/>
          <w:color w:val="000000"/>
        </w:rPr>
        <w:t>to the Department of Labor for allegations that the company engaged in hiring discrimination based on gender, race and ethnicity over a two-year period against some 5,300 applicants.</w:t>
      </w:r>
      <w:r>
        <w:rPr>
          <w:rFonts w:ascii="Arial" w:cs="Arial" w:eastAsia="Arial" w:hAnsi="Arial"/>
          <w:sz w:val="29"/>
          <w:szCs w:val="29"/>
          <w:color w:val="000000"/>
          <w:vertAlign w:val="superscript"/>
        </w:rPr>
        <w:t>56</w:t>
      </w:r>
    </w:p>
    <w:p>
      <w:pPr>
        <w:ind w:left="660" w:right="360" w:hanging="328"/>
        <w:spacing w:after="0" w:line="258" w:lineRule="auto"/>
        <w:tabs>
          <w:tab w:leader="none" w:pos="660" w:val="left"/>
        </w:tabs>
        <w:numPr>
          <w:ilvl w:val="0"/>
          <w:numId w:val="20"/>
        </w:numPr>
        <w:rPr>
          <w:rFonts w:ascii="Arial" w:cs="Arial" w:eastAsia="Arial" w:hAnsi="Arial"/>
          <w:sz w:val="18"/>
          <w:szCs w:val="18"/>
          <w:color w:val="333333"/>
        </w:rPr>
      </w:pPr>
      <w:r>
        <w:rPr>
          <w:rFonts w:ascii="Arial" w:cs="Arial" w:eastAsia="Arial" w:hAnsi="Arial"/>
          <w:sz w:val="18"/>
          <w:szCs w:val="18"/>
          <w:b w:val="1"/>
          <w:bCs w:val="1"/>
          <w:color w:val="333333"/>
        </w:rPr>
        <w:t xml:space="preserve">Millions of dollars paid for violating wage and hour laws. </w:t>
      </w:r>
      <w:r>
        <w:rPr>
          <w:rFonts w:ascii="Arial" w:cs="Arial" w:eastAsia="Arial" w:hAnsi="Arial"/>
          <w:sz w:val="18"/>
          <w:szCs w:val="18"/>
          <w:color w:val="333333"/>
        </w:rPr>
        <w:t>As articulated in the chart in Part 2 of this memo, Pilgrim’s has a long history of</w:t>
      </w:r>
      <w:r>
        <w:rPr>
          <w:rFonts w:ascii="Arial" w:cs="Arial" w:eastAsia="Arial" w:hAnsi="Arial"/>
          <w:sz w:val="18"/>
          <w:szCs w:val="18"/>
          <w:b w:val="1"/>
          <w:bCs w:val="1"/>
          <w:color w:val="333333"/>
        </w:rPr>
        <w:t xml:space="preserve"> </w:t>
      </w:r>
      <w:r>
        <w:rPr>
          <w:rFonts w:ascii="Arial" w:cs="Arial" w:eastAsia="Arial" w:hAnsi="Arial"/>
          <w:sz w:val="18"/>
          <w:szCs w:val="18"/>
          <w:color w:val="333333"/>
        </w:rPr>
        <w:t xml:space="preserve">violating laws around </w:t>
      </w:r>
      <w:r>
        <w:rPr>
          <w:rFonts w:ascii="Arial" w:cs="Arial" w:eastAsia="Arial" w:hAnsi="Arial"/>
          <w:sz w:val="18"/>
          <w:szCs w:val="18"/>
          <w:color w:val="000000"/>
        </w:rPr>
        <w:t>“appropriate working hours and overtime pay.”</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its opposition statement, Pilgrim's argues that its present policies and practices adequately address the human rights issues raised in the resolution. Yet the history of controversies and fines overviewed in this memo indicate that the company’s practices can and must be strengthened. A thorough assessment of salient human rights risks and impacts along with a commitment to policy changes, access to remedy and continued due diligence are important for Pilgrim's to pursue long-term financial stability, social credibility, and to meeting its stated commitment to human rights.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company’s current disclosure on its human rights impacts and the financial cost, as well as the other elements of its human rights procedures (including conducting any risk assessments, steps for prevention, and how it ensures effective access to remedy), are not adequate for investors to fully sense the potential human rights impacts of the business and the materiality of these impacts to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w:t>
      </w:r>
    </w:p>
    <w:p>
      <w:pPr>
        <w:spacing w:after="0" w:line="27"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auto"/>
        </w:rPr>
        <w:t>In order to live up to its stated commitments of human rights, Pilgrim’s must proactively and comprehensively investigate lived practices across its factories by conducting HRDD. This must include the four key steps of assessing actual and potential human rights impacts, integrating and acting on</w:t>
      </w:r>
    </w:p>
    <w:p>
      <w:pPr>
        <w:spacing w:after="0" w:line="1" w:lineRule="exact"/>
        <w:rPr>
          <w:sz w:val="20"/>
          <w:szCs w:val="20"/>
          <w:color w:val="auto"/>
        </w:rPr>
      </w:pPr>
    </w:p>
    <w:p>
      <w:pPr>
        <w:ind w:right="420"/>
        <w:spacing w:after="0" w:line="219" w:lineRule="auto"/>
        <w:rPr>
          <w:sz w:val="20"/>
          <w:szCs w:val="20"/>
          <w:color w:val="auto"/>
        </w:rPr>
      </w:pPr>
      <w:r>
        <w:rPr>
          <w:rFonts w:ascii="Arial" w:cs="Arial" w:eastAsia="Arial" w:hAnsi="Arial"/>
          <w:sz w:val="17"/>
          <w:szCs w:val="17"/>
          <w:color w:val="auto"/>
        </w:rPr>
        <w:t>findings, tracking responses and communicating about how impacts are addressed.</w:t>
      </w:r>
      <w:r>
        <w:rPr>
          <w:rFonts w:ascii="Arial" w:cs="Arial" w:eastAsia="Arial" w:hAnsi="Arial"/>
          <w:sz w:val="28"/>
          <w:szCs w:val="28"/>
          <w:color w:val="auto"/>
          <w:vertAlign w:val="superscript"/>
        </w:rPr>
        <w:t>57</w:t>
      </w:r>
      <w:r>
        <w:rPr>
          <w:rFonts w:ascii="Arial" w:cs="Arial" w:eastAsia="Arial" w:hAnsi="Arial"/>
          <w:sz w:val="17"/>
          <w:szCs w:val="17"/>
          <w:color w:val="auto"/>
        </w:rPr>
        <w:t xml:space="preserve"> Failing to do so risks loss of social capital, further financial loss, additional negative media coverage, further investigations by OSHA, loss of employees, and difficulty recruiting new staff.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Proponents there urges investors to </w:t>
      </w:r>
      <w:r>
        <w:rPr>
          <w:rFonts w:ascii="Arial" w:cs="Arial" w:eastAsia="Arial" w:hAnsi="Arial"/>
          <w:sz w:val="18"/>
          <w:szCs w:val="18"/>
          <w:b w:val="1"/>
          <w:bCs w:val="1"/>
          <w:color w:val="auto"/>
        </w:rPr>
        <w:t>vote in favor</w:t>
      </w:r>
      <w:r>
        <w:rPr>
          <w:rFonts w:ascii="Arial" w:cs="Arial" w:eastAsia="Arial" w:hAnsi="Arial"/>
          <w:sz w:val="18"/>
          <w:szCs w:val="18"/>
          <w:color w:val="auto"/>
        </w:rPr>
        <w:t xml:space="preserve"> of Proposal 6 on Human Rights Due Diligence.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208"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https://www.eeoc.gov/eeoc/newsroom/release/5-16-19b.cfm</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https://www.eeoc.gov/eeoc/newsroom/release/9-24-18i.cfm.</w:t>
      </w:r>
    </w:p>
    <w:p>
      <w:pPr>
        <w:spacing w:after="0" w:line="42" w:lineRule="exact"/>
        <w:rPr>
          <w:rFonts w:ascii="Arial" w:cs="Arial" w:eastAsia="Arial" w:hAnsi="Arial"/>
          <w:sz w:val="25"/>
          <w:szCs w:val="25"/>
          <w:color w:val="auto"/>
          <w:vertAlign w:val="superscript"/>
        </w:rPr>
      </w:pPr>
    </w:p>
    <w:p>
      <w:pPr>
        <w:ind w:right="160" w:firstLine="8"/>
        <w:spacing w:after="0" w:line="224" w:lineRule="auto"/>
        <w:tabs>
          <w:tab w:leader="none" w:pos="195"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https://www.reliableplant.com/Read/8537/pilgrim's-pride-to-pay-$1m-for-hiring-discrimination</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https://carlairwininc.com/blog/ofccp-files-lawsuit-against-pilgrims-pride-alleging-hiring-discrimination/</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https://violationtracker.goodjobsfirst.org/violation-tracker/tx-pilgrims-pride-corp-0.</w:t>
      </w:r>
    </w:p>
    <w:p>
      <w:pPr>
        <w:spacing w:after="0" w:line="27" w:lineRule="exact"/>
        <w:rPr>
          <w:rFonts w:ascii="Arial" w:cs="Arial" w:eastAsia="Arial" w:hAnsi="Arial"/>
          <w:sz w:val="25"/>
          <w:szCs w:val="25"/>
          <w:color w:val="auto"/>
          <w:vertAlign w:val="superscript"/>
        </w:rPr>
      </w:pPr>
    </w:p>
    <w:p>
      <w:pPr>
        <w:ind w:right="580" w:firstLine="8"/>
        <w:spacing w:after="0" w:line="232" w:lineRule="auto"/>
        <w:tabs>
          <w:tab w:leader="none" w:pos="195" w:val="left"/>
        </w:tabs>
        <w:numPr>
          <w:ilvl w:val="0"/>
          <w:numId w:val="21"/>
        </w:numPr>
        <w:rPr>
          <w:rFonts w:ascii="Arial" w:cs="Arial" w:eastAsia="Arial" w:hAnsi="Arial"/>
          <w:sz w:val="25"/>
          <w:szCs w:val="25"/>
          <w:color w:val="auto"/>
          <w:vertAlign w:val="superscript"/>
        </w:rPr>
      </w:pPr>
      <w:r>
        <w:rPr>
          <w:rFonts w:ascii="Arial" w:cs="Arial" w:eastAsia="Arial" w:hAnsi="Arial"/>
          <w:sz w:val="15"/>
          <w:szCs w:val="15"/>
          <w:u w:val="single" w:color="auto"/>
          <w:color w:val="auto"/>
        </w:rPr>
        <w:t>https://www.ungpreporting.org/glossary/human-rights-due-diligence/</w:t>
      </w:r>
      <w:r>
        <w:rPr>
          <w:rFonts w:ascii="Arial" w:cs="Arial" w:eastAsia="Arial" w:hAnsi="Arial"/>
          <w:sz w:val="15"/>
          <w:szCs w:val="15"/>
          <w:color w:val="auto"/>
        </w:rPr>
        <w:t xml:space="preserve">; </w:t>
      </w:r>
      <w:r>
        <w:rPr>
          <w:rFonts w:ascii="Arial" w:cs="Arial" w:eastAsia="Arial" w:hAnsi="Arial"/>
          <w:sz w:val="15"/>
          <w:szCs w:val="15"/>
          <w:u w:val="single" w:color="auto"/>
          <w:color w:val="auto"/>
        </w:rPr>
        <w:t>https://www.ohchr.org/en/professionalinterest/pages/coreinstruments.aspx</w:t>
      </w:r>
      <w:r>
        <w:rPr>
          <w:rFonts w:ascii="Arial" w:cs="Arial" w:eastAsia="Arial" w:hAnsi="Arial"/>
          <w:sz w:val="15"/>
          <w:szCs w:val="15"/>
          <w:color w:val="auto"/>
        </w:rPr>
        <w:t xml:space="preserve">; </w:t>
      </w:r>
      <w:r>
        <w:rPr>
          <w:rFonts w:ascii="Arial" w:cs="Arial" w:eastAsia="Arial" w:hAnsi="Arial"/>
          <w:sz w:val="15"/>
          <w:szCs w:val="15"/>
          <w:u w:val="single" w:color="auto"/>
          <w:color w:val="auto"/>
        </w:rPr>
        <w:t>https://www.ilo.org/declaration/lang--en/index.htm</w:t>
      </w:r>
      <w:r>
        <w:rPr>
          <w:rFonts w:ascii="Arial" w:cs="Arial" w:eastAsia="Arial" w:hAnsi="Arial"/>
          <w:sz w:val="15"/>
          <w:szCs w:val="15"/>
          <w:color w:val="auto"/>
        </w:rPr>
        <w:t xml:space="preserve">; </w:t>
      </w:r>
      <w:r>
        <w:rPr>
          <w:rFonts w:ascii="Arial" w:cs="Arial" w:eastAsia="Arial" w:hAnsi="Arial"/>
          <w:sz w:val="15"/>
          <w:szCs w:val="15"/>
          <w:u w:val="single" w:color="auto"/>
          <w:color w:val="auto"/>
        </w:rPr>
        <w:t>http://www.oecd.org/investment/mne/1922428.pdf.</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74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decimal"/>
      <w:start w:val="1"/>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bullet"/>
      <w:start w:val="1"/>
    </w:lvl>
  </w:abstractNum>
  <w:abstractNum w:abstractNumId="5">
    <w:nsid w:val="109CF92E"/>
    <w:multiLevelType w:val="hybridMultilevel"/>
    <w:lvl w:ilvl="0">
      <w:lvlJc w:val="left"/>
      <w:lvlText w:val="7"/>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0"/>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6"/>
    </w:lvl>
  </w:abstractNum>
  <w:abstractNum w:abstractNumId="10">
    <w:nsid w:val="6B68079A"/>
    <w:multiLevelType w:val="hybridMultilevel"/>
    <w:lvl w:ilvl="0">
      <w:lvlJc w:val="left"/>
      <w:lvlText w:val="%1"/>
      <w:numFmt w:val="decimal"/>
      <w:start w:val="17"/>
    </w:lvl>
  </w:abstractNum>
  <w:abstractNum w:abstractNumId="11">
    <w:nsid w:val="4E6AFB66"/>
    <w:multiLevelType w:val="hybridMultilevel"/>
    <w:lvl w:ilvl="0">
      <w:lvlJc w:val="left"/>
      <w:lvlText w:val="%1."/>
      <w:numFmt w:val="decimal"/>
      <w:start w:val="1"/>
    </w:lvl>
    <w:lvl w:ilvl="1">
      <w:lvlJc w:val="left"/>
      <w:lvlText w:val="●"/>
      <w:numFmt w:val="bullet"/>
      <w:start w:val="1"/>
    </w:lvl>
  </w:abstractNum>
  <w:abstractNum w:abstractNumId="12">
    <w:nsid w:val="25E45D32"/>
    <w:multiLevelType w:val="hybridMultilevel"/>
    <w:lvl w:ilvl="0">
      <w:lvlJc w:val="left"/>
      <w:lvlText w:val="%1"/>
      <w:numFmt w:val="decimal"/>
      <w:start w:val="20"/>
    </w:lvl>
  </w:abstractNum>
  <w:abstractNum w:abstractNumId="13">
    <w:nsid w:val="519B500D"/>
    <w:multiLevelType w:val="hybridMultilevel"/>
    <w:lvl w:ilvl="0">
      <w:lvlJc w:val="left"/>
      <w:lvlText w:val="%1"/>
      <w:numFmt w:val="decimal"/>
      <w:start w:val="24"/>
    </w:lvl>
  </w:abstractNum>
  <w:abstractNum w:abstractNumId="14">
    <w:nsid w:val="431BD7B7"/>
    <w:multiLevelType w:val="hybridMultilevel"/>
    <w:lvl w:ilvl="0">
      <w:lvlJc w:val="left"/>
      <w:lvlText w:val="%1"/>
      <w:numFmt w:val="decimal"/>
      <w:start w:val="29"/>
    </w:lvl>
  </w:abstractNum>
  <w:abstractNum w:abstractNumId="15">
    <w:nsid w:val="3F2DBA31"/>
    <w:multiLevelType w:val="hybridMultilevel"/>
    <w:lvl w:ilvl="0">
      <w:lvlJc w:val="left"/>
      <w:lvlText w:val="%1"/>
      <w:numFmt w:val="decimal"/>
      <w:start w:val="33"/>
    </w:lvl>
  </w:abstractNum>
  <w:abstractNum w:abstractNumId="16">
    <w:nsid w:val="7C83E458"/>
    <w:multiLevelType w:val="hybridMultilevel"/>
    <w:lvl w:ilvl="0">
      <w:lvlJc w:val="left"/>
      <w:lvlText w:val="%1"/>
      <w:numFmt w:val="decimal"/>
      <w:start w:val="42"/>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49"/>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decimal"/>
      <w:start w:val="5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2020-04-03T12:37:56Z</dcterms:created>
  <dcterms:modified xsi:type="dcterms:W3CDTF">2020-04-03T12:37:56Z</dcterms:modified>
</cp:coreProperties>
</file>