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3122295</wp:posOffset>
            </wp:positionH>
            <wp:positionV relativeFrom="paragraph">
              <wp:posOffset>105410</wp:posOffset>
            </wp:positionV>
            <wp:extent cx="9296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9640" cy="6985"/>
                    </a:xfrm>
                    <a:prstGeom prst="rect">
                      <a:avLst/>
                    </a:prstGeom>
                    <a:noFill/>
                  </pic:spPr>
                </pic:pic>
              </a:graphicData>
            </a:graphic>
          </wp:anchor>
        </w:drawing>
      </w:r>
    </w:p>
    <w:p>
      <w:pPr>
        <w:spacing w:after="0" w:line="19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u w:val="single" w:color="auto"/>
          <w:color w:val="auto"/>
        </w:rPr>
        <w:t>FORM 8-K</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October 28, 2026</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PILGRIM'S PRIDE CORPORATION</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120" w:type="dxa"/>
            <w:vAlign w:val="bottom"/>
          </w:tcPr>
          <w:p>
            <w:pPr>
              <w:spacing w:after="0"/>
              <w:rPr>
                <w:sz w:val="17"/>
                <w:szCs w:val="17"/>
                <w:color w:val="auto"/>
              </w:rPr>
            </w:pPr>
          </w:p>
        </w:tc>
        <w:tc>
          <w:tcPr>
            <w:tcW w:w="3380" w:type="dxa"/>
            <w:vAlign w:val="bottom"/>
          </w:tcPr>
          <w:p>
            <w:pPr>
              <w:jc w:val="center"/>
              <w:ind w:left="736"/>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660" w:type="dxa"/>
            <w:vAlign w:val="bottom"/>
            <w:gridSpan w:val="3"/>
          </w:tcPr>
          <w:p>
            <w:pPr>
              <w:jc w:val="right"/>
              <w:ind w:right="1273"/>
              <w:spacing w:after="0"/>
              <w:rPr>
                <w:sz w:val="20"/>
                <w:szCs w:val="20"/>
                <w:color w:val="auto"/>
              </w:rPr>
            </w:pPr>
            <w:r>
              <w:rPr>
                <w:rFonts w:ascii="Times New Roman" w:cs="Times New Roman" w:eastAsia="Times New Roman" w:hAnsi="Times New Roman"/>
                <w:sz w:val="16"/>
                <w:szCs w:val="16"/>
                <w:b w:val="1"/>
                <w:bCs w:val="1"/>
                <w:color w:val="auto"/>
              </w:rPr>
              <w:t>1-9273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80" w:type="dxa"/>
            <w:vAlign w:val="bottom"/>
          </w:tcPr>
          <w:p>
            <w:pPr>
              <w:jc w:val="right"/>
              <w:ind w:right="2129"/>
              <w:spacing w:after="0"/>
              <w:rPr>
                <w:sz w:val="20"/>
                <w:szCs w:val="20"/>
                <w:color w:val="auto"/>
              </w:rPr>
            </w:pPr>
            <w:r>
              <w:rPr>
                <w:rFonts w:ascii="Times New Roman" w:cs="Times New Roman" w:eastAsia="Times New Roman" w:hAnsi="Times New Roman"/>
                <w:sz w:val="16"/>
                <w:szCs w:val="16"/>
                <w:b w:val="1"/>
                <w:bCs w:val="1"/>
                <w:color w:val="auto"/>
              </w:rPr>
              <w:t>75-1285071</w:t>
            </w: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3380" w:type="dxa"/>
            <w:vAlign w:val="bottom"/>
          </w:tcPr>
          <w:p>
            <w:pPr>
              <w:jc w:val="center"/>
              <w:ind w:left="736"/>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color w:val="auto"/>
              </w:rPr>
              <w:t>(Commission File Number)</w:t>
            </w:r>
          </w:p>
        </w:tc>
        <w:tc>
          <w:tcPr>
            <w:tcW w:w="3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3380" w:type="dxa"/>
            <w:vAlign w:val="bottom"/>
          </w:tcPr>
          <w:p>
            <w:pPr>
              <w:jc w:val="center"/>
              <w:ind w:left="736"/>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0" w:type="dxa"/>
            <w:vAlign w:val="bottom"/>
            <w:gridSpan w:val="3"/>
            <w:vMerge w:val="continue"/>
          </w:tcPr>
          <w:p>
            <w:pPr>
              <w:spacing w:after="0"/>
              <w:rPr>
                <w:sz w:val="13"/>
                <w:szCs w:val="13"/>
                <w:color w:val="auto"/>
              </w:rPr>
            </w:pPr>
          </w:p>
        </w:tc>
        <w:tc>
          <w:tcPr>
            <w:tcW w:w="3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0"/>
        </w:trPr>
        <w:tc>
          <w:tcPr>
            <w:tcW w:w="120" w:type="dxa"/>
            <w:vAlign w:val="bottom"/>
          </w:tcPr>
          <w:p>
            <w:pPr>
              <w:spacing w:after="0"/>
              <w:rPr>
                <w:sz w:val="24"/>
                <w:szCs w:val="24"/>
                <w:color w:val="auto"/>
              </w:rPr>
            </w:pPr>
          </w:p>
        </w:tc>
        <w:tc>
          <w:tcPr>
            <w:tcW w:w="3380" w:type="dxa"/>
            <w:vAlign w:val="bottom"/>
          </w:tcPr>
          <w:p>
            <w:pPr>
              <w:jc w:val="center"/>
              <w:ind w:left="736"/>
              <w:spacing w:after="0"/>
              <w:rPr>
                <w:sz w:val="20"/>
                <w:szCs w:val="20"/>
                <w:color w:val="auto"/>
              </w:rPr>
            </w:pPr>
            <w:r>
              <w:rPr>
                <w:rFonts w:ascii="Times New Roman" w:cs="Times New Roman" w:eastAsia="Times New Roman" w:hAnsi="Times New Roman"/>
                <w:sz w:val="14"/>
                <w:szCs w:val="14"/>
                <w:b w:val="1"/>
                <w:bCs w:val="1"/>
                <w:color w:val="auto"/>
              </w:rPr>
              <w:t>1770 Promontory Circle</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80634-9038</w:t>
            </w: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338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Greeley CO</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51"/>
        </w:trPr>
        <w:tc>
          <w:tcPr>
            <w:tcW w:w="120" w:type="dxa"/>
            <w:vAlign w:val="bottom"/>
          </w:tcPr>
          <w:p>
            <w:pPr>
              <w:spacing w:after="0"/>
              <w:rPr>
                <w:sz w:val="13"/>
                <w:szCs w:val="13"/>
                <w:color w:val="auto"/>
              </w:rPr>
            </w:pPr>
          </w:p>
        </w:tc>
        <w:tc>
          <w:tcPr>
            <w:tcW w:w="3380" w:type="dxa"/>
            <w:vAlign w:val="bottom"/>
          </w:tcPr>
          <w:p>
            <w:pPr>
              <w:jc w:val="center"/>
              <w:ind w:left="736"/>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0"/>
        </w:trPr>
        <w:tc>
          <w:tcPr>
            <w:tcW w:w="1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100" w:type="dxa"/>
            <w:vAlign w:val="bottom"/>
            <w:gridSpan w:val="5"/>
          </w:tcPr>
          <w:p>
            <w:pPr>
              <w:jc w:val="center"/>
              <w:ind w:left="106"/>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(970) 506-8000</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120" w:type="dxa"/>
            <w:vAlign w:val="bottom"/>
          </w:tcPr>
          <w:p>
            <w:pPr>
              <w:spacing w:after="0"/>
              <w:rPr>
                <w:sz w:val="24"/>
                <w:szCs w:val="24"/>
                <w:color w:val="auto"/>
              </w:rPr>
            </w:pPr>
          </w:p>
        </w:tc>
        <w:tc>
          <w:tcPr>
            <w:tcW w:w="3380" w:type="dxa"/>
            <w:vAlign w:val="bottom"/>
            <w:tcBorders>
              <w:bottom w:val="single" w:sz="8" w:color="auto"/>
            </w:tcBorders>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3380" w:type="dxa"/>
            <w:vAlign w:val="bottom"/>
          </w:tcPr>
          <w:p>
            <w:pPr>
              <w:jc w:val="center"/>
              <w:ind w:left="276"/>
              <w:spacing w:after="0"/>
              <w:rPr>
                <w:sz w:val="20"/>
                <w:szCs w:val="20"/>
                <w:color w:val="auto"/>
              </w:rPr>
            </w:pPr>
            <w:r>
              <w:rPr>
                <w:rFonts w:ascii="Times New Roman" w:cs="Times New Roman" w:eastAsia="Times New Roman" w:hAnsi="Times New Roman"/>
                <w:sz w:val="11"/>
                <w:szCs w:val="11"/>
                <w:b w:val="1"/>
                <w:bCs w:val="1"/>
                <w:color w:val="auto"/>
              </w:rPr>
              <w:t>Common Stock, Par Value $0.01</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0" w:type="dxa"/>
            <w:vAlign w:val="bottom"/>
            <w:gridSpan w:val="3"/>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PPC</w:t>
            </w:r>
          </w:p>
        </w:tc>
        <w:tc>
          <w:tcPr>
            <w:tcW w:w="3580" w:type="dxa"/>
            <w:vAlign w:val="bottom"/>
          </w:tcPr>
          <w:p>
            <w:pPr>
              <w:jc w:val="center"/>
              <w:ind w:right="149"/>
              <w:spacing w:after="0"/>
              <w:rPr>
                <w:sz w:val="20"/>
                <w:szCs w:val="20"/>
                <w:color w:val="auto"/>
              </w:rPr>
            </w:pPr>
            <w:r>
              <w:rPr>
                <w:rFonts w:ascii="Times New Roman" w:cs="Times New Roman" w:eastAsia="Times New Roman" w:hAnsi="Times New Roman"/>
                <w:sz w:val="11"/>
                <w:szCs w:val="11"/>
                <w:b w:val="1"/>
                <w:bCs w:val="1"/>
                <w:color w:val="auto"/>
              </w:rPr>
              <w:t>The Nasdaq Stock Market LLC</w:t>
            </w:r>
          </w:p>
        </w:tc>
        <w:tc>
          <w:tcPr>
            <w:tcW w:w="0" w:type="dxa"/>
            <w:vAlign w:val="bottom"/>
          </w:tcPr>
          <w:p>
            <w:pPr>
              <w:spacing w:after="0"/>
              <w:rPr>
                <w:sz w:val="1"/>
                <w:szCs w:val="1"/>
                <w:color w:val="auto"/>
              </w:rPr>
            </w:pPr>
          </w:p>
        </w:tc>
      </w:tr>
      <w:tr>
        <w:trPr>
          <w:trHeight w:val="390"/>
        </w:trPr>
        <w:tc>
          <w:tcPr>
            <w:tcW w:w="1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1539240</wp:posOffset>
            </wp:positionH>
            <wp:positionV relativeFrom="paragraph">
              <wp:posOffset>121285</wp:posOffset>
            </wp:positionV>
            <wp:extent cx="40894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89400" cy="6985"/>
                    </a:xfrm>
                    <a:prstGeom prst="rect">
                      <a:avLst/>
                    </a:prstGeom>
                    <a:noFill/>
                  </pic:spPr>
                </pic:pic>
              </a:graphicData>
            </a:graphic>
          </wp:anchor>
        </w:drawing>
      </w:r>
    </w:p>
    <w:p>
      <w:pPr>
        <w:spacing w:after="0" w:line="3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36" w:lineRule="exact"/>
        <w:rPr>
          <w:sz w:val="24"/>
          <w:szCs w:val="2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36" w:lineRule="exact"/>
        <w:rPr>
          <w:rFonts w:ascii="MS PGothic" w:cs="MS PGothic" w:eastAsia="MS PGothic" w:hAnsi="MS PGothic"/>
          <w:sz w:val="14"/>
          <w:szCs w:val="14"/>
          <w:color w:val="auto"/>
        </w:rPr>
      </w:pPr>
    </w:p>
    <w:p>
      <w:pPr>
        <w:ind w:left="280" w:hanging="275"/>
        <w:spacing w:after="0"/>
        <w:tabs>
          <w:tab w:leader="none" w:pos="2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32" w:lineRule="exact"/>
        <w:rPr>
          <w:sz w:val="24"/>
          <w:szCs w:val="24"/>
          <w:color w:val="auto"/>
        </w:rPr>
      </w:pPr>
    </w:p>
    <w:p>
      <w:pPr>
        <w:ind w:firstLine="154"/>
        <w:spacing w:after="0" w:line="29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an emerging growth company as defined in Rule 405 of the Securities Act of 1933 </w:t>
      </w:r>
      <w:r>
        <w:rPr>
          <w:rFonts w:ascii="Times New Roman" w:cs="Times New Roman" w:eastAsia="Times New Roman" w:hAnsi="Times New Roman"/>
          <w:sz w:val="15"/>
          <w:szCs w:val="15"/>
          <w:color w:val="auto"/>
        </w:rPr>
        <w:t>(§230.405 of this chapter) or Rule 12b-2 of the Securities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Exchange Act of 1934 (§240.12b-2 of this chapter).</w:t>
      </w:r>
    </w:p>
    <w:p>
      <w:pPr>
        <w:spacing w:after="0" w:line="41" w:lineRule="exact"/>
        <w:rPr>
          <w:sz w:val="24"/>
          <w:szCs w:val="24"/>
          <w:color w:val="auto"/>
        </w:rPr>
      </w:pPr>
    </w:p>
    <w:p>
      <w:pPr>
        <w:ind w:left="3340"/>
        <w:spacing w:after="0" w:line="161" w:lineRule="exact"/>
        <w:tabs>
          <w:tab w:leader="none" w:pos="512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25" w:lineRule="exact"/>
        <w:rPr>
          <w:sz w:val="24"/>
          <w:szCs w:val="24"/>
          <w:color w:val="auto"/>
        </w:rPr>
      </w:pPr>
    </w:p>
    <w:p>
      <w:pPr>
        <w:ind w:firstLine="151"/>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411480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7"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2.02 Results of Operations and Financial Condition.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October 28, 2026 the Registrant issued a press release, a copy of which is attached hereto as Exhibit 99.1 and incorporated herein by reference.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Exhibit 99.1</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Press release dated October 28, 2026.</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104 Cover Page Interactive Data File formatted in iXBRL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520700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728" w:right="1440" w:bottom="1440" w:gutter="0" w:footer="0" w:header="0"/>
        </w:sectPr>
      </w:pPr>
    </w:p>
    <w:bookmarkStart w:id="2" w:name="page3"/>
    <w:bookmarkEnd w:id="2"/>
    <w:p>
      <w:pPr>
        <w:ind w:left="52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PILGRIM’S PRIDE CORPORATION</w:t>
            </w:r>
          </w:p>
        </w:tc>
      </w:tr>
      <w:tr>
        <w:trPr>
          <w:trHeight w:val="244"/>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6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October 28, 2026</w:t>
            </w:r>
          </w:p>
        </w:tc>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Matthew Galvanoni</w:t>
            </w:r>
          </w:p>
        </w:tc>
      </w:tr>
      <w:tr>
        <w:trPr>
          <w:trHeight w:val="181"/>
        </w:trPr>
        <w:tc>
          <w:tcPr>
            <w:tcW w:w="700" w:type="dxa"/>
            <w:vAlign w:val="bottom"/>
          </w:tcPr>
          <w:p>
            <w:pPr>
              <w:spacing w:after="0"/>
              <w:rPr>
                <w:sz w:val="15"/>
                <w:szCs w:val="15"/>
                <w:color w:val="auto"/>
              </w:rPr>
            </w:pPr>
          </w:p>
        </w:tc>
        <w:tc>
          <w:tcPr>
            <w:tcW w:w="1860" w:type="dxa"/>
            <w:vAlign w:val="bottom"/>
            <w:tcBorders>
              <w:top w:val="single" w:sz="8" w:color="auto"/>
            </w:tcBorders>
          </w:tcPr>
          <w:p>
            <w:pPr>
              <w:spacing w:after="0"/>
              <w:rPr>
                <w:sz w:val="15"/>
                <w:szCs w:val="15"/>
                <w:color w:val="auto"/>
              </w:rPr>
            </w:pPr>
          </w:p>
        </w:tc>
        <w:tc>
          <w:tcPr>
            <w:tcW w:w="4800" w:type="dxa"/>
            <w:vAlign w:val="bottom"/>
          </w:tcPr>
          <w:p>
            <w:pPr>
              <w:spacing w:after="0"/>
              <w:rPr>
                <w:sz w:val="15"/>
                <w:szCs w:val="15"/>
                <w:color w:val="auto"/>
              </w:rPr>
            </w:pPr>
          </w:p>
        </w:tc>
        <w:tc>
          <w:tcPr>
            <w:tcW w:w="3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Matthew Galvanoni</w:t>
            </w:r>
          </w:p>
        </w:tc>
      </w:tr>
      <w:tr>
        <w:trPr>
          <w:trHeight w:val="191"/>
        </w:trPr>
        <w:tc>
          <w:tcPr>
            <w:tcW w:w="7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 and Chief Accounting Officer</w:t>
            </w:r>
          </w:p>
        </w:tc>
      </w:tr>
    </w:tbl>
    <w:p>
      <w:pPr>
        <w:sectPr>
          <w:pgSz w:w="11900" w:h="16838" w:orient="portrait"/>
          <w:cols w:equalWidth="0" w:num="1">
            <w:col w:w="11280"/>
          </w:cols>
          <w:pgMar w:left="300" w:top="728"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2026-10-29T05:19:11Z</dcterms:created>
  <dcterms:modified xsi:type="dcterms:W3CDTF">2026-10-29T05:19:11Z</dcterms:modified>
</cp:coreProperties>
</file>