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QUARTERLY REPORT UNDER SECTION 13 OR 15 (d) OF</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quarter ended December 31, 1994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1-9273</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PILGRIM'S PRIDE CORPORATION</w:t>
      </w:r>
    </w:p>
    <w:p>
      <w:pPr>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26"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75-1285071</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3500" w:space="720"/>
            <w:col w:w="5999"/>
          </w:cols>
          <w:pgMar w:left="240" w:top="244" w:right="1440" w:bottom="26" w:gutter="0" w:footer="0" w:header="0"/>
          <w:type w:val="continuous"/>
        </w:sectPr>
      </w:pPr>
    </w:p>
    <w:p>
      <w:pPr>
        <w:spacing w:after="0" w:line="209" w:lineRule="exact"/>
        <w:rPr>
          <w:sz w:val="24"/>
          <w:szCs w:val="24"/>
          <w:color w:val="auto"/>
        </w:rPr>
      </w:pPr>
    </w:p>
    <w:p>
      <w:pPr>
        <w:ind w:right="340" w:firstLine="211"/>
        <w:spacing w:after="0" w:line="290" w:lineRule="auto"/>
        <w:rPr>
          <w:sz w:val="20"/>
          <w:szCs w:val="20"/>
          <w:color w:val="auto"/>
        </w:rPr>
      </w:pPr>
      <w:r>
        <w:rPr>
          <w:rFonts w:ascii="Courier New" w:cs="Courier New" w:eastAsia="Courier New" w:hAnsi="Courier New"/>
          <w:sz w:val="16"/>
          <w:szCs w:val="16"/>
          <w:color w:val="auto"/>
        </w:rPr>
        <w:t>110 South Texas, Pittsburg, TX (Address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75686-0093</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560" w:space="720"/>
            <w:col w:w="4939"/>
          </w:cols>
          <w:pgMar w:left="240" w:top="244" w:right="1440" w:bottom="26" w:gutter="0" w:footer="0" w:header="0"/>
          <w:type w:val="continuous"/>
        </w:sectPr>
      </w:pPr>
    </w:p>
    <w:p>
      <w:pPr>
        <w:spacing w:after="0" w:line="167" w:lineRule="exact"/>
        <w:rPr>
          <w:sz w:val="24"/>
          <w:szCs w:val="24"/>
          <w:color w:val="auto"/>
        </w:rPr>
      </w:pPr>
    </w:p>
    <w:p>
      <w:pPr>
        <w:jc w:val="center"/>
        <w:ind w:right="5139"/>
        <w:spacing w:after="0"/>
        <w:rPr>
          <w:sz w:val="20"/>
          <w:szCs w:val="20"/>
          <w:color w:val="auto"/>
        </w:rPr>
      </w:pPr>
      <w:r>
        <w:rPr>
          <w:rFonts w:ascii="Courier New" w:cs="Courier New" w:eastAsia="Courier New" w:hAnsi="Courier New"/>
          <w:sz w:val="18"/>
          <w:szCs w:val="18"/>
          <w:color w:val="auto"/>
        </w:rPr>
        <w:t>(903) 855-1000</w:t>
      </w:r>
    </w:p>
    <w:p>
      <w:pPr>
        <w:spacing w:after="0" w:line="4"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6"/>
          <w:szCs w:val="16"/>
          <w:color w:val="auto"/>
        </w:rPr>
        <w:t>(Telephone number of principle executive offices)</w:t>
      </w:r>
    </w:p>
    <w:p>
      <w:pPr>
        <w:spacing w:after="0" w:line="200" w:lineRule="exact"/>
        <w:rPr>
          <w:sz w:val="24"/>
          <w:szCs w:val="24"/>
          <w:color w:val="auto"/>
        </w:rPr>
      </w:pPr>
    </w:p>
    <w:p>
      <w:pPr>
        <w:spacing w:after="0" w:line="22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 (1) has filed</w:t>
      </w:r>
    </w:p>
    <w:tbl>
      <w:tblPr>
        <w:tblLayout w:type="fixed"/>
        <w:tblInd w:w="0" w:type="dxa"/>
        <w:tblCellMar>
          <w:top w:w="0" w:type="dxa"/>
          <w:left w:w="0" w:type="dxa"/>
          <w:bottom w:w="0" w:type="dxa"/>
          <w:right w:w="0" w:type="dxa"/>
        </w:tblCellMar>
      </w:tblP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all reports required to be filed by Section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 or 15</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of the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Securities Exchange Act of 1934 during the preceding</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months (or for such shorter periods that the registrant was</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required to file such reports), and (2) has</w:t>
            </w: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been subject to</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such filing requirements for the past 90 days. Yes X</w:t>
            </w:r>
          </w:p>
        </w:tc>
        <w:tc>
          <w:tcPr>
            <w:tcW w:w="2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w:t>
            </w:r>
          </w:p>
        </w:tc>
      </w:tr>
      <w:tr>
        <w:trPr>
          <w:trHeight w:val="608"/>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the number of shares outstanding of each of</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issuer's classes of common stock, as of the</w:t>
            </w: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latest practical</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Common Stock $.01</w:t>
            </w:r>
          </w:p>
        </w:tc>
        <w:tc>
          <w:tcPr>
            <w:tcW w:w="2600" w:type="dxa"/>
            <w:vAlign w:val="bottom"/>
          </w:tcPr>
          <w:p>
            <w:pPr>
              <w:ind w:left="220"/>
              <w:spacing w:after="0"/>
              <w:rPr>
                <w:sz w:val="20"/>
                <w:szCs w:val="20"/>
                <w:color w:val="auto"/>
              </w:rPr>
            </w:pPr>
            <w:r>
              <w:rPr>
                <w:rFonts w:ascii="Courier New" w:cs="Courier New" w:eastAsia="Courier New" w:hAnsi="Courier New"/>
                <w:sz w:val="18"/>
                <w:szCs w:val="18"/>
                <w:color w:val="auto"/>
                <w:w w:val="99"/>
              </w:rPr>
              <w:t>Par Value---27,589,250</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shares</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as of February 2, 1995</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DOCUMENT NO. 1 - 10-Q</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PILGRIM'S PRIDE CORPORATION AND SUBSIDIARIES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December 31, 1994 and October 1, 1994</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Three months ended December 31, 1994 and January 1, 1994</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Three months ended December 31, 1994 and January 1, 1994</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Notes to condensed consolidated financial statements--</w:t>
      </w:r>
    </w:p>
    <w:p>
      <w:pPr>
        <w:ind w:left="1580"/>
        <w:spacing w:after="0" w:line="238" w:lineRule="auto"/>
        <w:rPr>
          <w:sz w:val="20"/>
          <w:szCs w:val="20"/>
          <w:color w:val="auto"/>
        </w:rPr>
      </w:pPr>
      <w:r>
        <w:rPr>
          <w:rFonts w:ascii="Courier New" w:cs="Courier New" w:eastAsia="Courier New" w:hAnsi="Courier New"/>
          <w:sz w:val="18"/>
          <w:szCs w:val="18"/>
          <w:color w:val="auto"/>
        </w:rPr>
        <w:t>December 31, 1994</w:t>
      </w:r>
    </w:p>
    <w:p>
      <w:pPr>
        <w:spacing w:after="0" w:line="200" w:lineRule="exact"/>
        <w:rPr>
          <w:sz w:val="24"/>
          <w:szCs w:val="24"/>
          <w:color w:val="auto"/>
        </w:rPr>
      </w:pPr>
    </w:p>
    <w:p>
      <w:pPr>
        <w:spacing w:after="0" w:line="210" w:lineRule="exact"/>
        <w:rPr>
          <w:sz w:val="24"/>
          <w:szCs w:val="24"/>
          <w:color w:val="auto"/>
        </w:rPr>
      </w:pPr>
    </w:p>
    <w:p>
      <w:pPr>
        <w:ind w:left="1580" w:right="241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ectPr>
          <w:pgSz w:w="11900" w:h="16838" w:orient="portrait"/>
          <w:cols w:equalWidth="0" w:num="1">
            <w:col w:w="10219"/>
          </w:cols>
          <w:pgMar w:left="240" w:top="244" w:right="1440" w:bottom="26"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 NO. 2 - EXHIBIT 27, 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PART I.</w:t>
        <w:tab/>
        <w:t>FINANCIAL INFORMATION PILGRIM'S PRIDE CORPORATION AND SUBSIDIARIES 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Item 1:  Financial Statements (Unaudited):</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December 31,</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1,</w:t>
            </w:r>
          </w:p>
        </w:tc>
      </w:tr>
      <w:tr>
        <w:trPr>
          <w:trHeight w:val="203"/>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26,990,000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11,244,000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Trade accounts and notes receivable, net</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46,528,000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53,264,000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86,392,000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100,749,000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6,911,000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6,459,000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1,558,000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1,280,000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1,249,000</w:t>
            </w:r>
          </w:p>
        </w:tc>
      </w:tr>
      <w:tr>
        <w:trPr>
          <w:trHeight w:val="203"/>
        </w:trPr>
        <w:tc>
          <w:tcPr>
            <w:tcW w:w="50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169,862,000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174,245,000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20,594,000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20,891,000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42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388,188,000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379,752,000</w:t>
            </w:r>
          </w:p>
        </w:tc>
      </w:tr>
      <w:tr>
        <w:trPr>
          <w:trHeight w:val="203"/>
        </w:trPr>
        <w:tc>
          <w:tcPr>
            <w:tcW w:w="67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8"/>
              </w:rPr>
              <w:t>Less accumulated depreciation and amortization 141,687,000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136,205,000</w:t>
            </w:r>
          </w:p>
        </w:tc>
      </w:tr>
      <w:tr>
        <w:trPr>
          <w:trHeight w:val="203"/>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246,501,000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243,547,000</w:t>
            </w:r>
          </w:p>
        </w:tc>
      </w:tr>
      <w:tr>
        <w:trPr>
          <w:trHeight w:val="405"/>
        </w:trPr>
        <w:tc>
          <w:tcPr>
            <w:tcW w:w="5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436,957,000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438,683,000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Notes payable - banks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35,930,000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38,675,000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31,936,000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31,353,000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5,598,000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4,493,000</w:t>
            </w:r>
          </w:p>
        </w:tc>
      </w:tr>
      <w:tr>
        <w:trPr>
          <w:trHeight w:val="203"/>
        </w:trPr>
        <w:tc>
          <w:tcPr>
            <w:tcW w:w="50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73,464,000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74,521,000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Long-Term Debt, less current portion</w:t>
            </w:r>
          </w:p>
        </w:tc>
        <w:tc>
          <w:tcPr>
            <w:tcW w:w="42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150,646,000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152,631,000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51,009,000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49,835,000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79,763,000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79,763,000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81,799,000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81,657,000</w:t>
            </w:r>
          </w:p>
        </w:tc>
      </w:tr>
      <w:tr>
        <w:trPr>
          <w:trHeight w:val="405"/>
        </w:trPr>
        <w:tc>
          <w:tcPr>
            <w:tcW w:w="5020" w:type="dxa"/>
            <w:vAlign w:val="bottom"/>
          </w:tcPr>
          <w:p>
            <w:pPr>
              <w:ind w:left="1060"/>
              <w:spacing w:after="0"/>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161,838,000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161,696,000</w:t>
            </w:r>
          </w:p>
        </w:tc>
      </w:tr>
      <w:tr>
        <w:trPr>
          <w:trHeight w:val="405"/>
        </w:trPr>
        <w:tc>
          <w:tcPr>
            <w:tcW w:w="5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436,957,000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438,683,000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PILGRIM'S PRIDE CORPORATION AND SUBSIDIARIES</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22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33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7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January 1,</w:t>
            </w:r>
          </w:p>
        </w:tc>
      </w:tr>
      <w:tr>
        <w:trPr>
          <w:trHeight w:val="203"/>
        </w:trPr>
        <w:tc>
          <w:tcPr>
            <w:tcW w:w="474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$ 227,000,000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$ 221,851,000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sales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206,235,000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192,497,000</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12,023,000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12,952,000</w:t>
            </w:r>
          </w:p>
        </w:tc>
      </w:tr>
      <w:tr>
        <w:trPr>
          <w:trHeight w:val="405"/>
        </w:trPr>
        <w:tc>
          <w:tcPr>
            <w:tcW w:w="474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218,258,000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205,449,000</w:t>
            </w:r>
          </w:p>
        </w:tc>
      </w:tr>
      <w:tr>
        <w:trPr>
          <w:trHeight w:val="405"/>
        </w:trPr>
        <w:tc>
          <w:tcPr>
            <w:tcW w:w="4740" w:type="dxa"/>
            <w:vAlign w:val="bottom"/>
          </w:tcPr>
          <w:p>
            <w:pPr>
              <w:ind w:left="1580"/>
              <w:spacing w:after="0"/>
              <w:rPr>
                <w:sz w:val="20"/>
                <w:szCs w:val="20"/>
                <w:color w:val="auto"/>
              </w:rPr>
            </w:pPr>
            <w:r>
              <w:rPr>
                <w:rFonts w:ascii="Courier New" w:cs="Courier New" w:eastAsia="Courier New" w:hAnsi="Courier New"/>
                <w:sz w:val="18"/>
                <w:szCs w:val="18"/>
                <w:color w:val="auto"/>
              </w:rPr>
              <w:t>Operating Income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8,742,000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16,402,000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expense (income):</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540"/>
              <w:spacing w:after="0"/>
              <w:rPr>
                <w:sz w:val="20"/>
                <w:szCs w:val="20"/>
                <w:color w:val="auto"/>
              </w:rPr>
            </w:pPr>
            <w:r>
              <w:rPr>
                <w:rFonts w:ascii="Courier New" w:cs="Courier New" w:eastAsia="Courier New" w:hAnsi="Courier New"/>
                <w:sz w:val="18"/>
                <w:szCs w:val="18"/>
                <w:color w:val="auto"/>
              </w:rPr>
              <w:t>Interest expense, net</w:t>
            </w:r>
          </w:p>
        </w:tc>
        <w:tc>
          <w:tcPr>
            <w:tcW w:w="78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4,327,000</w:t>
            </w:r>
          </w:p>
        </w:tc>
        <w:tc>
          <w:tcPr>
            <w:tcW w:w="22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4,950,000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Foreign exchange (gain) loss</w:t>
            </w:r>
          </w:p>
        </w:tc>
        <w:tc>
          <w:tcPr>
            <w:tcW w:w="7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2,345,000</w:t>
            </w: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[106,000]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Miscellaneous, net</w:t>
            </w:r>
          </w:p>
        </w:tc>
        <w:tc>
          <w:tcPr>
            <w:tcW w:w="7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[247,000]</w:t>
            </w: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[472,000]</w:t>
            </w:r>
          </w:p>
        </w:tc>
      </w:tr>
      <w:tr>
        <w:trPr>
          <w:trHeight w:val="405"/>
        </w:trPr>
        <w:tc>
          <w:tcPr>
            <w:tcW w:w="4700" w:type="dxa"/>
            <w:vAlign w:val="bottom"/>
          </w:tcPr>
          <w:p>
            <w:pPr>
              <w:ind w:left="1580"/>
              <w:spacing w:after="0"/>
              <w:rPr>
                <w:sz w:val="20"/>
                <w:szCs w:val="20"/>
                <w:color w:val="auto"/>
              </w:rPr>
            </w:pPr>
            <w:r>
              <w:rPr>
                <w:rFonts w:ascii="Courier New" w:cs="Courier New" w:eastAsia="Courier New" w:hAnsi="Courier New"/>
                <w:sz w:val="18"/>
                <w:szCs w:val="18"/>
                <w:color w:val="auto"/>
              </w:rPr>
              <w:t>Total other expense, net</w:t>
            </w:r>
          </w:p>
        </w:tc>
        <w:tc>
          <w:tcPr>
            <w:tcW w:w="7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6,425,000</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4,372,000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7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2,317,000</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12,030,000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7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1,761,000</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3,609,000</w:t>
            </w:r>
          </w:p>
        </w:tc>
      </w:tr>
      <w:tr>
        <w:trPr>
          <w:trHeight w:val="203"/>
        </w:trPr>
        <w:tc>
          <w:tcPr>
            <w:tcW w:w="47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556,000</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8,421,000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w:t>
            </w:r>
          </w:p>
        </w:tc>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Dividends declared per common share</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.015</w:t>
            </w:r>
          </w:p>
        </w:tc>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.015</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7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27,589,250</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27,589,250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PILGRIM'S PRIDE CORPORATION</w:t>
      </w:r>
    </w:p>
    <w:p>
      <w:pPr>
        <w:ind w:left="21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34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December 31,</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January 1,</w:t>
            </w:r>
          </w:p>
        </w:tc>
      </w:t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 From Operating Activities: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8,421,000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6,271,000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6,248,000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Provision for losses on accounts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receivable</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[2,202,000]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722,000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2,880,000</w:t>
            </w:r>
          </w:p>
        </w:tc>
      </w:tr>
      <w:tr>
        <w:trPr>
          <w:trHeight w:val="203"/>
        </w:trPr>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and notes receivable</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8,938,000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[7,072,000]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14,358,000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3,102,000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8"/>
              </w:rPr>
              <w:t>Prepaid expenses and other current</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[2,162,000]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3,222,000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(Gain) loss on property disposals</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w:t>
            </w:r>
          </w:p>
        </w:tc>
      </w:tr>
      <w:tr>
        <w:trPr>
          <w:trHeight w:val="203"/>
        </w:trPr>
        <w:tc>
          <w:tcPr>
            <w:tcW w:w="5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[139,000]</w:t>
            </w:r>
          </w:p>
        </w:tc>
      </w:tr>
      <w:tr>
        <w:trPr>
          <w:trHeight w:val="203"/>
        </w:trPr>
        <w:tc>
          <w:tcPr>
            <w:tcW w:w="52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Cash Provided By Operating</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26,773,000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17,246,000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 of property and equipment</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[8,826,000]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[6,409,000]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property disposals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249,000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change in other assets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52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[8,647,000]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[6,195,000]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notes payable to banks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Re-payments of notes payable to banks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31,000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[948,000]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[3,169,000]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dividends paid</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[828,000]</w:t>
            </w:r>
          </w:p>
        </w:tc>
      </w:tr>
      <w:tr>
        <w:trPr>
          <w:trHeight w:val="203"/>
        </w:trPr>
        <w:tc>
          <w:tcPr>
            <w:tcW w:w="52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Cash Used In Financing</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[1,331,000]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[10,966,000]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[1,048,000]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[31,000]</w:t>
            </w:r>
          </w:p>
        </w:tc>
      </w:tr>
      <w:tr>
        <w:trPr>
          <w:trHeight w:val="203"/>
        </w:trPr>
        <w:tc>
          <w:tcPr>
            <w:tcW w:w="52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Increase in cash and cash</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equivalents</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15,747,000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year</w:t>
            </w:r>
          </w:p>
        </w:tc>
        <w:tc>
          <w:tcPr>
            <w:tcW w:w="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11,244,000</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4,526,000</w:t>
            </w:r>
          </w:p>
        </w:tc>
      </w:tr>
      <w:tr>
        <w:trPr>
          <w:trHeight w:val="203"/>
        </w:trPr>
        <w:tc>
          <w:tcPr>
            <w:tcW w:w="52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Cash and cash equivalents at</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end of quarter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26,991,000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4,580,000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Supplemental disclosure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Interest (net of amount capitalized)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1,509,000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5,003,000</w:t>
            </w:r>
          </w:p>
        </w:tc>
      </w:tr>
      <w:tr>
        <w:trPr>
          <w:trHeight w:val="203"/>
        </w:trPr>
        <w:tc>
          <w:tcPr>
            <w:tcW w:w="5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3,302,000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ectPr>
          <w:pgSz w:w="11900" w:h="16838" w:orient="portrait"/>
          <w:cols w:equalWidth="0" w:num="1">
            <w:col w:w="10219"/>
          </w:cols>
          <w:pgMar w:left="240" w:top="136" w:right="1440" w:bottom="537" w:gutter="0" w:footer="0" w:header="0"/>
        </w:sectPr>
      </w:pPr>
    </w:p>
    <w:bookmarkStart w:id="3" w:name="page4"/>
    <w:bookmarkEnd w:id="3"/>
    <w:p>
      <w:pPr>
        <w:spacing w:after="0"/>
        <w:tabs>
          <w:tab w:leader="none" w:pos="4520" w:val="left"/>
        </w:tabs>
        <w:rPr>
          <w:sz w:val="20"/>
          <w:szCs w:val="20"/>
          <w:color w:val="auto"/>
        </w:rPr>
      </w:pPr>
      <w:r>
        <w:rPr>
          <w:rFonts w:ascii="Courier New" w:cs="Courier New" w:eastAsia="Courier New" w:hAnsi="Courier New"/>
          <w:sz w:val="18"/>
          <w:szCs w:val="18"/>
          <w:color w:val="auto"/>
        </w:rPr>
        <w:t>NOTES TO CONDENSED CONSOLIDATED FINANCIAL</w:t>
      </w:r>
      <w:r>
        <w:rPr>
          <w:sz w:val="20"/>
          <w:szCs w:val="20"/>
          <w:color w:val="auto"/>
        </w:rPr>
        <w:tab/>
      </w:r>
      <w:r>
        <w:rPr>
          <w:rFonts w:ascii="Courier New" w:cs="Courier New" w:eastAsia="Courier New" w:hAnsi="Courier New"/>
          <w:sz w:val="16"/>
          <w:szCs w:val="16"/>
          <w:color w:val="auto"/>
        </w:rPr>
        <w:t>STATEMENT (Unaudited)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A--BASIS OF PRESENTATION</w:t>
      </w:r>
    </w:p>
    <w:p>
      <w:pPr>
        <w:spacing w:after="0" w:line="207"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generally accepted accounting principles for interim financial information and with the instructions to Form</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period ended December 31, 1994 are not necessarily indicative of the results that may be expected for the year ended September 30, 1995.</w:t>
      </w:r>
    </w:p>
    <w:p>
      <w:pPr>
        <w:spacing w:after="0" w:line="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further information, refer to the consolidated financial statements and footnotes thereto included in Pilgrim's annual report on Form 10-K for the year ended October 1, 1994.</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Pilgrim's and its wholly owned subsidiaries. Significant intercompany accounts and transactions have been eliminated. Certain prior year amounts have been reclassified to conform to current year presentation.</w:t>
      </w:r>
    </w:p>
    <w:p>
      <w:pPr>
        <w:spacing w:after="0" w:line="209"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assets and liabilities of the foreign subsidiaries are translated at end-of-period exchange rates, except for inventories and non- current assets which are translated at equivalent dollar costs at dates of acquisition using historical rates. Operations of foreign subsidiaries are translated at average exchange rates in effect during the period. The translation adjustments are reflected in the statements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B--NET INCOME PER COMMON SHARE</w:t>
      </w:r>
    </w:p>
    <w:p>
      <w:pPr>
        <w:spacing w:after="0" w:line="207" w:lineRule="exact"/>
        <w:rPr>
          <w:sz w:val="20"/>
          <w:szCs w:val="20"/>
          <w:color w:val="auto"/>
        </w:rPr>
      </w:pPr>
    </w:p>
    <w:p>
      <w:pPr>
        <w:ind w:right="4619"/>
        <w:spacing w:after="0" w:line="279" w:lineRule="auto"/>
        <w:rPr>
          <w:sz w:val="20"/>
          <w:szCs w:val="20"/>
          <w:color w:val="auto"/>
        </w:rPr>
      </w:pPr>
      <w:r>
        <w:rPr>
          <w:rFonts w:ascii="Courier New" w:cs="Courier New" w:eastAsia="Courier New" w:hAnsi="Courier New"/>
          <w:sz w:val="16"/>
          <w:szCs w:val="16"/>
          <w:color w:val="auto"/>
        </w:rPr>
        <w:t>Earnings per share for the periods ended December 31, 1994 and January 1, 1994 are based on the weighted average shares outstanding for the periods.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Dec 31, 1994</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Oct 1, 1994</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Live broilers and hens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35,157,000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47,743,000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Feed, eggs and other</w:t>
            </w:r>
          </w:p>
        </w:tc>
        <w:tc>
          <w:tcPr>
            <w:tcW w:w="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30,635,000</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22,529,000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poultry products</w:t>
            </w:r>
          </w:p>
        </w:tc>
        <w:tc>
          <w:tcPr>
            <w:tcW w:w="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20,600,000</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30,477,000</w:t>
            </w:r>
          </w:p>
        </w:tc>
      </w:tr>
      <w:tr>
        <w:trPr>
          <w:trHeight w:val="203"/>
        </w:trPr>
        <w:tc>
          <w:tcPr>
            <w:tcW w:w="2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86,392,000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100,749,000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D--IMPACT OF MEXICAN PESO DEVALUATION</w:t>
      </w:r>
    </w:p>
    <w:p>
      <w:pPr>
        <w:spacing w:after="0" w:line="207"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Included in results of operations for the period ended December 31, 1994 is a $2.3 million foreign exchange loss resulting from the devaluation of the Mexican peso against the U.S. dollar. Also included is a $2.0 million lower of cost or market adjustment to inventories in Mexico resulting from the affect of such devaluation on operations. These adjustments are presented in the December 31, 1994 Condensed Consolidated Balance Sheetand Consolidated Statement of Cash Flows as components of the specific line items affected with the exception that the exchange rate effects on cash and cash equivalents has been separately stated on the Consolidated Statement of Cash Flows. See Management's Discussion and Analysis of Financial Condition and Results of Operations - Impact of Mexico Peso Devaluation.</w:t>
      </w:r>
    </w:p>
    <w:p>
      <w:pPr>
        <w:spacing w:after="0" w:line="200" w:lineRule="exact"/>
        <w:rPr>
          <w:sz w:val="20"/>
          <w:szCs w:val="20"/>
          <w:color w:val="auto"/>
        </w:rPr>
      </w:pPr>
    </w:p>
    <w:p>
      <w:pPr>
        <w:spacing w:after="0" w:line="211"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The following table presents certain items as a percentage of net sales for the periods indicated.</w:t>
      </w:r>
    </w:p>
    <w:p>
      <w:pPr>
        <w:sectPr>
          <w:pgSz w:w="11900" w:h="16838" w:orient="portrait"/>
          <w:cols w:equalWidth="0" w:num="1">
            <w:col w:w="10219"/>
          </w:cols>
          <w:pgMar w:left="240" w:top="136"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3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Percentage of Net Sales</w:t>
            </w:r>
          </w:p>
        </w:tc>
      </w:tr>
      <w:tr>
        <w:trPr>
          <w:trHeight w:val="203"/>
        </w:trPr>
        <w:tc>
          <w:tcPr>
            <w:tcW w:w="4120" w:type="dxa"/>
            <w:vAlign w:val="bottom"/>
          </w:tcPr>
          <w:p>
            <w:pPr>
              <w:spacing w:after="0"/>
              <w:rPr>
                <w:sz w:val="17"/>
                <w:szCs w:val="17"/>
                <w:color w:val="auto"/>
              </w:rPr>
            </w:pPr>
          </w:p>
        </w:tc>
        <w:tc>
          <w:tcPr>
            <w:tcW w:w="31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412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Dec 31, 1994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 1, 1994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100.0%</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90.9%</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3.9%</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0.2%</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1995, Compared to First Quarter 1994</w:t>
      </w:r>
    </w:p>
    <w:p>
      <w:pPr>
        <w:spacing w:after="0" w:line="207"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Consolidated net sales were $227.0 million for the first quarter of fiscal 1995, an increase of $5.1 million, or 2.3%, over the first quarter of fiscal 1994. The increase in consolidated net sales resulted from a $9.1 million increase in domestic chicken sales to $156.2 million offset by a $3.0 million decrease in Mexican chicken sales to $45.9 million and a $1.0 million decrease in sales of other domestic products to $24.8 million. The increase in domestic chicken sales was primarily due to a 7.4% increase in the dressed pounds produced offset by a 1.1% decrease in total revenue per dressed pound produced. The decrease in Mexican chicken sales was primarily due to a 19.4% decrease in total revenue per dressed pound produced</w:t>
      </w:r>
    </w:p>
    <w:p>
      <w:pPr>
        <w:spacing w:after="0" w:line="5"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caused primarily by the devaluation of the Mexican peso in December offset by a 16.5% increase in dressed pounds produced.</w:t>
      </w:r>
    </w:p>
    <w:p>
      <w:pPr>
        <w:spacing w:after="0" w:line="209"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Consolidated cost of sales was $206.2 million in the first quarter of fiscal 1995, an increase of $13.7 million, or</w:t>
      </w:r>
    </w:p>
    <w:p>
      <w:pPr>
        <w:ind w:right="3779"/>
        <w:spacing w:after="0" w:line="237" w:lineRule="auto"/>
        <w:rPr>
          <w:sz w:val="20"/>
          <w:szCs w:val="20"/>
          <w:color w:val="auto"/>
        </w:rPr>
      </w:pPr>
      <w:r>
        <w:rPr>
          <w:rFonts w:ascii="Courier New" w:cs="Courier New" w:eastAsia="Courier New" w:hAnsi="Courier New"/>
          <w:sz w:val="18"/>
          <w:szCs w:val="18"/>
          <w:color w:val="auto"/>
        </w:rPr>
        <w:t>7.1%, over the first quarter of fiscal 1994. The increase primarily resulted from a $7.8 million increase in cost of sales of domestic operations, and a $5.9 million increase in the cost of sales in Mexican operations.</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cost of sales increase in domestic operations of $7.8 million was due primarily to a 7.4% increase in dressed pounds produced offset partially by a 8.9% decrease in feed ingredient cost.</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$5.9 million cost of sales increase in Mexican operations was primarily due to increased dressed pounds produced and the effects of a $2.0 million inventory lower of cost or market adjustment caused by the Mexican peso devaluation in December 1994 and the effects of higher pre-devaluation peso inventories being sold. See Impact of Peso Devaluation discussed below.</w:t>
      </w:r>
    </w:p>
    <w:p>
      <w:pPr>
        <w:spacing w:after="0" w:line="21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Gross profit as a percentage of sales decreased to 9.1% in the first quarter of fiscal 1995 from 14.0% in the first quarter of fiscal 1994. The decreased gross profit of the Company's Mexican operations was primarily the result of a 19.4% decrease in total revenue per dressed pound and the increased amounts of cost of sales resulting from the peso devaluation discussed above. The increase in gross profit for domestic chicken operations was a result of decreased average cost of sales per dressed pound offset partially by a decrease in total revenues per dressed pound.</w:t>
      </w:r>
    </w:p>
    <w:p>
      <w:pPr>
        <w:spacing w:after="0" w:line="215"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Consolidated selling, general and administrative expenses were $12.0 million for the first quarter of fiscal 1995, a decrease of $.9 million, or 7.2%, when compared to the first quarter of fiscal 1994. Consolidated selling, general and administrative expenses as a percentage of sales decreased in the first quarter of fiscal 1995 to 5.3% compared to 5.8% in the first quarter of fiscal 1994; these decreases were primarily due to decreased accrued retirement and bonuses costs which are dependent upon consolidated profits.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operating income was $8.7 million for the</w:t>
      </w:r>
    </w:p>
    <w:p>
      <w:pPr>
        <w:sectPr>
          <w:pgSz w:w="11900" w:h="16838" w:orient="portrait"/>
          <w:cols w:equalWidth="0" w:num="1">
            <w:col w:w="10219"/>
          </w:cols>
          <w:pgMar w:left="240" w:top="136" w:right="1440" w:bottom="0" w:gutter="0" w:footer="0" w:header="0"/>
        </w:sectPr>
      </w:pPr>
    </w:p>
    <w:bookmarkStart w:id="5" w:name="page6"/>
    <w:bookmarkEnd w:id="5"/>
    <w:p>
      <w:pPr>
        <w:ind w:right="3999"/>
        <w:spacing w:after="0" w:line="237" w:lineRule="auto"/>
        <w:rPr>
          <w:sz w:val="20"/>
          <w:szCs w:val="20"/>
          <w:color w:val="auto"/>
        </w:rPr>
      </w:pPr>
      <w:r>
        <w:rPr>
          <w:rFonts w:ascii="Courier New" w:cs="Courier New" w:eastAsia="Courier New" w:hAnsi="Courier New"/>
          <w:sz w:val="18"/>
          <w:szCs w:val="18"/>
          <w:color w:val="auto"/>
        </w:rPr>
        <w:t>first quarter of fiscal 1995 a decrease of $7.7 million, or 46.7%, when compared to the first quarter of 1994. The decrease was due primarily to lower margins in Mexican operations described previously.</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Consolidated net interest expense was $4.3 million in the first quarter of fiscal 1995 a decrease of $.6 million, or 12.6%, when compared to the first quarter of fiscal 1994. This decrease was due to lower outstanding debt offset slightly by higher interest rates when compared to the first quarter of fiscal 1994.</w:t>
      </w:r>
    </w:p>
    <w:p>
      <w:pPr>
        <w:spacing w:after="0" w:line="210"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Consolidated income tax expense as a percentage of income before income taxes increased in the first quarter of fiscal 1995 to 76% compared to 30% in the first quarter of fiscal 1994. This increase is due primarily to the effects resulting from having positive taxable income in the United States offset by losses in Mexico which are not available for tax benefit due to the tax laws for Mexican income tax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Liquidity in first quarter 1995 remained strong. The Company's working capital at January 1995 decreased slightly to $96.4 million from $99.7 million at October 1, 1994. The current ratio at December 31, 1994 decreased slightly to 2.31 to 1 from 2.34 to 1 at October 1, 1994 and the Company's stockholder's equity increased to $161.8 million at December 31, 1994 million from $161.7 million at October 1, 1994. The Company reduced its ratio of total debt to capitalization to 49.1% at December 31, 1994 from 49.3% at October 1, 1994. The Company maintains a $75 million revolving credit facility with available unused lines of credit of $61.7 million at February 3, 1994.</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Trade accounts and other accounts receivable were $46.5 million at December 31, 1994, a $6.7 million decrease from October 1, 1994. This 12.6% decrease was due primarily to faster collections experienced in the quarter when compared to the year ended October 1, 1994.</w:t>
      </w:r>
    </w:p>
    <w:p>
      <w:pPr>
        <w:spacing w:after="0" w:line="209"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Inventories were $86.4 million at December 31, 1994, a $14.4 million decrease for October 1, 1994. This 14.3% decrease was due primarily to reductions in finished poultry products due to increased sales in further processed and prepared foods, decreased feed costs which are included in live broiler and hen inventories, seasonal variations in sales of poultry and feed products to the Company's principal stockholder, and adjustments to Mexican inventories resulting from the peso devaluation.</w:t>
      </w:r>
    </w:p>
    <w:p>
      <w:pPr>
        <w:spacing w:after="0" w:line="214"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Accounts payable were $35.9 million at December 31, 1994, a 7.1% decrease from October 1, 1994, primarily due to decreases in feed ingredient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Deferred tax assets recorded in accordance with FAS 109</w:t>
      </w:r>
    </w:p>
    <w:p>
      <w:pPr>
        <w:spacing w:after="0"/>
        <w:tabs>
          <w:tab w:leader="none" w:pos="4520" w:val="left"/>
        </w:tabs>
        <w:rPr>
          <w:sz w:val="20"/>
          <w:szCs w:val="20"/>
          <w:color w:val="auto"/>
        </w:rPr>
      </w:pPr>
      <w:r>
        <w:rPr>
          <w:rFonts w:ascii="Courier New" w:cs="Courier New" w:eastAsia="Courier New" w:hAnsi="Courier New"/>
          <w:sz w:val="18"/>
          <w:szCs w:val="18"/>
          <w:color w:val="auto"/>
        </w:rPr>
        <w:t>were $14.4 million as of October 1, 1994.</w:t>
      </w:r>
      <w:r>
        <w:rPr>
          <w:sz w:val="20"/>
          <w:szCs w:val="20"/>
          <w:color w:val="auto"/>
        </w:rPr>
        <w:tab/>
      </w:r>
      <w:r>
        <w:rPr>
          <w:rFonts w:ascii="Courier New" w:cs="Courier New" w:eastAsia="Courier New" w:hAnsi="Courier New"/>
          <w:sz w:val="16"/>
          <w:szCs w:val="16"/>
          <w:color w:val="auto"/>
        </w:rPr>
        <w:t>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believes that all of these deferred tax assets will be realized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the reversal of existing temporary differences and</w:t>
      </w:r>
    </w:p>
    <w:p>
      <w:pPr>
        <w:spacing w:after="0" w:line="238" w:lineRule="auto"/>
        <w:rPr>
          <w:sz w:val="20"/>
          <w:szCs w:val="20"/>
          <w:color w:val="auto"/>
        </w:rPr>
      </w:pPr>
      <w:r>
        <w:rPr>
          <w:rFonts w:ascii="Courier New" w:cs="Courier New" w:eastAsia="Courier New" w:hAnsi="Courier New"/>
          <w:sz w:val="18"/>
          <w:szCs w:val="18"/>
          <w:color w:val="auto"/>
        </w:rPr>
        <w:t>anticipated future taxable earnings.</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Capital expenditures for the first three months of 1995 were $8.8 million and were primarily incurred to improve efficiencies and for the routine replacement of equipment. The Company anticipates that it will spend $29.0 million or less for capital expenditures in fiscal year 1995 and expects to finance such expenditures with available operating cash flow and leases.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Mexican Peso Devaluation</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On December 22, 1994, following a week of speculation in Mexico's financial markets, the Mexican government abandoned its policy of defending the peso against the U.S. dollar and allowed it to float freely on the currency markets. These events resulted in the Mexican peso exchange rate declining from 3.39 to 1 U.S. dollar at October 1, 1994 to 5.20 at December 31, 1994, a</w:t>
      </w:r>
    </w:p>
    <w:p>
      <w:pPr>
        <w:sectPr>
          <w:pgSz w:w="11900" w:h="16838" w:orient="portrait"/>
          <w:cols w:equalWidth="0" w:num="1">
            <w:col w:w="10219"/>
          </w:cols>
          <w:pgMar w:left="240" w:top="142" w:right="1440" w:bottom="0" w:gutter="0" w:footer="0" w:header="0"/>
        </w:sectPr>
      </w:pPr>
    </w:p>
    <w:bookmarkStart w:id="6" w:name="page7"/>
    <w:bookmarkEnd w:id="6"/>
    <w:p>
      <w:pPr>
        <w:ind w:right="3779"/>
        <w:spacing w:after="0" w:line="238" w:lineRule="auto"/>
        <w:rPr>
          <w:sz w:val="20"/>
          <w:szCs w:val="20"/>
          <w:color w:val="auto"/>
        </w:rPr>
      </w:pPr>
      <w:r>
        <w:rPr>
          <w:rFonts w:ascii="Courier New" w:cs="Courier New" w:eastAsia="Courier New" w:hAnsi="Courier New"/>
          <w:sz w:val="18"/>
          <w:szCs w:val="18"/>
          <w:color w:val="auto"/>
        </w:rPr>
        <w:t>devaluation of approximately 50-percent. Since December 31, 1994, the Mexican peso has continued to erode against the U.S. dollar, closing as low as 6.33 on January 30, 1995. On January 31, 1995, the President of the United States finalized a $53 billion international credit arrangement for Mexico. The result of this arrangement appears to have had significant stabilizing effect on the Mexican peso currency exchange rate, which was 5.46 to 1 U.S. dollar on February 2, 1995. While no assurance can be given as to the effects the international credit arrangement will have on the results of the Company's operations in Mexico, the Company anticipates further stabilization of the Mexican peso as a result.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discussed in Note A -- Basis of Presentation, translation</w:t>
      </w:r>
    </w:p>
    <w:p>
      <w:pPr>
        <w:spacing w:after="0" w:line="238" w:lineRule="auto"/>
        <w:rPr>
          <w:sz w:val="20"/>
          <w:szCs w:val="20"/>
          <w:color w:val="auto"/>
        </w:rPr>
      </w:pPr>
      <w:r>
        <w:rPr>
          <w:rFonts w:ascii="Courier New" w:cs="Courier New" w:eastAsia="Courier New" w:hAnsi="Courier New"/>
          <w:sz w:val="18"/>
          <w:szCs w:val="18"/>
          <w:color w:val="auto"/>
        </w:rPr>
        <w:t>adjustments resulting from changes in currency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rates on net current assets are reflected in the statements of</w:t>
      </w:r>
    </w:p>
    <w:p>
      <w:pPr>
        <w:spacing w:after="0" w:line="1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operations.</w:t>
      </w:r>
      <w:r>
        <w:rPr>
          <w:sz w:val="20"/>
          <w:szCs w:val="20"/>
          <w:color w:val="auto"/>
        </w:rPr>
        <w:tab/>
      </w:r>
      <w:r>
        <w:rPr>
          <w:rFonts w:ascii="Courier New" w:cs="Courier New" w:eastAsia="Courier New" w:hAnsi="Courier New"/>
          <w:sz w:val="16"/>
          <w:szCs w:val="16"/>
          <w:color w:val="auto"/>
        </w:rPr>
        <w:t>Classification of the effects in the statement of</w:t>
      </w:r>
    </w:p>
    <w:p>
      <w:pPr>
        <w:spacing w:after="0" w:line="238" w:lineRule="auto"/>
        <w:rPr>
          <w:sz w:val="20"/>
          <w:szCs w:val="20"/>
          <w:color w:val="auto"/>
        </w:rPr>
      </w:pPr>
      <w:r>
        <w:rPr>
          <w:rFonts w:ascii="Courier New" w:cs="Courier New" w:eastAsia="Courier New" w:hAnsi="Courier New"/>
          <w:sz w:val="18"/>
          <w:szCs w:val="18"/>
          <w:color w:val="auto"/>
        </w:rPr>
        <w:t>operations is dependent upon the nature of the underlying</w:t>
      </w:r>
    </w:p>
    <w:p>
      <w:pPr>
        <w:spacing w:after="0"/>
        <w:rPr>
          <w:sz w:val="20"/>
          <w:szCs w:val="20"/>
          <w:color w:val="auto"/>
        </w:rPr>
      </w:pPr>
      <w:r>
        <w:rPr>
          <w:rFonts w:ascii="Courier New" w:cs="Courier New" w:eastAsia="Courier New" w:hAnsi="Courier New"/>
          <w:sz w:val="18"/>
          <w:szCs w:val="18"/>
          <w:color w:val="auto"/>
        </w:rPr>
        <w:t>asset and, in general, exchange rate effects on net monetary</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assets</w:t>
        <w:tab/>
        <w:t>are reflected as "Other expenses (income) - Foreign</w:t>
      </w:r>
    </w:p>
    <w:p>
      <w:pPr>
        <w:spacing w:after="0" w:line="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exchange (gain) loss." During the period ended December 31, 1994, the peso devaluation resulted in a $2.3 million foreign exchange loss on net monetary assets and a $2.0 million adjustment to the carrying value of inventories. The adjustment to the carrying value of inventories was necessary to record inventories at amounts consistent with the Company's valuation method which is the lower of cost or market. While the $2.0 million adjustment was sufficient to meet the lower of cost or market standard, it will not sustain Mexican operating margins at pre-devaluation levels. Accordingly, on a constant average selling price basis, operating margins in Mexico during the second quarter of fiscal 1995 would be lower than those reported in the first fiscal quarter as these pre-devaluation valued inventories are sold. Since the end of the first fiscal quarter, however, the Company has also experienced a decline in average peso selling prices due to a softening of</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demand for its products in Mexico.</w:t>
      </w:r>
      <w:r>
        <w:rPr>
          <w:sz w:val="20"/>
          <w:szCs w:val="20"/>
          <w:color w:val="auto"/>
        </w:rPr>
        <w:tab/>
      </w:r>
      <w:r>
        <w:rPr>
          <w:rFonts w:ascii="Courier New" w:cs="Courier New" w:eastAsia="Courier New" w:hAnsi="Courier New"/>
          <w:sz w:val="16"/>
          <w:szCs w:val="16"/>
          <w:color w:val="auto"/>
        </w:rPr>
        <w:t>The Company</w:t>
      </w:r>
    </w:p>
    <w:p>
      <w:pPr>
        <w:spacing w:after="0" w:line="238" w:lineRule="auto"/>
        <w:rPr>
          <w:sz w:val="20"/>
          <w:szCs w:val="20"/>
          <w:color w:val="auto"/>
        </w:rPr>
      </w:pPr>
      <w:r>
        <w:rPr>
          <w:rFonts w:ascii="Courier New" w:cs="Courier New" w:eastAsia="Courier New" w:hAnsi="Courier New"/>
          <w:sz w:val="18"/>
          <w:szCs w:val="18"/>
          <w:color w:val="auto"/>
        </w:rPr>
        <w:t>attributes the decrease in demand for its products to be due</w:t>
      </w:r>
    </w:p>
    <w:p>
      <w:pPr>
        <w:spacing w:after="0"/>
        <w:rPr>
          <w:sz w:val="20"/>
          <w:szCs w:val="20"/>
          <w:color w:val="auto"/>
        </w:rPr>
      </w:pPr>
      <w:r>
        <w:rPr>
          <w:rFonts w:ascii="Courier New" w:cs="Courier New" w:eastAsia="Courier New" w:hAnsi="Courier New"/>
          <w:sz w:val="18"/>
          <w:szCs w:val="18"/>
          <w:color w:val="auto"/>
        </w:rPr>
        <w:t>to the recessionary impacts on the Mexican economy</w:t>
      </w:r>
    </w:p>
    <w:p>
      <w:pPr>
        <w:spacing w:after="0"/>
        <w:tabs>
          <w:tab w:leader="none" w:pos="4000" w:val="left"/>
        </w:tabs>
        <w:rPr>
          <w:sz w:val="20"/>
          <w:szCs w:val="20"/>
          <w:color w:val="auto"/>
        </w:rPr>
      </w:pPr>
      <w:r>
        <w:rPr>
          <w:rFonts w:ascii="Courier New" w:cs="Courier New" w:eastAsia="Courier New" w:hAnsi="Courier New"/>
          <w:sz w:val="18"/>
          <w:szCs w:val="18"/>
          <w:color w:val="auto"/>
        </w:rPr>
        <w:t>resulting from the peso devaluation.</w:t>
      </w:r>
      <w:r>
        <w:rPr>
          <w:sz w:val="20"/>
          <w:szCs w:val="20"/>
          <w:color w:val="auto"/>
        </w:rPr>
        <w:tab/>
      </w:r>
      <w:r>
        <w:rPr>
          <w:rFonts w:ascii="Courier New" w:cs="Courier New" w:eastAsia="Courier New" w:hAnsi="Courier New"/>
          <w:sz w:val="16"/>
          <w:szCs w:val="16"/>
          <w:color w:val="auto"/>
        </w:rPr>
        <w:t>As a result of the</w:t>
      </w:r>
    </w:p>
    <w:p>
      <w:pPr>
        <w:spacing w:after="0" w:line="238" w:lineRule="auto"/>
        <w:rPr>
          <w:sz w:val="20"/>
          <w:szCs w:val="20"/>
          <w:color w:val="auto"/>
        </w:rPr>
      </w:pPr>
      <w:r>
        <w:rPr>
          <w:rFonts w:ascii="Courier New" w:cs="Courier New" w:eastAsia="Courier New" w:hAnsi="Courier New"/>
          <w:sz w:val="18"/>
          <w:szCs w:val="18"/>
          <w:color w:val="auto"/>
        </w:rPr>
        <w:t>decline in average selling prices being experienced since</w:t>
      </w:r>
    </w:p>
    <w:p>
      <w:pPr>
        <w:spacing w:after="0"/>
        <w:rPr>
          <w:sz w:val="20"/>
          <w:szCs w:val="20"/>
          <w:color w:val="auto"/>
        </w:rPr>
      </w:pPr>
      <w:r>
        <w:rPr>
          <w:rFonts w:ascii="Courier New" w:cs="Courier New" w:eastAsia="Courier New" w:hAnsi="Courier New"/>
          <w:sz w:val="18"/>
          <w:szCs w:val="18"/>
          <w:color w:val="auto"/>
        </w:rPr>
        <w:t>December 31, 1995 coupled with pre- devaluation valued</w:t>
      </w:r>
    </w:p>
    <w:p>
      <w:pPr>
        <w:spacing w:after="0" w:line="237" w:lineRule="auto"/>
        <w:rPr>
          <w:sz w:val="20"/>
          <w:szCs w:val="20"/>
          <w:color w:val="auto"/>
        </w:rPr>
      </w:pPr>
      <w:r>
        <w:rPr>
          <w:rFonts w:ascii="Courier New" w:cs="Courier New" w:eastAsia="Courier New" w:hAnsi="Courier New"/>
          <w:sz w:val="18"/>
          <w:szCs w:val="18"/>
          <w:color w:val="auto"/>
        </w:rPr>
        <w:t>inventories being sold in Mexico, the Company is currently</w:t>
      </w:r>
    </w:p>
    <w:p>
      <w:pPr>
        <w:spacing w:after="0"/>
        <w:rPr>
          <w:sz w:val="20"/>
          <w:szCs w:val="20"/>
          <w:color w:val="auto"/>
        </w:rPr>
      </w:pPr>
      <w:r>
        <w:rPr>
          <w:rFonts w:ascii="Courier New" w:cs="Courier New" w:eastAsia="Courier New" w:hAnsi="Courier New"/>
          <w:sz w:val="18"/>
          <w:szCs w:val="18"/>
          <w:color w:val="auto"/>
        </w:rPr>
        <w:t>experiencing significant operating losses in its Mexican</w:t>
      </w:r>
    </w:p>
    <w:p>
      <w:pPr>
        <w:spacing w:after="0"/>
        <w:tabs>
          <w:tab w:leader="none" w:pos="1360" w:val="left"/>
        </w:tabs>
        <w:rPr>
          <w:sz w:val="20"/>
          <w:szCs w:val="20"/>
          <w:color w:val="auto"/>
        </w:rPr>
      </w:pPr>
      <w:r>
        <w:rPr>
          <w:rFonts w:ascii="Courier New" w:cs="Courier New" w:eastAsia="Courier New" w:hAnsi="Courier New"/>
          <w:sz w:val="18"/>
          <w:szCs w:val="18"/>
          <w:color w:val="auto"/>
        </w:rPr>
        <w:t>operations.</w:t>
      </w:r>
      <w:r>
        <w:rPr>
          <w:sz w:val="20"/>
          <w:szCs w:val="20"/>
          <w:color w:val="auto"/>
        </w:rPr>
        <w:tab/>
      </w:r>
      <w:r>
        <w:rPr>
          <w:rFonts w:ascii="Courier New" w:cs="Courier New" w:eastAsia="Courier New" w:hAnsi="Courier New"/>
          <w:sz w:val="16"/>
          <w:szCs w:val="16"/>
          <w:color w:val="auto"/>
        </w:rPr>
        <w:t>The Company anticipates that losses will</w:t>
      </w:r>
    </w:p>
    <w:p>
      <w:pPr>
        <w:spacing w:after="0"/>
        <w:rPr>
          <w:sz w:val="20"/>
          <w:szCs w:val="20"/>
          <w:color w:val="auto"/>
        </w:rPr>
      </w:pPr>
      <w:r>
        <w:rPr>
          <w:rFonts w:ascii="Courier New" w:cs="Courier New" w:eastAsia="Courier New" w:hAnsi="Courier New"/>
          <w:sz w:val="18"/>
          <w:szCs w:val="18"/>
          <w:color w:val="auto"/>
        </w:rPr>
        <w:t>continue until all pre-devaluation valued inventories are</w:t>
      </w:r>
    </w:p>
    <w:p>
      <w:pPr>
        <w:spacing w:after="0" w:line="237" w:lineRule="auto"/>
        <w:rPr>
          <w:sz w:val="20"/>
          <w:szCs w:val="20"/>
          <w:color w:val="auto"/>
        </w:rPr>
      </w:pPr>
      <w:r>
        <w:rPr>
          <w:rFonts w:ascii="Courier New" w:cs="Courier New" w:eastAsia="Courier New" w:hAnsi="Courier New"/>
          <w:sz w:val="18"/>
          <w:szCs w:val="18"/>
          <w:color w:val="auto"/>
        </w:rPr>
        <w:t>sold and average selling prices rebound.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38" w:lineRule="auto"/>
        <w:rPr>
          <w:sz w:val="20"/>
          <w:szCs w:val="20"/>
          <w:color w:val="auto"/>
        </w:rPr>
      </w:pPr>
      <w:r>
        <w:rPr>
          <w:rFonts w:ascii="Courier New" w:cs="Courier New" w:eastAsia="Courier New" w:hAnsi="Courier New"/>
          <w:sz w:val="18"/>
          <w:szCs w:val="18"/>
          <w:color w:val="auto"/>
        </w:rPr>
        <w:t>Other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The Company did not file any reports on Form 8-K during the three months ended December 31,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w:t>
      </w:r>
    </w:p>
    <w:p>
      <w:pPr>
        <w:spacing w:after="0" w:line="4"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Act of 1934, the registrant has duly caused this report to be signed on its behalf by the undersigned thereunto duly authorized.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PILGRIM'S PRIDE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2/2/95</w:t>
            </w:r>
          </w:p>
        </w:tc>
        <w:tc>
          <w:tcPr>
            <w:tcW w:w="3200" w:type="dxa"/>
            <w:vAlign w:val="bottom"/>
          </w:tcPr>
          <w:p>
            <w:pPr>
              <w:ind w:left="360"/>
              <w:spacing w:after="0"/>
              <w:rPr>
                <w:sz w:val="20"/>
                <w:szCs w:val="20"/>
                <w:color w:val="auto"/>
              </w:rPr>
            </w:pPr>
            <w:r>
              <w:rPr>
                <w:rFonts w:ascii="Courier New" w:cs="Courier New" w:eastAsia="Courier New" w:hAnsi="Courier New"/>
                <w:sz w:val="18"/>
                <w:szCs w:val="18"/>
                <w:color w:val="auto"/>
              </w:rPr>
              <w:t>Clifford E. Butler</w:t>
            </w:r>
          </w:p>
        </w:tc>
      </w:tr>
      <w:tr>
        <w:trPr>
          <w:trHeight w:val="203"/>
        </w:trPr>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Vice Chairman of the Board,</w:t>
            </w:r>
          </w:p>
        </w:tc>
      </w:tr>
    </w:tbl>
    <w:p>
      <w:pPr>
        <w:ind w:left="222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2220"/>
        <w:spacing w:after="0"/>
        <w:rPr>
          <w:sz w:val="20"/>
          <w:szCs w:val="20"/>
          <w:color w:val="auto"/>
        </w:rPr>
      </w:pPr>
      <w:r>
        <w:rPr>
          <w:rFonts w:ascii="Courier New" w:cs="Courier New" w:eastAsia="Courier New" w:hAnsi="Courier New"/>
          <w:sz w:val="18"/>
          <w:szCs w:val="18"/>
          <w:color w:val="auto"/>
        </w:rPr>
        <w:t>Secretary and Treasurer</w:t>
      </w:r>
    </w:p>
    <w:p>
      <w:pPr>
        <w:ind w:left="2220"/>
        <w:spacing w:after="0" w:line="237" w:lineRule="auto"/>
        <w:rPr>
          <w:sz w:val="20"/>
          <w:szCs w:val="20"/>
          <w:color w:val="auto"/>
        </w:rPr>
      </w:pPr>
      <w:r>
        <w:rPr>
          <w:rFonts w:ascii="Courier New" w:cs="Courier New" w:eastAsia="Courier New" w:hAnsi="Courier New"/>
          <w:sz w:val="18"/>
          <w:szCs w:val="18"/>
          <w:color w:val="auto"/>
        </w:rPr>
        <w:t>in his respective capacity</w:t>
      </w:r>
    </w:p>
    <w:p>
      <w:pPr>
        <w:ind w:left="2220"/>
        <w:spacing w:after="0" w:line="238" w:lineRule="auto"/>
        <w:rPr>
          <w:sz w:val="20"/>
          <w:szCs w:val="20"/>
          <w:color w:val="auto"/>
        </w:rPr>
      </w:pPr>
      <w:r>
        <w:rPr>
          <w:rFonts w:ascii="Courier New" w:cs="Courier New" w:eastAsia="Courier New" w:hAnsi="Courier New"/>
          <w:sz w:val="18"/>
          <w:szCs w:val="18"/>
          <w:color w:val="auto"/>
        </w:rPr>
        <w:t>as such</w:t>
      </w:r>
    </w:p>
    <w:p>
      <w:pPr>
        <w:sectPr>
          <w:pgSz w:w="11900" w:h="16838" w:orient="portrait"/>
          <w:cols w:equalWidth="0" w:num="1">
            <w:col w:w="10219"/>
          </w:cols>
          <w:pgMar w:left="240" w:top="142" w:right="1440" w:bottom="133"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SEP-30-1994</w:t>
      </w:r>
    </w:p>
    <w:p>
      <w:pPr>
        <w:ind w:left="3160"/>
        <w:spacing w:after="0"/>
        <w:rPr>
          <w:sz w:val="20"/>
          <w:szCs w:val="20"/>
          <w:color w:val="auto"/>
        </w:rPr>
      </w:pPr>
      <w:r>
        <w:rPr>
          <w:rFonts w:ascii="Courier New" w:cs="Courier New" w:eastAsia="Courier New" w:hAnsi="Courier New"/>
          <w:sz w:val="18"/>
          <w:szCs w:val="18"/>
          <w:color w:val="auto"/>
        </w:rPr>
        <w:t>DEC-31-1994</w:t>
      </w:r>
    </w:p>
    <w:p>
      <w:pPr>
        <w:ind w:left="4320"/>
        <w:spacing w:after="0" w:line="237" w:lineRule="auto"/>
        <w:rPr>
          <w:sz w:val="20"/>
          <w:szCs w:val="20"/>
          <w:color w:val="auto"/>
        </w:rPr>
      </w:pPr>
      <w:r>
        <w:rPr>
          <w:rFonts w:ascii="Courier New" w:cs="Courier New" w:eastAsia="Courier New" w:hAnsi="Courier New"/>
          <w:sz w:val="18"/>
          <w:szCs w:val="18"/>
          <w:color w:val="auto"/>
        </w:rPr>
        <w:t>26,990</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46,528</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86,392</w:t>
      </w:r>
    </w:p>
    <w:p>
      <w:pPr>
        <w:ind w:left="3160"/>
        <w:spacing w:after="0" w:line="237" w:lineRule="auto"/>
        <w:rPr>
          <w:sz w:val="20"/>
          <w:szCs w:val="20"/>
          <w:color w:val="auto"/>
        </w:rPr>
      </w:pPr>
      <w:r>
        <w:rPr>
          <w:rFonts w:ascii="Courier New" w:cs="Courier New" w:eastAsia="Courier New" w:hAnsi="Courier New"/>
          <w:sz w:val="18"/>
          <w:szCs w:val="18"/>
          <w:color w:val="auto"/>
        </w:rPr>
        <w:t>169,862</w:t>
      </w:r>
    </w:p>
    <w:p>
      <w:pPr>
        <w:ind w:left="4200"/>
        <w:spacing w:after="0"/>
        <w:rPr>
          <w:sz w:val="20"/>
          <w:szCs w:val="20"/>
          <w:color w:val="auto"/>
        </w:rPr>
      </w:pPr>
      <w:r>
        <w:rPr>
          <w:rFonts w:ascii="Courier New" w:cs="Courier New" w:eastAsia="Courier New" w:hAnsi="Courier New"/>
          <w:sz w:val="18"/>
          <w:szCs w:val="18"/>
          <w:color w:val="auto"/>
        </w:rPr>
        <w:t>388,188</w:t>
      </w:r>
    </w:p>
    <w:p>
      <w:pPr>
        <w:ind w:left="3360"/>
        <w:spacing w:after="0" w:line="237" w:lineRule="auto"/>
        <w:rPr>
          <w:sz w:val="20"/>
          <w:szCs w:val="20"/>
          <w:color w:val="auto"/>
        </w:rPr>
      </w:pPr>
      <w:r>
        <w:rPr>
          <w:rFonts w:ascii="Courier New" w:cs="Courier New" w:eastAsia="Courier New" w:hAnsi="Courier New"/>
          <w:sz w:val="18"/>
          <w:szCs w:val="18"/>
          <w:color w:val="auto"/>
        </w:rPr>
        <w:t>141,687</w:t>
      </w:r>
    </w:p>
    <w:p>
      <w:pPr>
        <w:ind w:left="3360"/>
        <w:spacing w:after="0" w:line="238" w:lineRule="auto"/>
        <w:rPr>
          <w:sz w:val="20"/>
          <w:szCs w:val="20"/>
          <w:color w:val="auto"/>
        </w:rPr>
      </w:pPr>
      <w:r>
        <w:rPr>
          <w:rFonts w:ascii="Courier New" w:cs="Courier New" w:eastAsia="Courier New" w:hAnsi="Courier New"/>
          <w:sz w:val="18"/>
          <w:szCs w:val="18"/>
          <w:color w:val="auto"/>
        </w:rPr>
        <w:t>436,957</w:t>
      </w:r>
    </w:p>
    <w:p>
      <w:pPr>
        <w:ind w:left="2740"/>
        <w:spacing w:after="0"/>
        <w:rPr>
          <w:sz w:val="20"/>
          <w:szCs w:val="20"/>
          <w:color w:val="auto"/>
        </w:rPr>
      </w:pPr>
      <w:r>
        <w:rPr>
          <w:rFonts w:ascii="Courier New" w:cs="Courier New" w:eastAsia="Courier New" w:hAnsi="Courier New"/>
          <w:sz w:val="18"/>
          <w:szCs w:val="18"/>
          <w:color w:val="auto"/>
        </w:rPr>
        <w:t>73,464</w:t>
      </w:r>
    </w:p>
    <w:p>
      <w:pPr>
        <w:ind w:left="4100"/>
        <w:spacing w:after="0" w:line="237" w:lineRule="auto"/>
        <w:rPr>
          <w:sz w:val="20"/>
          <w:szCs w:val="20"/>
          <w:color w:val="auto"/>
        </w:rPr>
      </w:pPr>
      <w:r>
        <w:rPr>
          <w:rFonts w:ascii="Courier New" w:cs="Courier New" w:eastAsia="Courier New" w:hAnsi="Courier New"/>
          <w:sz w:val="18"/>
          <w:szCs w:val="18"/>
          <w:color w:val="auto"/>
        </w:rPr>
        <w:t>150,646</w:t>
      </w:r>
    </w:p>
    <w:p>
      <w:pPr>
        <w:ind w:left="4420"/>
        <w:spacing w:after="0"/>
        <w:rPr>
          <w:sz w:val="20"/>
          <w:szCs w:val="20"/>
          <w:color w:val="auto"/>
        </w:rPr>
      </w:pPr>
      <w:r>
        <w:rPr>
          <w:rFonts w:ascii="Courier New" w:cs="Courier New" w:eastAsia="Courier New" w:hAnsi="Courier New"/>
          <w:sz w:val="18"/>
          <w:szCs w:val="18"/>
          <w:color w:val="auto"/>
        </w:rPr>
        <w:t>276</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161,562</w:t>
      </w:r>
    </w:p>
    <w:p>
      <w:pPr>
        <w:ind w:left="1880"/>
        <w:spacing w:after="0" w:line="238" w:lineRule="auto"/>
        <w:rPr>
          <w:sz w:val="20"/>
          <w:szCs w:val="20"/>
          <w:color w:val="auto"/>
        </w:rPr>
      </w:pPr>
      <w:r>
        <w:rPr>
          <w:rFonts w:ascii="Courier New" w:cs="Courier New" w:eastAsia="Courier New" w:hAnsi="Courier New"/>
          <w:sz w:val="18"/>
          <w:szCs w:val="18"/>
          <w:color w:val="auto"/>
        </w:rPr>
        <w:t>436,957</w:t>
      </w:r>
    </w:p>
    <w:p>
      <w:pPr>
        <w:ind w:left="4100"/>
        <w:spacing w:after="0"/>
        <w:rPr>
          <w:sz w:val="20"/>
          <w:szCs w:val="20"/>
          <w:color w:val="auto"/>
        </w:rPr>
      </w:pPr>
      <w:r>
        <w:rPr>
          <w:rFonts w:ascii="Courier New" w:cs="Courier New" w:eastAsia="Courier New" w:hAnsi="Courier New"/>
          <w:sz w:val="18"/>
          <w:szCs w:val="18"/>
          <w:color w:val="auto"/>
        </w:rPr>
        <w:t>227,000</w:t>
      </w:r>
    </w:p>
    <w:p>
      <w:pPr>
        <w:ind w:left="3160"/>
        <w:spacing w:after="0" w:line="237" w:lineRule="auto"/>
        <w:rPr>
          <w:sz w:val="20"/>
          <w:szCs w:val="20"/>
          <w:color w:val="auto"/>
        </w:rPr>
      </w:pPr>
      <w:r>
        <w:rPr>
          <w:rFonts w:ascii="Courier New" w:cs="Courier New" w:eastAsia="Courier New" w:hAnsi="Courier New"/>
          <w:sz w:val="18"/>
          <w:szCs w:val="18"/>
          <w:color w:val="auto"/>
        </w:rPr>
        <w:t>227,000</w:t>
      </w:r>
    </w:p>
    <w:p>
      <w:pPr>
        <w:jc w:val="right"/>
        <w:ind w:right="5059"/>
        <w:spacing w:after="0"/>
        <w:rPr>
          <w:sz w:val="20"/>
          <w:szCs w:val="20"/>
          <w:color w:val="auto"/>
        </w:rPr>
      </w:pPr>
      <w:r>
        <w:rPr>
          <w:rFonts w:ascii="Courier New" w:cs="Courier New" w:eastAsia="Courier New" w:hAnsi="Courier New"/>
          <w:sz w:val="18"/>
          <w:szCs w:val="18"/>
          <w:color w:val="auto"/>
        </w:rPr>
        <w:t>206,235</w:t>
      </w:r>
    </w:p>
    <w:p>
      <w:pPr>
        <w:ind w:left="3460"/>
        <w:spacing w:after="0" w:line="237" w:lineRule="auto"/>
        <w:rPr>
          <w:sz w:val="20"/>
          <w:szCs w:val="20"/>
          <w:color w:val="auto"/>
        </w:rPr>
      </w:pPr>
      <w:r>
        <w:rPr>
          <w:rFonts w:ascii="Courier New" w:cs="Courier New" w:eastAsia="Courier New" w:hAnsi="Courier New"/>
          <w:sz w:val="18"/>
          <w:szCs w:val="18"/>
          <w:color w:val="auto"/>
        </w:rPr>
        <w:t>218,258</w:t>
      </w:r>
    </w:p>
    <w:p>
      <w:pPr>
        <w:ind w:left="378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3,621</w:t>
      </w:r>
    </w:p>
    <w:p>
      <w:pPr>
        <w:ind w:left="3160"/>
        <w:spacing w:after="0"/>
        <w:rPr>
          <w:sz w:val="20"/>
          <w:szCs w:val="20"/>
          <w:color w:val="auto"/>
        </w:rPr>
      </w:pPr>
      <w:r>
        <w:rPr>
          <w:rFonts w:ascii="Courier New" w:cs="Courier New" w:eastAsia="Courier New" w:hAnsi="Courier New"/>
          <w:sz w:val="18"/>
          <w:szCs w:val="18"/>
          <w:color w:val="auto"/>
        </w:rPr>
        <w:t>4,327</w:t>
      </w:r>
    </w:p>
    <w:p>
      <w:pPr>
        <w:ind w:left="3460"/>
        <w:spacing w:after="0" w:line="237" w:lineRule="auto"/>
        <w:rPr>
          <w:sz w:val="20"/>
          <w:szCs w:val="20"/>
          <w:color w:val="auto"/>
        </w:rPr>
      </w:pPr>
      <w:r>
        <w:rPr>
          <w:rFonts w:ascii="Courier New" w:cs="Courier New" w:eastAsia="Courier New" w:hAnsi="Courier New"/>
          <w:sz w:val="18"/>
          <w:szCs w:val="18"/>
          <w:color w:val="auto"/>
        </w:rPr>
        <w:t>2,317</w:t>
      </w:r>
    </w:p>
    <w:p>
      <w:pPr>
        <w:ind w:left="3780"/>
        <w:spacing w:after="0" w:line="238" w:lineRule="auto"/>
        <w:rPr>
          <w:sz w:val="20"/>
          <w:szCs w:val="20"/>
          <w:color w:val="auto"/>
        </w:rPr>
      </w:pPr>
      <w:r>
        <w:rPr>
          <w:rFonts w:ascii="Courier New" w:cs="Courier New" w:eastAsia="Courier New" w:hAnsi="Courier New"/>
          <w:sz w:val="18"/>
          <w:szCs w:val="18"/>
          <w:color w:val="auto"/>
        </w:rPr>
        <w:t>1,761</w:t>
      </w:r>
    </w:p>
    <w:p>
      <w:pPr>
        <w:ind w:left="3260"/>
        <w:spacing w:after="0"/>
        <w:rPr>
          <w:sz w:val="20"/>
          <w:szCs w:val="20"/>
          <w:color w:val="auto"/>
        </w:rPr>
      </w:pPr>
      <w:r>
        <w:rPr>
          <w:rFonts w:ascii="Courier New" w:cs="Courier New" w:eastAsia="Courier New" w:hAnsi="Courier New"/>
          <w:sz w:val="18"/>
          <w:szCs w:val="18"/>
          <w:color w:val="auto"/>
        </w:rPr>
        <w:t>556</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rPr>
          <w:sz w:val="20"/>
          <w:szCs w:val="20"/>
          <w:color w:val="auto"/>
        </w:rPr>
      </w:pPr>
      <w:r>
        <w:rPr>
          <w:rFonts w:ascii="Courier New" w:cs="Courier New" w:eastAsia="Courier New" w:hAnsi="Courier New"/>
          <w:sz w:val="18"/>
          <w:szCs w:val="18"/>
          <w:color w:val="auto"/>
        </w:rPr>
        <w:t>556</w:t>
      </w:r>
    </w:p>
    <w:p>
      <w:pPr>
        <w:ind w:left="3900"/>
        <w:spacing w:after="0" w:line="237" w:lineRule="auto"/>
        <w:rPr>
          <w:sz w:val="20"/>
          <w:szCs w:val="20"/>
          <w:color w:val="auto"/>
        </w:rPr>
      </w:pPr>
      <w:r>
        <w:rPr>
          <w:rFonts w:ascii="Courier New" w:cs="Courier New" w:eastAsia="Courier New" w:hAnsi="Courier New"/>
          <w:sz w:val="18"/>
          <w:szCs w:val="18"/>
          <w:color w:val="auto"/>
        </w:rPr>
        <w:t>.02</w:t>
      </w:r>
    </w:p>
    <w:p>
      <w:pPr>
        <w:ind w:left="3900"/>
        <w:spacing w:after="0" w:line="238" w:lineRule="auto"/>
        <w:rPr>
          <w:sz w:val="20"/>
          <w:szCs w:val="20"/>
          <w:color w:val="auto"/>
        </w:rPr>
      </w:pPr>
      <w:r>
        <w:rPr>
          <w:rFonts w:ascii="Courier New" w:cs="Courier New" w:eastAsia="Courier New" w:hAnsi="Courier New"/>
          <w:sz w:val="18"/>
          <w:szCs w:val="18"/>
          <w:color w:val="auto"/>
        </w:rPr>
        <w:t>.02</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2019-12-13T17:19:10Z</dcterms:created>
  <dcterms:modified xsi:type="dcterms:W3CDTF">2019-12-13T17:19:10Z</dcterms:modified>
</cp:coreProperties>
</file>