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3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41275</wp:posOffset>
            </wp:positionV>
            <wp:extent cx="33534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53435" cy="889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-232410</wp:posOffset>
            </wp:positionV>
            <wp:extent cx="33534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November 7, 2017</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PILGRIM'S PRIDE CORPORATION</w:t>
      </w:r>
    </w:p>
    <w:p>
      <w:pPr>
        <w:spacing w:after="0" w:line="18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84" w:right="239" w:bottom="1440" w:gutter="0" w:footer="0" w:header="0"/>
        </w:sectPr>
      </w:pPr>
    </w:p>
    <w:p>
      <w:pPr>
        <w:spacing w:after="0" w:line="200" w:lineRule="exact"/>
        <w:rPr>
          <w:sz w:val="24"/>
          <w:szCs w:val="24"/>
          <w:color w:val="auto"/>
        </w:rPr>
      </w:pPr>
    </w:p>
    <w:p>
      <w:pPr>
        <w:spacing w:after="0" w:line="341" w:lineRule="exact"/>
        <w:rPr>
          <w:sz w:val="24"/>
          <w:szCs w:val="24"/>
          <w:color w:val="auto"/>
        </w:rPr>
      </w:pPr>
    </w:p>
    <w:p>
      <w:pPr>
        <w:ind w:left="170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1-9273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1"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75-1285071</w:t>
      </w:r>
    </w:p>
    <w:p>
      <w:pPr>
        <w:spacing w:after="0" w:line="107" w:lineRule="exact"/>
        <w:rPr>
          <w:sz w:val="24"/>
          <w:szCs w:val="24"/>
          <w:color w:val="auto"/>
        </w:rPr>
      </w:pPr>
    </w:p>
    <w:p>
      <w:pPr>
        <w:sectPr>
          <w:pgSz w:w="11900" w:h="16838" w:orient="portrait"/>
          <w:cols w:equalWidth="0" w:num="3">
            <w:col w:w="4540" w:space="720"/>
            <w:col w:w="2180" w:space="720"/>
            <w:col w:w="3260"/>
          </w:cols>
          <w:pgMar w:left="240" w:top="684" w:right="23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820" w:space="720"/>
            <w:col w:w="2140" w:space="720"/>
            <w:col w:w="4020"/>
          </w:cols>
          <w:pgMar w:left="240" w:top="684" w:right="239" w:bottom="1440" w:gutter="0" w:footer="0" w:header="0"/>
          <w:type w:val="continuous"/>
        </w:sectPr>
      </w:pPr>
    </w:p>
    <w:p>
      <w:pPr>
        <w:spacing w:after="0" w:line="204" w:lineRule="exact"/>
        <w:rPr>
          <w:sz w:val="24"/>
          <w:szCs w:val="24"/>
          <w:color w:val="auto"/>
        </w:rPr>
      </w:pPr>
    </w:p>
    <w:p>
      <w:pPr>
        <w:ind w:left="1760"/>
        <w:spacing w:after="0"/>
        <w:rPr>
          <w:sz w:val="20"/>
          <w:szCs w:val="20"/>
          <w:color w:val="auto"/>
        </w:rPr>
      </w:pPr>
      <w:r>
        <w:rPr>
          <w:rFonts w:ascii="Arial" w:cs="Arial" w:eastAsia="Arial" w:hAnsi="Arial"/>
          <w:sz w:val="18"/>
          <w:szCs w:val="18"/>
          <w:b w:val="1"/>
          <w:bCs w:val="1"/>
          <w:color w:val="auto"/>
        </w:rPr>
        <w:t>1770 Promontory Circle</w:t>
      </w:r>
    </w:p>
    <w:p>
      <w:pPr>
        <w:spacing w:after="0" w:line="45" w:lineRule="exact"/>
        <w:rPr>
          <w:sz w:val="24"/>
          <w:szCs w:val="24"/>
          <w:color w:val="auto"/>
        </w:rPr>
      </w:pPr>
    </w:p>
    <w:p>
      <w:pPr>
        <w:ind w:left="2260"/>
        <w:spacing w:after="0"/>
        <w:rPr>
          <w:sz w:val="20"/>
          <w:szCs w:val="20"/>
          <w:color w:val="auto"/>
        </w:rPr>
      </w:pPr>
      <w:r>
        <w:rPr>
          <w:rFonts w:ascii="Arial" w:cs="Arial" w:eastAsia="Arial" w:hAnsi="Arial"/>
          <w:sz w:val="20"/>
          <w:szCs w:val="20"/>
          <w:b w:val="1"/>
          <w:bCs w:val="1"/>
          <w:color w:val="auto"/>
        </w:rPr>
        <w:t>Greeley, CO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80634-9038</w:t>
      </w:r>
    </w:p>
    <w:p>
      <w:pPr>
        <w:spacing w:after="0" w:line="107" w:lineRule="exact"/>
        <w:rPr>
          <w:sz w:val="24"/>
          <w:szCs w:val="24"/>
          <w:color w:val="auto"/>
        </w:rPr>
      </w:pPr>
    </w:p>
    <w:p>
      <w:pPr>
        <w:sectPr>
          <w:pgSz w:w="11900" w:h="16838" w:orient="portrait"/>
          <w:cols w:equalWidth="0" w:num="2">
            <w:col w:w="6780" w:space="720"/>
            <w:col w:w="3920"/>
          </w:cols>
          <w:pgMar w:left="240" w:top="684" w:right="239" w:bottom="1440" w:gutter="0" w:footer="0" w:header="0"/>
          <w:type w:val="continuous"/>
        </w:sectPr>
      </w:pPr>
    </w:p>
    <w:p>
      <w:pPr>
        <w:ind w:left="1340"/>
        <w:spacing w:after="0"/>
        <w:tabs>
          <w:tab w:leader="none" w:pos="756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420"/>
          </w:cols>
          <w:pgMar w:left="240" w:top="684" w:right="239" w:bottom="1440" w:gutter="0" w:footer="0" w:header="0"/>
          <w:type w:val="continuous"/>
        </w:sectPr>
      </w:pPr>
    </w:p>
    <w:p>
      <w:pPr>
        <w:spacing w:after="0" w:line="19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(970) 506-8000</w:t>
      </w: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280670</wp:posOffset>
            </wp:positionV>
            <wp:extent cx="41421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4210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9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an emerging growth company as defined in as defined in Rule 405 of the Securities Act of 1933</w:t>
      </w:r>
    </w:p>
    <w:p>
      <w:pPr>
        <w:spacing w:after="0" w:line="46" w:lineRule="exact"/>
        <w:rPr>
          <w:sz w:val="24"/>
          <w:szCs w:val="24"/>
          <w:color w:val="auto"/>
        </w:rPr>
      </w:pPr>
    </w:p>
    <w:p>
      <w:pPr>
        <w:spacing w:after="0"/>
        <w:rPr>
          <w:sz w:val="20"/>
          <w:szCs w:val="20"/>
          <w:color w:val="auto"/>
        </w:rPr>
      </w:pPr>
      <w:r>
        <w:rPr>
          <w:rFonts w:ascii="Arial" w:cs="Arial" w:eastAsia="Arial" w:hAnsi="Arial"/>
          <w:sz w:val="20"/>
          <w:szCs w:val="20"/>
          <w:color w:val="auto"/>
        </w:rPr>
        <w:t>(§230.405 of this chapter) or Rule 12b2 of the Securities Exchange Act of 1934 (§240.12b-2 of this chapter).</w:t>
      </w:r>
    </w:p>
    <w:p>
      <w:pPr>
        <w:spacing w:after="0" w:line="148" w:lineRule="exact"/>
        <w:rPr>
          <w:sz w:val="24"/>
          <w:szCs w:val="24"/>
          <w:color w:val="auto"/>
        </w:rPr>
      </w:pPr>
    </w:p>
    <w:p>
      <w:pPr>
        <w:ind w:left="1760"/>
        <w:spacing w:after="0"/>
        <w:rPr>
          <w:sz w:val="20"/>
          <w:szCs w:val="20"/>
          <w:color w:val="auto"/>
        </w:rPr>
      </w:pPr>
      <w:r>
        <w:rPr>
          <w:rFonts w:ascii="Arial" w:cs="Arial" w:eastAsia="Arial" w:hAnsi="Arial"/>
          <w:sz w:val="18"/>
          <w:szCs w:val="18"/>
          <w:color w:val="auto"/>
        </w:rPr>
        <w:t>Emerging growth company o</w:t>
      </w:r>
    </w:p>
    <w:p>
      <w:pPr>
        <w:spacing w:after="0" w:line="14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68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16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On November 7, 2017 the Registrant issued a press release, a copy of which is attached hereto as Exhibit 99.1 and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November 7, 2017.</w:t>
      </w:r>
    </w:p>
    <w:p>
      <w:pPr>
        <w:sectPr>
          <w:pgSz w:w="11900" w:h="16838" w:orient="portrait"/>
          <w:cols w:equalWidth="0" w:num="1">
            <w:col w:w="11420"/>
          </w:cols>
          <w:pgMar w:left="240" w:top="576" w:right="239"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PILGRIM’S PRIDE CORPORATION</w:t>
      </w:r>
    </w:p>
    <w:p>
      <w:pPr>
        <w:spacing w:after="0" w:line="333" w:lineRule="exact"/>
        <w:rPr>
          <w:sz w:val="20"/>
          <w:szCs w:val="20"/>
          <w:color w:val="auto"/>
        </w:rPr>
      </w:pPr>
    </w:p>
    <w:p>
      <w:pPr>
        <w:ind w:left="40"/>
        <w:spacing w:after="0"/>
        <w:tabs>
          <w:tab w:leader="none" w:pos="700" w:val="left"/>
          <w:tab w:leader="none" w:pos="7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2017</w:t>
      </w:r>
      <w:r>
        <w:rPr>
          <w:sz w:val="20"/>
          <w:szCs w:val="20"/>
          <w:color w:val="auto"/>
        </w:rPr>
        <w:tab/>
      </w:r>
      <w:r>
        <w:rPr>
          <w:rFonts w:ascii="Arial" w:cs="Arial" w:eastAsia="Arial" w:hAnsi="Arial"/>
          <w:sz w:val="16"/>
          <w:szCs w:val="16"/>
          <w:color w:val="auto"/>
        </w:rPr>
        <w:t>/s/ Fabio Sandri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31750</wp:posOffset>
            </wp:positionV>
            <wp:extent cx="1235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Fabio Sandri</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Exhibit Index</w:t>
      </w:r>
    </w:p>
    <w:p>
      <w:pPr>
        <w:spacing w:after="0" w:line="168" w:lineRule="exact"/>
        <w:rPr>
          <w:sz w:val="20"/>
          <w:szCs w:val="20"/>
          <w:color w:val="auto"/>
        </w:rPr>
      </w:pPr>
    </w:p>
    <w:p>
      <w:pPr>
        <w:spacing w:after="0"/>
        <w:rPr>
          <w:rFonts w:ascii="Arial" w:cs="Arial" w:eastAsia="Arial" w:hAnsi="Arial"/>
          <w:sz w:val="16"/>
          <w:szCs w:val="16"/>
          <w:color w:val="0000FF"/>
        </w:rPr>
      </w:pPr>
      <w:hyperlink w:anchor="page5">
        <w:r>
          <w:rPr>
            <w:rFonts w:ascii="Arial" w:cs="Arial" w:eastAsia="Arial" w:hAnsi="Arial"/>
            <w:sz w:val="16"/>
            <w:szCs w:val="16"/>
            <w:u w:val="single" w:color="auto"/>
            <w:color w:val="0000FF"/>
          </w:rPr>
          <w:t>Exhibit 99.1</w:t>
        </w:r>
        <w:r>
          <w:rPr>
            <w:rFonts w:ascii="Arial" w:cs="Arial" w:eastAsia="Arial" w:hAnsi="Arial"/>
            <w:sz w:val="16"/>
            <w:szCs w:val="16"/>
            <w:color w:val="0000FF"/>
          </w:rPr>
          <w:t xml:space="preserve"> </w:t>
        </w:r>
      </w:hyperlink>
      <w:r>
        <w:rPr>
          <w:rFonts w:ascii="Arial" w:cs="Arial" w:eastAsia="Arial" w:hAnsi="Arial"/>
          <w:sz w:val="16"/>
          <w:szCs w:val="16"/>
          <w:color w:val="000000"/>
        </w:rPr>
        <w:t>Press</w:t>
      </w:r>
      <w:r>
        <w:rPr>
          <w:rFonts w:ascii="Arial" w:cs="Arial" w:eastAsia="Arial" w:hAnsi="Arial"/>
          <w:sz w:val="16"/>
          <w:szCs w:val="16"/>
          <w:color w:val="0000FF"/>
        </w:rPr>
        <w:t xml:space="preserve"> </w:t>
      </w:r>
      <w:r>
        <w:rPr>
          <w:rFonts w:ascii="Arial" w:cs="Arial" w:eastAsia="Arial" w:hAnsi="Arial"/>
          <w:sz w:val="16"/>
          <w:szCs w:val="16"/>
          <w:color w:val="000000"/>
        </w:rPr>
        <w:t>release dated November 7, 2017.</w:t>
      </w:r>
    </w:p>
    <w:p>
      <w:pPr>
        <w:sectPr>
          <w:pgSz w:w="11900" w:h="16838" w:orient="portrait"/>
          <w:cols w:equalWidth="0" w:num="1">
            <w:col w:w="10219"/>
          </w:cols>
          <w:pgMar w:left="240" w:top="576"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2481580</wp:posOffset>
            </wp:positionH>
            <wp:positionV relativeFrom="page">
              <wp:posOffset>380365</wp:posOffset>
            </wp:positionV>
            <wp:extent cx="2607310" cy="1938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731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Pilgrim’s Pride Reports Operating Income of $372 Million and GAAP EPS of $0.93 for the Third Quarter of 2017</w:t>
      </w:r>
    </w:p>
    <w:p>
      <w:pPr>
        <w:spacing w:after="0" w:line="303"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GREELEY, Colo., November 7, 2017 (GLOBE NEWSWIRE) - Pilgrim’s Pride Corporation (NASDAQ: PPC) reports third quarter 2017 financial results.</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Highlights</w:t>
      </w:r>
    </w:p>
    <w:p>
      <w:pPr>
        <w:spacing w:after="0" w:line="2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Consolidated numbers reflect Moy Park for the entire quarter, including historical data in accordance to U.S. GAAP.</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Net Sales of $2.79 billion (+37.4% versus same quarter last year of $2.03 billion, excluding Moy Park).</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Net Income of $232.7 million.</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Adjusted Operating Income margins of 16.6% in U.S., 13.4% in Mexico and 4.1% in Europe operations, respectively.</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Adjusted EBITDA of $463.6 million (or a 16.6% margin) and Adjusted EPS of $0.98.</w:t>
      </w:r>
    </w:p>
    <w:p>
      <w:pPr>
        <w:ind w:left="660" w:right="240" w:hanging="328"/>
        <w:spacing w:after="0" w:line="23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Excluding Moy Park: Net Sales was $2.28 billion, Adjusted Operating Income was $367.7 million, Adjusted EBITDA was $427.6 million (or an 18.8% margin).</w:t>
      </w:r>
    </w:p>
    <w:p>
      <w:pPr>
        <w:spacing w:after="0" w:line="1" w:lineRule="exact"/>
        <w:rPr>
          <w:rFonts w:ascii="Arial" w:cs="Arial" w:eastAsia="Arial" w:hAnsi="Arial"/>
          <w:sz w:val="18"/>
          <w:szCs w:val="18"/>
          <w:color w:val="auto"/>
        </w:rPr>
      </w:pPr>
    </w:p>
    <w:p>
      <w:pPr>
        <w:ind w:left="660" w:hanging="328"/>
        <w:spacing w:after="0" w:line="23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color w:val="auto"/>
        </w:rPr>
        <w:t>Acquisition of Moy Park positions us as the global leader in chicken and prepared foods, and aligns with our strategic priorities while providing a strong platform for future growth.</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8"/>
          <w:szCs w:val="18"/>
          <w:color w:val="auto"/>
        </w:rPr>
        <w:t>GNP integration is progressing well; operations and profitability significantly improved with synergy captured ahead of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1440" w:right="419" w:bottom="1440" w:gutter="0" w:footer="0" w:header="0"/>
        </w:sectPr>
      </w:pPr>
    </w:p>
    <w:bookmarkStart w:id="5" w:name="page6"/>
    <w:bookmarkEnd w:id="5"/>
    <w:tbl>
      <w:tblPr>
        <w:tblLayout w:type="fixed"/>
        <w:tblInd w:w="80" w:type="dxa"/>
        <w:tblCellMar>
          <w:top w:w="0" w:type="dxa"/>
          <w:left w:w="0" w:type="dxa"/>
          <w:bottom w:w="0" w:type="dxa"/>
          <w:right w:w="0" w:type="dxa"/>
        </w:tblCellMar>
      </w:tblPr>
      <w:tr>
        <w:trPr>
          <w:trHeight w:val="305"/>
        </w:trPr>
        <w:tc>
          <w:tcPr>
            <w:tcW w:w="5420" w:type="dxa"/>
            <w:vAlign w:val="bottom"/>
          </w:tcPr>
          <w:p>
            <w:pPr>
              <w:spacing w:after="0"/>
              <w:rPr>
                <w:sz w:val="20"/>
                <w:szCs w:val="20"/>
                <w:color w:val="auto"/>
              </w:rPr>
            </w:pPr>
            <w:r>
              <w:rPr>
                <w:rFonts w:ascii="Arial" w:cs="Arial" w:eastAsia="Arial" w:hAnsi="Arial"/>
                <w:sz w:val="20"/>
                <w:szCs w:val="20"/>
                <w:color w:val="auto"/>
                <w:w w:val="99"/>
              </w:rPr>
              <w:t xml:space="preserve">Unaudited </w:t>
            </w:r>
            <w:r>
              <w:rPr>
                <w:rFonts w:ascii="Arial" w:cs="Arial" w:eastAsia="Arial" w:hAnsi="Arial"/>
                <w:sz w:val="25"/>
                <w:szCs w:val="25"/>
                <w:color w:val="auto"/>
                <w:w w:val="99"/>
                <w:vertAlign w:val="superscript"/>
              </w:rPr>
              <w:t>(2)</w:t>
            </w:r>
            <w:r>
              <w:rPr>
                <w:rFonts w:ascii="Arial" w:cs="Arial" w:eastAsia="Arial" w:hAnsi="Arial"/>
                <w:sz w:val="20"/>
                <w:szCs w:val="20"/>
                <w:color w:val="auto"/>
                <w:w w:val="99"/>
              </w:rPr>
              <w:t>, In Millions, Except Per Share and Percentages</w:t>
            </w: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54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980" w:type="dxa"/>
            <w:vAlign w:val="bottom"/>
            <w:gridSpan w:val="4"/>
          </w:tcPr>
          <w:p>
            <w:pPr>
              <w:ind w:left="180"/>
              <w:spacing w:after="0"/>
              <w:rPr>
                <w:sz w:val="20"/>
                <w:szCs w:val="20"/>
                <w:color w:val="auto"/>
              </w:rPr>
            </w:pPr>
            <w:r>
              <w:rPr>
                <w:rFonts w:ascii="Arial" w:cs="Arial" w:eastAsia="Arial" w:hAnsi="Arial"/>
                <w:sz w:val="20"/>
                <w:szCs w:val="20"/>
                <w:b w:val="1"/>
                <w:bCs w:val="1"/>
                <w:color w:val="auto"/>
              </w:rPr>
              <w:t>Thirteen Weeks Ended</w:t>
            </w:r>
          </w:p>
        </w:tc>
        <w:tc>
          <w:tcPr>
            <w:tcW w:w="1120" w:type="dxa"/>
            <w:vAlign w:val="bottom"/>
          </w:tcPr>
          <w:p>
            <w:pPr>
              <w:spacing w:after="0"/>
              <w:rPr>
                <w:sz w:val="22"/>
                <w:szCs w:val="22"/>
                <w:color w:val="auto"/>
              </w:rPr>
            </w:pPr>
          </w:p>
        </w:tc>
      </w:tr>
      <w:tr>
        <w:trPr>
          <w:trHeight w:val="30"/>
        </w:trPr>
        <w:tc>
          <w:tcPr>
            <w:tcW w:w="54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1"/>
        </w:trPr>
        <w:tc>
          <w:tcPr>
            <w:tcW w:w="5420" w:type="dxa"/>
            <w:vAlign w:val="bottom"/>
          </w:tcPr>
          <w:p>
            <w:pPr>
              <w:spacing w:after="0"/>
              <w:rPr>
                <w:sz w:val="22"/>
                <w:szCs w:val="22"/>
                <w:color w:val="auto"/>
              </w:rPr>
            </w:pPr>
          </w:p>
        </w:tc>
        <w:tc>
          <w:tcPr>
            <w:tcW w:w="1780" w:type="dxa"/>
            <w:vAlign w:val="bottom"/>
          </w:tcPr>
          <w:p>
            <w:pPr>
              <w:ind w:left="560"/>
              <w:spacing w:after="0"/>
              <w:rPr>
                <w:sz w:val="20"/>
                <w:szCs w:val="20"/>
                <w:color w:val="auto"/>
              </w:rPr>
            </w:pPr>
            <w:r>
              <w:rPr>
                <w:rFonts w:ascii="Arial" w:cs="Arial" w:eastAsia="Arial" w:hAnsi="Arial"/>
                <w:sz w:val="20"/>
                <w:szCs w:val="20"/>
                <w:b w:val="1"/>
                <w:bCs w:val="1"/>
                <w:color w:val="auto"/>
                <w:w w:val="99"/>
              </w:rPr>
              <w:t>Sep 24, 2017</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60" w:type="dxa"/>
            <w:vAlign w:val="bottom"/>
            <w:gridSpan w:val="2"/>
          </w:tcPr>
          <w:p>
            <w:pPr>
              <w:ind w:left="540"/>
              <w:spacing w:after="0"/>
              <w:rPr>
                <w:sz w:val="20"/>
                <w:szCs w:val="20"/>
                <w:color w:val="auto"/>
              </w:rPr>
            </w:pPr>
            <w:r>
              <w:rPr>
                <w:rFonts w:ascii="Arial" w:cs="Arial" w:eastAsia="Arial" w:hAnsi="Arial"/>
                <w:sz w:val="20"/>
                <w:szCs w:val="20"/>
                <w:b w:val="1"/>
                <w:bCs w:val="1"/>
                <w:color w:val="auto"/>
              </w:rPr>
              <w:t>Sep 25, 2016</w:t>
            </w:r>
          </w:p>
        </w:tc>
        <w:tc>
          <w:tcPr>
            <w:tcW w:w="1120" w:type="dxa"/>
            <w:vAlign w:val="bottom"/>
          </w:tcPr>
          <w:p>
            <w:pPr>
              <w:ind w:left="220"/>
              <w:spacing w:after="0"/>
              <w:rPr>
                <w:sz w:val="20"/>
                <w:szCs w:val="20"/>
                <w:color w:val="auto"/>
              </w:rPr>
            </w:pPr>
            <w:r>
              <w:rPr>
                <w:rFonts w:ascii="Arial" w:cs="Arial" w:eastAsia="Arial" w:hAnsi="Arial"/>
                <w:sz w:val="20"/>
                <w:szCs w:val="20"/>
                <w:b w:val="1"/>
                <w:bCs w:val="1"/>
                <w:color w:val="auto"/>
              </w:rPr>
              <w:t>Change</w:t>
            </w:r>
          </w:p>
        </w:tc>
      </w:tr>
      <w:tr>
        <w:trPr>
          <w:trHeight w:val="30"/>
        </w:trPr>
        <w:tc>
          <w:tcPr>
            <w:tcW w:w="54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1"/>
        </w:trPr>
        <w:tc>
          <w:tcPr>
            <w:tcW w:w="5420" w:type="dxa"/>
            <w:vAlign w:val="bottom"/>
          </w:tcPr>
          <w:p>
            <w:pPr>
              <w:spacing w:after="0"/>
              <w:rPr>
                <w:sz w:val="20"/>
                <w:szCs w:val="20"/>
                <w:color w:val="auto"/>
              </w:rPr>
            </w:pPr>
            <w:r>
              <w:rPr>
                <w:rFonts w:ascii="Arial" w:cs="Arial" w:eastAsia="Arial" w:hAnsi="Arial"/>
                <w:sz w:val="20"/>
                <w:szCs w:val="20"/>
                <w:color w:val="auto"/>
              </w:rPr>
              <w:t>Net Sales</w:t>
            </w:r>
          </w:p>
        </w:tc>
        <w:tc>
          <w:tcPr>
            <w:tcW w:w="1780" w:type="dxa"/>
            <w:vAlign w:val="bottom"/>
          </w:tcPr>
          <w:p>
            <w:pPr>
              <w:jc w:val="center"/>
              <w:ind w:left="281"/>
              <w:spacing w:after="0"/>
              <w:rPr>
                <w:sz w:val="20"/>
                <w:szCs w:val="20"/>
                <w:color w:val="auto"/>
              </w:rPr>
            </w:pPr>
            <w:r>
              <w:rPr>
                <w:rFonts w:ascii="Arial" w:cs="Arial" w:eastAsia="Arial" w:hAnsi="Arial"/>
                <w:sz w:val="20"/>
                <w:szCs w:val="20"/>
                <w:color w:val="auto"/>
                <w:w w:val="87"/>
              </w:rPr>
              <w:t>$2,793.9</w:t>
            </w:r>
          </w:p>
        </w:tc>
        <w:tc>
          <w:tcPr>
            <w:tcW w:w="2760" w:type="dxa"/>
            <w:vAlign w:val="bottom"/>
            <w:gridSpan w:val="3"/>
          </w:tcPr>
          <w:p>
            <w:pPr>
              <w:jc w:val="center"/>
              <w:ind w:left="501"/>
              <w:spacing w:after="0"/>
              <w:rPr>
                <w:sz w:val="20"/>
                <w:szCs w:val="20"/>
                <w:color w:val="auto"/>
              </w:rPr>
            </w:pPr>
            <w:r>
              <w:rPr>
                <w:rFonts w:ascii="Arial" w:cs="Arial" w:eastAsia="Arial" w:hAnsi="Arial"/>
                <w:sz w:val="20"/>
                <w:szCs w:val="20"/>
                <w:color w:val="auto"/>
                <w:w w:val="87"/>
              </w:rPr>
              <w:t>$2,495.3</w:t>
            </w:r>
          </w:p>
        </w:tc>
        <w:tc>
          <w:tcPr>
            <w:tcW w:w="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20"/>
                <w:szCs w:val="20"/>
                <w:color w:val="auto"/>
                <w:w w:val="90"/>
              </w:rPr>
              <w:t>+12.0%</w:t>
            </w:r>
          </w:p>
        </w:tc>
      </w:tr>
      <w:tr>
        <w:trPr>
          <w:trHeight w:val="284"/>
        </w:trPr>
        <w:tc>
          <w:tcPr>
            <w:tcW w:w="5420" w:type="dxa"/>
            <w:vAlign w:val="bottom"/>
          </w:tcPr>
          <w:p>
            <w:pPr>
              <w:spacing w:after="0"/>
              <w:rPr>
                <w:sz w:val="20"/>
                <w:szCs w:val="20"/>
                <w:color w:val="auto"/>
              </w:rPr>
            </w:pPr>
            <w:r>
              <w:rPr>
                <w:rFonts w:ascii="Arial" w:cs="Arial" w:eastAsia="Arial" w:hAnsi="Arial"/>
                <w:sz w:val="20"/>
                <w:szCs w:val="20"/>
                <w:color w:val="auto"/>
              </w:rPr>
              <w:t>GAAP EPS</w:t>
            </w:r>
          </w:p>
        </w:tc>
        <w:tc>
          <w:tcPr>
            <w:tcW w:w="1780" w:type="dxa"/>
            <w:vAlign w:val="bottom"/>
          </w:tcPr>
          <w:p>
            <w:pPr>
              <w:jc w:val="center"/>
              <w:ind w:left="281"/>
              <w:spacing w:after="0"/>
              <w:rPr>
                <w:sz w:val="20"/>
                <w:szCs w:val="20"/>
                <w:color w:val="auto"/>
              </w:rPr>
            </w:pPr>
            <w:r>
              <w:rPr>
                <w:rFonts w:ascii="Arial" w:cs="Arial" w:eastAsia="Arial" w:hAnsi="Arial"/>
                <w:sz w:val="20"/>
                <w:szCs w:val="20"/>
                <w:color w:val="auto"/>
                <w:w w:val="87"/>
              </w:rPr>
              <w:t>$0.93</w:t>
            </w:r>
          </w:p>
        </w:tc>
        <w:tc>
          <w:tcPr>
            <w:tcW w:w="2760" w:type="dxa"/>
            <w:vAlign w:val="bottom"/>
            <w:gridSpan w:val="3"/>
          </w:tcPr>
          <w:p>
            <w:pPr>
              <w:jc w:val="center"/>
              <w:ind w:left="501"/>
              <w:spacing w:after="0"/>
              <w:rPr>
                <w:sz w:val="20"/>
                <w:szCs w:val="20"/>
                <w:color w:val="auto"/>
              </w:rPr>
            </w:pPr>
            <w:r>
              <w:rPr>
                <w:rFonts w:ascii="Arial" w:cs="Arial" w:eastAsia="Arial" w:hAnsi="Arial"/>
                <w:sz w:val="20"/>
                <w:szCs w:val="20"/>
                <w:color w:val="auto"/>
                <w:w w:val="87"/>
              </w:rPr>
              <w:t>$0.39</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0"/>
                <w:szCs w:val="20"/>
                <w:color w:val="auto"/>
                <w:w w:val="90"/>
              </w:rPr>
              <w:t>+138.5%</w:t>
            </w:r>
          </w:p>
        </w:tc>
      </w:tr>
      <w:tr>
        <w:trPr>
          <w:trHeight w:val="284"/>
        </w:trPr>
        <w:tc>
          <w:tcPr>
            <w:tcW w:w="5420" w:type="dxa"/>
            <w:vAlign w:val="bottom"/>
          </w:tcPr>
          <w:p>
            <w:pPr>
              <w:spacing w:after="0"/>
              <w:rPr>
                <w:sz w:val="20"/>
                <w:szCs w:val="20"/>
                <w:color w:val="auto"/>
              </w:rPr>
            </w:pPr>
            <w:r>
              <w:rPr>
                <w:rFonts w:ascii="Arial" w:cs="Arial" w:eastAsia="Arial" w:hAnsi="Arial"/>
                <w:sz w:val="20"/>
                <w:szCs w:val="20"/>
                <w:color w:val="auto"/>
              </w:rPr>
              <w:t>Operating Income</w:t>
            </w:r>
          </w:p>
        </w:tc>
        <w:tc>
          <w:tcPr>
            <w:tcW w:w="1780" w:type="dxa"/>
            <w:vAlign w:val="bottom"/>
          </w:tcPr>
          <w:p>
            <w:pPr>
              <w:jc w:val="center"/>
              <w:ind w:left="281"/>
              <w:spacing w:after="0"/>
              <w:rPr>
                <w:sz w:val="20"/>
                <w:szCs w:val="20"/>
                <w:color w:val="auto"/>
              </w:rPr>
            </w:pPr>
            <w:r>
              <w:rPr>
                <w:rFonts w:ascii="Arial" w:cs="Arial" w:eastAsia="Arial" w:hAnsi="Arial"/>
                <w:sz w:val="20"/>
                <w:szCs w:val="20"/>
                <w:color w:val="auto"/>
                <w:w w:val="91"/>
              </w:rPr>
              <w:t>$372.2</w:t>
            </w:r>
          </w:p>
        </w:tc>
        <w:tc>
          <w:tcPr>
            <w:tcW w:w="2760" w:type="dxa"/>
            <w:vAlign w:val="bottom"/>
            <w:gridSpan w:val="3"/>
          </w:tcPr>
          <w:p>
            <w:pPr>
              <w:jc w:val="center"/>
              <w:ind w:left="501"/>
              <w:spacing w:after="0"/>
              <w:rPr>
                <w:sz w:val="20"/>
                <w:szCs w:val="20"/>
                <w:color w:val="auto"/>
              </w:rPr>
            </w:pPr>
            <w:r>
              <w:rPr>
                <w:rFonts w:ascii="Arial" w:cs="Arial" w:eastAsia="Arial" w:hAnsi="Arial"/>
                <w:sz w:val="20"/>
                <w:szCs w:val="20"/>
                <w:color w:val="auto"/>
                <w:w w:val="91"/>
              </w:rPr>
              <w:t>$176.8</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0"/>
                <w:szCs w:val="20"/>
                <w:color w:val="auto"/>
                <w:w w:val="87"/>
              </w:rPr>
              <w:t>+110.6%</w:t>
            </w:r>
          </w:p>
        </w:tc>
      </w:tr>
      <w:tr>
        <w:trPr>
          <w:trHeight w:val="391"/>
        </w:trPr>
        <w:tc>
          <w:tcPr>
            <w:tcW w:w="5420" w:type="dxa"/>
            <w:vAlign w:val="bottom"/>
          </w:tcPr>
          <w:p>
            <w:pPr>
              <w:spacing w:after="0"/>
              <w:rPr>
                <w:sz w:val="20"/>
                <w:szCs w:val="20"/>
                <w:color w:val="auto"/>
              </w:rPr>
            </w:pPr>
            <w:r>
              <w:rPr>
                <w:rFonts w:ascii="Arial" w:cs="Arial" w:eastAsia="Arial" w:hAnsi="Arial"/>
                <w:sz w:val="20"/>
                <w:szCs w:val="20"/>
                <w:color w:val="auto"/>
              </w:rPr>
              <w:t xml:space="preserve">Adjusted EBITDA </w:t>
            </w:r>
            <w:r>
              <w:rPr>
                <w:rFonts w:ascii="Arial" w:cs="Arial" w:eastAsia="Arial" w:hAnsi="Arial"/>
                <w:sz w:val="25"/>
                <w:szCs w:val="25"/>
                <w:color w:val="auto"/>
                <w:vertAlign w:val="superscript"/>
              </w:rPr>
              <w:t>(1)</w:t>
            </w:r>
          </w:p>
        </w:tc>
        <w:tc>
          <w:tcPr>
            <w:tcW w:w="1780" w:type="dxa"/>
            <w:vAlign w:val="bottom"/>
          </w:tcPr>
          <w:p>
            <w:pPr>
              <w:jc w:val="center"/>
              <w:ind w:left="281"/>
              <w:spacing w:after="0"/>
              <w:rPr>
                <w:sz w:val="20"/>
                <w:szCs w:val="20"/>
                <w:color w:val="auto"/>
              </w:rPr>
            </w:pPr>
            <w:r>
              <w:rPr>
                <w:rFonts w:ascii="Arial" w:cs="Arial" w:eastAsia="Arial" w:hAnsi="Arial"/>
                <w:sz w:val="20"/>
                <w:szCs w:val="20"/>
                <w:color w:val="auto"/>
                <w:w w:val="91"/>
              </w:rPr>
              <w:t>$463.6</w:t>
            </w:r>
          </w:p>
        </w:tc>
        <w:tc>
          <w:tcPr>
            <w:tcW w:w="2760" w:type="dxa"/>
            <w:vAlign w:val="bottom"/>
            <w:gridSpan w:val="3"/>
          </w:tcPr>
          <w:p>
            <w:pPr>
              <w:jc w:val="center"/>
              <w:ind w:left="501"/>
              <w:spacing w:after="0"/>
              <w:rPr>
                <w:sz w:val="20"/>
                <w:szCs w:val="20"/>
                <w:color w:val="auto"/>
              </w:rPr>
            </w:pPr>
            <w:r>
              <w:rPr>
                <w:rFonts w:ascii="Arial" w:cs="Arial" w:eastAsia="Arial" w:hAnsi="Arial"/>
                <w:sz w:val="20"/>
                <w:szCs w:val="20"/>
                <w:color w:val="auto"/>
                <w:w w:val="91"/>
              </w:rPr>
              <w:t>$237.4</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0"/>
                <w:szCs w:val="20"/>
                <w:color w:val="auto"/>
                <w:w w:val="90"/>
              </w:rPr>
              <w:t>+95.3%</w:t>
            </w:r>
          </w:p>
        </w:tc>
      </w:tr>
      <w:tr>
        <w:trPr>
          <w:trHeight w:val="338"/>
        </w:trPr>
        <w:tc>
          <w:tcPr>
            <w:tcW w:w="5420" w:type="dxa"/>
            <w:vAlign w:val="bottom"/>
          </w:tcPr>
          <w:p>
            <w:pPr>
              <w:spacing w:after="0"/>
              <w:rPr>
                <w:sz w:val="20"/>
                <w:szCs w:val="20"/>
                <w:color w:val="auto"/>
              </w:rPr>
            </w:pPr>
            <w:r>
              <w:rPr>
                <w:rFonts w:ascii="Arial" w:cs="Arial" w:eastAsia="Arial" w:hAnsi="Arial"/>
                <w:sz w:val="20"/>
                <w:szCs w:val="20"/>
                <w:color w:val="auto"/>
              </w:rPr>
              <w:t xml:space="preserve">Adjusted EBITDA Margin </w:t>
            </w:r>
            <w:r>
              <w:rPr>
                <w:rFonts w:ascii="Arial" w:cs="Arial" w:eastAsia="Arial" w:hAnsi="Arial"/>
                <w:sz w:val="25"/>
                <w:szCs w:val="25"/>
                <w:color w:val="auto"/>
                <w:vertAlign w:val="superscript"/>
              </w:rPr>
              <w:t>(1)</w:t>
            </w:r>
          </w:p>
        </w:tc>
        <w:tc>
          <w:tcPr>
            <w:tcW w:w="1780" w:type="dxa"/>
            <w:vAlign w:val="bottom"/>
          </w:tcPr>
          <w:p>
            <w:pPr>
              <w:jc w:val="center"/>
              <w:ind w:left="281"/>
              <w:spacing w:after="0"/>
              <w:rPr>
                <w:sz w:val="20"/>
                <w:szCs w:val="20"/>
                <w:color w:val="auto"/>
              </w:rPr>
            </w:pPr>
            <w:r>
              <w:rPr>
                <w:rFonts w:ascii="Arial" w:cs="Arial" w:eastAsia="Arial" w:hAnsi="Arial"/>
                <w:sz w:val="20"/>
                <w:szCs w:val="20"/>
                <w:color w:val="auto"/>
                <w:w w:val="91"/>
              </w:rPr>
              <w:t>16.6%</w:t>
            </w:r>
          </w:p>
        </w:tc>
        <w:tc>
          <w:tcPr>
            <w:tcW w:w="2760" w:type="dxa"/>
            <w:vAlign w:val="bottom"/>
            <w:gridSpan w:val="3"/>
          </w:tcPr>
          <w:p>
            <w:pPr>
              <w:jc w:val="center"/>
              <w:ind w:left="501"/>
              <w:spacing w:after="0"/>
              <w:rPr>
                <w:sz w:val="20"/>
                <w:szCs w:val="20"/>
                <w:color w:val="auto"/>
              </w:rPr>
            </w:pPr>
            <w:r>
              <w:rPr>
                <w:rFonts w:ascii="Arial" w:cs="Arial" w:eastAsia="Arial" w:hAnsi="Arial"/>
                <w:sz w:val="20"/>
                <w:szCs w:val="20"/>
                <w:color w:val="auto"/>
                <w:w w:val="87"/>
              </w:rPr>
              <w:t>9.5%</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0"/>
                <w:szCs w:val="20"/>
                <w:color w:val="auto"/>
                <w:w w:val="87"/>
              </w:rPr>
              <w:t>+7.1pts</w:t>
            </w:r>
          </w:p>
        </w:tc>
      </w:tr>
    </w:tbl>
    <w:p>
      <w:pPr>
        <w:spacing w:after="0" w:line="33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Reconciliations for non-GAAP measures are provided in subsequent sections within this release.</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Figures have been adjusted to include full-quarter of Moy Park, in accordance to U.S. GAAP.</w:t>
      </w:r>
    </w:p>
    <w:p>
      <w:pPr>
        <w:spacing w:after="0" w:line="362"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“During Q3, our U.S. operations were robust across all business units and Mexico performed even better than our expectations. The results once again demonstrated the strength and diversity of our portfolio of bird sizes, and is what fundamentally differentiates us from the competition, giving us the potential to reduce volatility and generate higher margins over time. Despite greater availability of alternative protein, we saw strong demand for chicken during grilling season and we expect a continuation of chicken as a choice protein in domestic and international markets,” stated Bill Lovette, Chief Executive Officer of Pilgrim's.</w:t>
      </w:r>
    </w:p>
    <w:p>
      <w:pPr>
        <w:spacing w:after="0" w:line="343" w:lineRule="exact"/>
        <w:rPr>
          <w:sz w:val="20"/>
          <w:szCs w:val="20"/>
          <w:color w:val="auto"/>
        </w:rPr>
      </w:pPr>
    </w:p>
    <w:p>
      <w:pPr>
        <w:ind w:right="200"/>
        <w:spacing w:after="0" w:line="263" w:lineRule="auto"/>
        <w:rPr>
          <w:sz w:val="20"/>
          <w:szCs w:val="20"/>
          <w:color w:val="auto"/>
        </w:rPr>
      </w:pPr>
      <w:r>
        <w:rPr>
          <w:rFonts w:ascii="Arial" w:cs="Arial" w:eastAsia="Arial" w:hAnsi="Arial"/>
          <w:sz w:val="19"/>
          <w:szCs w:val="19"/>
          <w:color w:val="auto"/>
        </w:rPr>
        <w:t>“We closed the acquisition of Moy Park last September and are very excited about the potential opportunities in Europe because it creates a stronger, more diverse and more stable global chicken and prepared foods leader in Pilgrim’s. The new European operations align with our strategic priorities as we continue expanding our geographical and brands footprint, and extending our global poultry leadership position into attractive new markets while providing us a strong platform for future growth in the region.”</w:t>
      </w:r>
    </w:p>
    <w:p>
      <w:pPr>
        <w:spacing w:after="0" w:line="33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continue to increase GNP performance, and margins have increased by 600 bps since we acquired the business in Q1. The integration is tracking above expectations and we are well ahead in delivering the previously announced $30 million synergy target. Together with the success we had in improving the profitability of the acquired assets in Mexico relative to the legacy operations, we believe we have the method and the team to continue to grow the profitability of our European business.”</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303"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A conference call to discuss Pilgrim’s quarterly results will be held tomorrow, November 8, at 7:00 a.m. MT (9 a.m. ET). Participants are encouraged to pre-register for the conference call using the link below. Callers who pre-register will be given a unique PIN to gain immediate access to the call and bypass the live operator. Participants may pre-register at any time, including up to and after the call start time.</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pre-register, go to: </w:t>
      </w:r>
      <w:r>
        <w:rPr>
          <w:rFonts w:ascii="Arial" w:cs="Arial" w:eastAsia="Arial" w:hAnsi="Arial"/>
          <w:sz w:val="20"/>
          <w:szCs w:val="20"/>
          <w:u w:val="single" w:color="auto"/>
          <w:color w:val="0563C1"/>
        </w:rPr>
        <w:t>https://services.choruscall.com/links/ppc3q2017.html</w:t>
      </w:r>
    </w:p>
    <w:p>
      <w:pPr>
        <w:spacing w:after="0" w:line="297"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 xml:space="preserve">You may also reach the pre-registration link by logging in through the investor section of our website at </w:t>
      </w:r>
      <w:r>
        <w:rPr>
          <w:rFonts w:ascii="Arial" w:cs="Arial" w:eastAsia="Arial" w:hAnsi="Arial"/>
          <w:sz w:val="20"/>
          <w:szCs w:val="20"/>
          <w:u w:val="single" w:color="auto"/>
          <w:color w:val="0000FF"/>
        </w:rPr>
        <w:t>www.pilgrims.com</w:t>
      </w:r>
      <w:r>
        <w:rPr>
          <w:rFonts w:ascii="Arial" w:cs="Arial" w:eastAsia="Arial" w:hAnsi="Arial"/>
          <w:sz w:val="20"/>
          <w:szCs w:val="20"/>
          <w:color w:val="auto"/>
        </w:rPr>
        <w:t xml:space="preserve"> and clicking on the link under “Upcoming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those who would like to join the call but have not pre-registered, access is available by dialing +1 (844) 883-3889 within the US, or +1</w:t>
      </w:r>
    </w:p>
    <w:p>
      <w:pPr>
        <w:spacing w:after="0" w:line="39" w:lineRule="exact"/>
        <w:rPr>
          <w:sz w:val="20"/>
          <w:szCs w:val="20"/>
          <w:color w:val="auto"/>
        </w:rPr>
      </w:pPr>
    </w:p>
    <w:p>
      <w:pPr>
        <w:ind w:right="200" w:firstLine="8"/>
        <w:spacing w:after="0" w:line="244" w:lineRule="auto"/>
        <w:tabs>
          <w:tab w:leader="none" w:pos="478" w:val="left"/>
        </w:tabs>
        <w:numPr>
          <w:ilvl w:val="0"/>
          <w:numId w:val="3"/>
        </w:numPr>
        <w:rPr>
          <w:rFonts w:ascii="Arial" w:cs="Arial" w:eastAsia="Arial" w:hAnsi="Arial"/>
          <w:sz w:val="20"/>
          <w:szCs w:val="20"/>
          <w:color w:val="auto"/>
        </w:rPr>
      </w:pPr>
      <w:r>
        <w:rPr>
          <w:rFonts w:ascii="Arial" w:cs="Arial" w:eastAsia="Arial" w:hAnsi="Arial"/>
          <w:sz w:val="20"/>
          <w:szCs w:val="20"/>
          <w:color w:val="auto"/>
        </w:rPr>
        <w:t>317-9245 internationally, and requesting the “Pilgrim’s Pride Conference.” Please note that to submit a question to management during the call, you must be logged in via telephone.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771" w:right="279" w:bottom="1440" w:gutter="0" w:footer="0" w:header="0"/>
        </w:sectPr>
      </w:pPr>
    </w:p>
    <w:bookmarkStart w:id="6" w:name="page7"/>
    <w:bookmarkEnd w:id="6"/>
    <w:p>
      <w:pPr>
        <w:ind w:right="440"/>
        <w:spacing w:after="0" w:line="287" w:lineRule="auto"/>
        <w:rPr>
          <w:sz w:val="20"/>
          <w:szCs w:val="20"/>
          <w:color w:val="auto"/>
        </w:rPr>
      </w:pPr>
      <w:r>
        <w:rPr>
          <w:rFonts w:ascii="Arial" w:cs="Arial" w:eastAsia="Arial" w:hAnsi="Arial"/>
          <w:sz w:val="19"/>
          <w:szCs w:val="19"/>
          <w:color w:val="auto"/>
        </w:rPr>
        <w:t xml:space="preserve">Replays of the conference call will be available on Pilgrim’s website approximately two hours after the call concludes and can be accessed through the “Investor” section of </w:t>
      </w:r>
      <w:r>
        <w:rPr>
          <w:rFonts w:ascii="Arial" w:cs="Arial" w:eastAsia="Arial" w:hAnsi="Arial"/>
          <w:sz w:val="19"/>
          <w:szCs w:val="19"/>
          <w:u w:val="single" w:color="auto"/>
          <w:color w:val="0563C1"/>
        </w:rPr>
        <w:t>www.pilgrims.com</w:t>
      </w:r>
      <w:r>
        <w:rPr>
          <w:rFonts w:ascii="Arial" w:cs="Arial" w:eastAsia="Arial" w:hAnsi="Arial"/>
          <w:sz w:val="19"/>
          <w:szCs w:val="19"/>
          <w:color w:val="auto"/>
        </w:rPr>
        <w:t>. The webcast will be available for replay through February 8, 2018.</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Pilgrim’s Pride</w:t>
      </w:r>
    </w:p>
    <w:p>
      <w:pPr>
        <w:spacing w:after="0" w:line="222"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 xml:space="preserve">Pilgrim’s employs approximately 52,000 people and operates chicken processing plants and prepared-foods facilities in 14 states, Puerto Rico, Mexico, the U.K, Ireland and continental Europe. The Company’s primary distribution is through retailers and foodservice distributors. For more information, please visit </w:t>
      </w:r>
      <w:r>
        <w:rPr>
          <w:rFonts w:ascii="Arial" w:cs="Arial" w:eastAsia="Arial" w:hAnsi="Arial"/>
          <w:sz w:val="20"/>
          <w:szCs w:val="20"/>
          <w:u w:val="single" w:color="auto"/>
          <w:color w:val="0563C1"/>
        </w:rPr>
        <w:t>www.pilgrims.com</w:t>
      </w:r>
      <w:r>
        <w:rPr>
          <w:rFonts w:ascii="Arial" w:cs="Arial" w:eastAsia="Arial" w:hAnsi="Arial"/>
          <w:sz w:val="20"/>
          <w:szCs w:val="20"/>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spacing w:after="0" w:line="269" w:lineRule="auto"/>
        <w:rPr>
          <w:sz w:val="20"/>
          <w:szCs w:val="20"/>
          <w:color w:val="auto"/>
        </w:rPr>
      </w:pPr>
      <w:r>
        <w:rPr>
          <w:rFonts w:ascii="Arial" w:cs="Arial" w:eastAsia="Arial" w:hAnsi="Arial"/>
          <w:sz w:val="18"/>
          <w:szCs w:val="18"/>
          <w:i w:val="1"/>
          <w:iCs w:val="1"/>
          <w:color w:val="auto"/>
        </w:rPr>
        <w:t>Statements contained in this press release that state the intentions, plans, hopes, beliefs, anticipations, expectations or predictions of the future of Pilgrim’s Pride Corporation and its management are considered forward-looking statements. It is important to note that actual results could differ materially from those projected in such forward-looking statements. Factors that could cause actual results to differ materially from those projected in such forward-looking statements include: matters affecting the poultry industry generally; the ability to execute the Company’s business plan to achieve desired cost savings and profitability; future pricing for feed ingredients and the Company’s products; outbreaks of avian influenza or other diseases, either in Pilgrim’s Pride’s flocks or elsewhere, affecting its ability to conduct its operations and/or demand for its poultry products; contamination of Pilgrim’s Pride’s products, which has previously and can in the future lead to product liability claims and product recalls; exposure to risks related to product liability, product recalls, property damage and injuries to persons, for which insurance coverage is expensive, limited and potentially inadequate; management of cash resources; restrictions imposed by, and as a result of, Pilgrim’s Pride’s leverage; changes in laws or regulations affecting Pilgrim’s Pride’s operations or the application thereof; new immigration legislation or increased enforcement efforts in connection with existing immigration legislation that cause the costs of doing business to increase, cause Pilgrim’s Pride to change the way in which it does business, or otherwise disrupt its operations; competitive factors and pricing pressures or the loss of one or more of Pilgrim’s Pride’s largest customers; currency exchange rate fluctuations, trade barriers, exchange controls, expropriation and other risks associated with foreign operations; disruptions in international markets and distribution channel, including anti-dumping proceedings and countervailing duty proceedings; and the impact of uncertainties of litigation as well as other risks described under “Risk Factors” in the Company’s Annual Report on Form 10-K and subsequent filings with the Securities and Exchange Commission. Pilgrim’s Pride Corporation undertakes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0"/>
        <w:spacing w:after="0"/>
        <w:tabs>
          <w:tab w:leader="none" w:pos="13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Dunham Winoto</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 Investor Relations</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IRPPC@pilgrims.com</w:t>
      </w:r>
    </w:p>
    <w:p>
      <w:pPr>
        <w:spacing w:after="0" w:line="63" w:lineRule="exact"/>
        <w:rPr>
          <w:sz w:val="20"/>
          <w:szCs w:val="20"/>
          <w:color w:val="auto"/>
        </w:rPr>
      </w:pPr>
    </w:p>
    <w:p>
      <w:pPr>
        <w:ind w:left="1380" w:right="8660" w:hanging="1"/>
        <w:spacing w:after="0" w:line="374" w:lineRule="auto"/>
        <w:tabs>
          <w:tab w:leader="none" w:pos="1815" w:val="left"/>
        </w:tabs>
        <w:numPr>
          <w:ilvl w:val="0"/>
          <w:numId w:val="4"/>
        </w:numPr>
        <w:rPr>
          <w:rFonts w:ascii="Arial" w:cs="Arial" w:eastAsia="Arial" w:hAnsi="Arial"/>
          <w:sz w:val="17"/>
          <w:szCs w:val="17"/>
          <w:color w:val="auto"/>
        </w:rPr>
      </w:pPr>
      <w:r>
        <w:rPr>
          <w:rFonts w:ascii="Arial" w:cs="Arial" w:eastAsia="Arial" w:hAnsi="Arial"/>
          <w:sz w:val="17"/>
          <w:szCs w:val="17"/>
          <w:color w:val="auto"/>
        </w:rPr>
        <w:t>506-8192 www.pilgrims.com</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PILGRIM’S PRIDE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1"/>
              </w:rPr>
              <w:t>September 24,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5"/>
              </w:rPr>
              <w:t>December 25, 2016</w:t>
            </w:r>
          </w:p>
        </w:tc>
        <w:tc>
          <w:tcPr>
            <w:tcW w:w="0" w:type="dxa"/>
            <w:vAlign w:val="bottom"/>
          </w:tcPr>
          <w:p>
            <w:pPr>
              <w:spacing w:after="0"/>
              <w:rPr>
                <w:sz w:val="1"/>
                <w:szCs w:val="1"/>
                <w:color w:val="auto"/>
              </w:rPr>
            </w:pPr>
          </w:p>
        </w:tc>
      </w:tr>
      <w:tr>
        <w:trPr>
          <w:trHeight w:val="258"/>
        </w:trPr>
        <w:tc>
          <w:tcPr>
            <w:tcW w:w="55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4"/>
          </w:tcPr>
          <w:p>
            <w:pPr>
              <w:jc w:val="right"/>
              <w:ind w:right="121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401,789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292,544</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Trade accounts and other receivables, less allowance for doubtful accounts</w:t>
            </w: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445,553</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Accounts receivable from related parties</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1,196,201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975,608</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16,362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81,932</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2,350,656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1,809,885</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 long-lived assets</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20,007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19,260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Identified intangible assets, net</w:t>
            </w: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620,693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471,591</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995,582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887,221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2,076,347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1,833,985</w:t>
            </w:r>
          </w:p>
        </w:tc>
        <w:tc>
          <w:tcPr>
            <w:tcW w:w="0" w:type="dxa"/>
            <w:vAlign w:val="bottom"/>
          </w:tcPr>
          <w:p>
            <w:pPr>
              <w:spacing w:after="0"/>
              <w:rPr>
                <w:sz w:val="1"/>
                <w:szCs w:val="1"/>
                <w:color w:val="auto"/>
              </w:rPr>
            </w:pPr>
          </w:p>
        </w:tc>
      </w:tr>
      <w:tr>
        <w:trPr>
          <w:trHeight w:val="237"/>
        </w:trPr>
        <w:tc>
          <w:tcPr>
            <w:tcW w:w="55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3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6,063,285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5,021,942</w:t>
            </w:r>
          </w:p>
        </w:tc>
        <w:tc>
          <w:tcPr>
            <w:tcW w:w="0" w:type="dxa"/>
            <w:vAlign w:val="bottom"/>
          </w:tcPr>
          <w:p>
            <w:pPr>
              <w:spacing w:after="0"/>
              <w:rPr>
                <w:sz w:val="1"/>
                <w:szCs w:val="1"/>
                <w:color w:val="auto"/>
              </w:rPr>
            </w:pPr>
          </w:p>
        </w:tc>
      </w:tr>
      <w:tr>
        <w:trPr>
          <w:trHeight w:val="67"/>
        </w:trPr>
        <w:tc>
          <w:tcPr>
            <w:tcW w:w="5540" w:type="dxa"/>
            <w:vAlign w:val="bottom"/>
            <w:tcBorders>
              <w:bottom w:val="single" w:sz="8" w:color="CCEEFF"/>
            </w:tcBorders>
          </w:tcPr>
          <w:p>
            <w:pPr>
              <w:spacing w:after="0"/>
              <w:rPr>
                <w:sz w:val="5"/>
                <w:szCs w:val="5"/>
                <w:color w:val="auto"/>
              </w:rPr>
            </w:pPr>
          </w:p>
        </w:tc>
        <w:tc>
          <w:tcPr>
            <w:tcW w:w="23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5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743,528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790,378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to related parties</w:t>
            </w: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416,476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347,021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27,578</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Current maturities of long-term debt</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61,811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15,712</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1,420,338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1,185,157</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2,548,575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1,396,124</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251,807</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98,098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102,722</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4,353,049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2,935,810</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307,288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w:t>
            </w: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(231,758)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(217,117)</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1,926,386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3,100,332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 (accumulated deficit)</w:t>
            </w: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(782,785)</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(36,517)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(329,858)</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Pilgrim’s Pride Corporation stockholders’ equity</w:t>
            </w: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1,700,319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2,077,860</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9,917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8,272</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1,710,236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2,086,132</w:t>
            </w:r>
          </w:p>
        </w:tc>
        <w:tc>
          <w:tcPr>
            <w:tcW w:w="0" w:type="dxa"/>
            <w:vAlign w:val="bottom"/>
          </w:tcPr>
          <w:p>
            <w:pPr>
              <w:spacing w:after="0"/>
              <w:rPr>
                <w:sz w:val="1"/>
                <w:szCs w:val="1"/>
                <w:color w:val="auto"/>
              </w:rPr>
            </w:pPr>
          </w:p>
        </w:tc>
      </w:tr>
      <w:tr>
        <w:trPr>
          <w:trHeight w:val="237"/>
        </w:trPr>
        <w:tc>
          <w:tcPr>
            <w:tcW w:w="55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3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6,063,285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5,021,942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360" w:type="dxa"/>
            <w:vAlign w:val="bottom"/>
            <w:vMerge w:val="restart"/>
          </w:tcPr>
          <w:p>
            <w:pPr>
              <w:jc w:val="right"/>
              <w:ind w:right="205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3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5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PILGRIM’S PRIDE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2016</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0"/>
              </w:rPr>
              <w:t>September 25, 2016</w:t>
            </w:r>
          </w:p>
        </w:tc>
      </w:tr>
      <w:tr>
        <w:trPr>
          <w:trHeight w:val="250"/>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5"/>
          </w:tcPr>
          <w:p>
            <w:pPr>
              <w:ind w:left="24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2,793,885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2,495,281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8,025,511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7,507,681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2,315,301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2,242,221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6,815,701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6,632,568</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478,584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1,209,810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875,113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102,191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75,933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284,009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229,786</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restructuring charges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372,246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176,848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917,305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645,048</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 of capitalized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gain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Miscellaneous, net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(7,327)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Nonrecurring items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351,709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155,784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862,288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597,664</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113,396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278,046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202,979</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238,313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101,965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584,242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394,685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from Granite Holdings Sàrl prior to</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by Pilgrim's Pride Corporation</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Pilgrim’s Pride Corporation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232,680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560,242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369,914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of common stock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248,753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254,460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248,732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254,607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dilutive common stock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248,988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254,920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248,962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255,037</w:t>
            </w:r>
          </w:p>
        </w:tc>
      </w:tr>
      <w:tr>
        <w:trPr>
          <w:trHeight w:val="67"/>
        </w:trPr>
        <w:tc>
          <w:tcPr>
            <w:tcW w:w="51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305"/>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2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Pilgrim's Pride Corporation per</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share of</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5160" w:type="dxa"/>
            <w:vAlign w:val="bottom"/>
          </w:tcPr>
          <w:p>
            <w:pPr>
              <w:ind w:left="260"/>
              <w:spacing w:after="0"/>
              <w:rPr>
                <w:sz w:val="20"/>
                <w:szCs w:val="20"/>
                <w:color w:val="auto"/>
              </w:rPr>
            </w:pPr>
            <w:r>
              <w:rPr>
                <w:rFonts w:ascii="Arial" w:cs="Arial" w:eastAsia="Arial" w:hAnsi="Arial"/>
                <w:sz w:val="18"/>
                <w:szCs w:val="18"/>
                <w:b w:val="1"/>
                <w:bCs w:val="1"/>
                <w:color w:val="auto"/>
              </w:rPr>
              <w:t>common stock outstanding:</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1.45</w:t>
            </w:r>
          </w:p>
        </w:tc>
      </w:tr>
      <w:tr>
        <w:trPr>
          <w:trHeight w:val="702"/>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8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958" w:right="239" w:bottom="1440" w:gutter="0" w:footer="0" w:header="0"/>
        </w:sectPr>
      </w:pPr>
    </w:p>
    <w:bookmarkStart w:id="9" w:name="page10"/>
    <w:bookmarkEnd w:id="9"/>
    <w:p>
      <w:pPr>
        <w:ind w:left="3480"/>
        <w:spacing w:after="0"/>
        <w:rPr>
          <w:sz w:val="20"/>
          <w:szCs w:val="20"/>
          <w:color w:val="auto"/>
        </w:rPr>
      </w:pPr>
      <w:r>
        <w:rPr>
          <w:rFonts w:ascii="Arial" w:cs="Arial" w:eastAsia="Arial" w:hAnsi="Arial"/>
          <w:sz w:val="18"/>
          <w:szCs w:val="18"/>
          <w:b w:val="1"/>
          <w:bCs w:val="1"/>
          <w:color w:val="auto"/>
        </w:rPr>
        <w:t>PILGRIM’S PRIDE CORPORATION AND SUBSIDIARIES</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7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24, 2017</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4"/>
              </w:rPr>
              <w:t>September 25, 2016</w:t>
            </w: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4"/>
          </w:tcPr>
          <w:p>
            <w:pPr>
              <w:jc w:val="right"/>
              <w:ind w:right="12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39"/>
        </w:trPr>
        <w:tc>
          <w:tcPr>
            <w:tcW w:w="790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ind w:right="36"/>
              <w:spacing w:after="0"/>
              <w:rPr>
                <w:sz w:val="20"/>
                <w:szCs w:val="20"/>
                <w:color w:val="auto"/>
              </w:rPr>
            </w:pPr>
            <w:r>
              <w:rPr>
                <w:rFonts w:ascii="Arial" w:cs="Arial" w:eastAsia="Arial" w:hAnsi="Arial"/>
                <w:sz w:val="17"/>
                <w:szCs w:val="17"/>
                <w:color w:val="auto"/>
              </w:rPr>
              <w:t>584,242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394,685</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Adjustments to reconcile net income to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9"/>
        </w:trPr>
        <w:tc>
          <w:tcPr>
            <w:tcW w:w="790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20"/>
                <w:szCs w:val="20"/>
                <w:color w:val="auto"/>
              </w:rPr>
            </w:pPr>
          </w:p>
        </w:tc>
        <w:tc>
          <w:tcPr>
            <w:tcW w:w="1540" w:type="dxa"/>
            <w:vAlign w:val="bottom"/>
          </w:tcPr>
          <w:p>
            <w:pPr>
              <w:jc w:val="right"/>
              <w:ind w:right="36"/>
              <w:spacing w:after="0"/>
              <w:rPr>
                <w:sz w:val="20"/>
                <w:szCs w:val="20"/>
                <w:color w:val="auto"/>
              </w:rPr>
            </w:pPr>
            <w:r>
              <w:rPr>
                <w:rFonts w:ascii="Arial" w:cs="Arial" w:eastAsia="Arial" w:hAnsi="Arial"/>
                <w:sz w:val="17"/>
                <w:szCs w:val="17"/>
                <w:color w:val="auto"/>
              </w:rPr>
              <w:t>204,625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174,128</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Foreign currency transaction loss related to borrowing arrangements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900" w:type="dxa"/>
            <w:vAlign w:val="bottom"/>
          </w:tcPr>
          <w:p>
            <w:pPr>
              <w:ind w:left="500"/>
              <w:spacing w:after="0"/>
              <w:rPr>
                <w:sz w:val="20"/>
                <w:szCs w:val="20"/>
                <w:color w:val="auto"/>
              </w:rPr>
            </w:pPr>
            <w:r>
              <w:rPr>
                <w:rFonts w:ascii="Arial" w:cs="Arial" w:eastAsia="Arial" w:hAnsi="Arial"/>
                <w:sz w:val="17"/>
                <w:szCs w:val="17"/>
                <w:color w:val="auto"/>
              </w:rPr>
              <w:t>Impairment expense</w:t>
            </w:r>
          </w:p>
        </w:tc>
        <w:tc>
          <w:tcPr>
            <w:tcW w:w="180" w:type="dxa"/>
            <w:vAlign w:val="bottom"/>
          </w:tcPr>
          <w:p>
            <w:pPr>
              <w:spacing w:after="0"/>
              <w:rPr>
                <w:sz w:val="20"/>
                <w:szCs w:val="20"/>
                <w:color w:val="auto"/>
              </w:rPr>
            </w:pPr>
          </w:p>
        </w:tc>
        <w:tc>
          <w:tcPr>
            <w:tcW w:w="1540" w:type="dxa"/>
            <w:vAlign w:val="bottom"/>
          </w:tcPr>
          <w:p>
            <w:pPr>
              <w:jc w:val="right"/>
              <w:ind w:right="36"/>
              <w:spacing w:after="0"/>
              <w:rPr>
                <w:sz w:val="20"/>
                <w:szCs w:val="20"/>
                <w:color w:val="auto"/>
              </w:rPr>
            </w:pPr>
            <w:r>
              <w:rPr>
                <w:rFonts w:ascii="Arial" w:cs="Arial" w:eastAsia="Arial" w:hAnsi="Arial"/>
                <w:sz w:val="17"/>
                <w:szCs w:val="17"/>
                <w:color w:val="auto"/>
              </w:rPr>
              <w:t>4,947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Gain on property disposals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(7,315)</w:t>
            </w:r>
          </w:p>
        </w:tc>
      </w:tr>
      <w:tr>
        <w:trPr>
          <w:trHeight w:val="239"/>
        </w:trPr>
        <w:tc>
          <w:tcPr>
            <w:tcW w:w="7900" w:type="dxa"/>
            <w:vAlign w:val="bottom"/>
          </w:tcPr>
          <w:p>
            <w:pPr>
              <w:ind w:left="500"/>
              <w:spacing w:after="0"/>
              <w:rPr>
                <w:sz w:val="20"/>
                <w:szCs w:val="20"/>
                <w:color w:val="auto"/>
              </w:rPr>
            </w:pPr>
            <w:r>
              <w:rPr>
                <w:rFonts w:ascii="Arial" w:cs="Arial" w:eastAsia="Arial" w:hAnsi="Arial"/>
                <w:sz w:val="17"/>
                <w:szCs w:val="17"/>
                <w:color w:val="auto"/>
              </w:rPr>
              <w:t>Loss (gain) on equity method investments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194</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5,404</w:t>
            </w:r>
          </w:p>
        </w:tc>
      </w:tr>
      <w:tr>
        <w:trPr>
          <w:trHeight w:val="239"/>
        </w:trPr>
        <w:tc>
          <w:tcPr>
            <w:tcW w:w="7900" w:type="dxa"/>
            <w:vAlign w:val="bottom"/>
          </w:tcPr>
          <w:p>
            <w:pPr>
              <w:ind w:left="500"/>
              <w:spacing w:after="0"/>
              <w:rPr>
                <w:sz w:val="20"/>
                <w:szCs w:val="20"/>
                <w:color w:val="auto"/>
              </w:rPr>
            </w:pPr>
            <w:r>
              <w:rPr>
                <w:rFonts w:ascii="Arial" w:cs="Arial" w:eastAsia="Arial" w:hAnsi="Arial"/>
                <w:sz w:val="17"/>
                <w:szCs w:val="17"/>
                <w:color w:val="auto"/>
              </w:rPr>
              <w:t>Deferred income tax expense (benefit)</w:t>
            </w:r>
          </w:p>
        </w:tc>
        <w:tc>
          <w:tcPr>
            <w:tcW w:w="180" w:type="dxa"/>
            <w:vAlign w:val="bottom"/>
          </w:tcPr>
          <w:p>
            <w:pPr>
              <w:spacing w:after="0"/>
              <w:rPr>
                <w:sz w:val="20"/>
                <w:szCs w:val="20"/>
                <w:color w:val="auto"/>
              </w:rPr>
            </w:pPr>
          </w:p>
        </w:tc>
        <w:tc>
          <w:tcPr>
            <w:tcW w:w="1540" w:type="dxa"/>
            <w:vAlign w:val="bottom"/>
          </w:tcPr>
          <w:p>
            <w:pPr>
              <w:jc w:val="right"/>
              <w:ind w:right="36"/>
              <w:spacing w:after="0"/>
              <w:rPr>
                <w:sz w:val="20"/>
                <w:szCs w:val="20"/>
                <w:color w:val="auto"/>
              </w:rPr>
            </w:pPr>
            <w:r>
              <w:rPr>
                <w:rFonts w:ascii="Arial" w:cs="Arial" w:eastAsia="Arial" w:hAnsi="Arial"/>
                <w:sz w:val="17"/>
                <w:szCs w:val="17"/>
                <w:color w:val="auto"/>
              </w:rPr>
              <w:t>25,768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Changes in operating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9"/>
        </w:trPr>
        <w:tc>
          <w:tcPr>
            <w:tcW w:w="7900" w:type="dxa"/>
            <w:vAlign w:val="bottom"/>
          </w:tcPr>
          <w:p>
            <w:pPr>
              <w:ind w:left="720"/>
              <w:spacing w:after="0"/>
              <w:rPr>
                <w:sz w:val="20"/>
                <w:szCs w:val="20"/>
                <w:color w:val="auto"/>
              </w:rPr>
            </w:pPr>
            <w:r>
              <w:rPr>
                <w:rFonts w:ascii="Arial" w:cs="Arial" w:eastAsia="Arial" w:hAnsi="Arial"/>
                <w:sz w:val="17"/>
                <w:szCs w:val="17"/>
                <w:color w:val="auto"/>
              </w:rPr>
              <w:t>Trade accounts and other receivables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(146,477)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(65,649)</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(149,806)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(18,099)</w:t>
            </w:r>
          </w:p>
        </w:tc>
      </w:tr>
      <w:tr>
        <w:trPr>
          <w:trHeight w:val="239"/>
        </w:trPr>
        <w:tc>
          <w:tcPr>
            <w:tcW w:w="7900" w:type="dxa"/>
            <w:vAlign w:val="bottom"/>
          </w:tcPr>
          <w:p>
            <w:pPr>
              <w:ind w:left="72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(15,377)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1,990</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Accounts payable, 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35,346</w:t>
            </w:r>
          </w:p>
        </w:tc>
      </w:tr>
      <w:tr>
        <w:trPr>
          <w:trHeight w:val="239"/>
        </w:trPr>
        <w:tc>
          <w:tcPr>
            <w:tcW w:w="7900" w:type="dxa"/>
            <w:vAlign w:val="bottom"/>
          </w:tcPr>
          <w:p>
            <w:pPr>
              <w:ind w:left="720"/>
              <w:spacing w:after="0"/>
              <w:rPr>
                <w:sz w:val="20"/>
                <w:szCs w:val="20"/>
                <w:color w:val="auto"/>
              </w:rPr>
            </w:pPr>
            <w:r>
              <w:rPr>
                <w:rFonts w:ascii="Arial" w:cs="Arial" w:eastAsia="Arial" w:hAnsi="Arial"/>
                <w:sz w:val="17"/>
                <w:szCs w:val="17"/>
                <w:color w:val="auto"/>
              </w:rPr>
              <w:t>Income taxes</w:t>
            </w:r>
          </w:p>
        </w:tc>
        <w:tc>
          <w:tcPr>
            <w:tcW w:w="180" w:type="dxa"/>
            <w:vAlign w:val="bottom"/>
          </w:tcPr>
          <w:p>
            <w:pPr>
              <w:spacing w:after="0"/>
              <w:rPr>
                <w:sz w:val="20"/>
                <w:szCs w:val="20"/>
                <w:color w:val="auto"/>
              </w:rPr>
            </w:pPr>
          </w:p>
        </w:tc>
        <w:tc>
          <w:tcPr>
            <w:tcW w:w="1540" w:type="dxa"/>
            <w:vAlign w:val="bottom"/>
          </w:tcPr>
          <w:p>
            <w:pPr>
              <w:jc w:val="right"/>
              <w:ind w:right="36"/>
              <w:spacing w:after="0"/>
              <w:rPr>
                <w:sz w:val="20"/>
                <w:szCs w:val="20"/>
                <w:color w:val="auto"/>
              </w:rPr>
            </w:pPr>
            <w:r>
              <w:rPr>
                <w:rFonts w:ascii="Arial" w:cs="Arial" w:eastAsia="Arial" w:hAnsi="Arial"/>
                <w:sz w:val="17"/>
                <w:szCs w:val="17"/>
                <w:color w:val="auto"/>
              </w:rPr>
              <w:t>149,063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45,789</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Long-term pension and other postretirement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(8,294)</w:t>
            </w:r>
          </w:p>
        </w:tc>
      </w:tr>
      <w:tr>
        <w:trPr>
          <w:trHeight w:val="239"/>
        </w:trPr>
        <w:tc>
          <w:tcPr>
            <w:tcW w:w="7900" w:type="dxa"/>
            <w:vAlign w:val="bottom"/>
          </w:tcPr>
          <w:p>
            <w:pPr>
              <w:ind w:left="720"/>
              <w:spacing w:after="0"/>
              <w:rPr>
                <w:sz w:val="20"/>
                <w:szCs w:val="20"/>
                <w:color w:val="auto"/>
              </w:rPr>
            </w:pPr>
            <w:r>
              <w:rPr>
                <w:rFonts w:ascii="Arial" w:cs="Arial" w:eastAsia="Arial" w:hAnsi="Arial"/>
                <w:sz w:val="17"/>
                <w:szCs w:val="17"/>
                <w:color w:val="auto"/>
              </w:rPr>
              <w:t>Other operating assets and liabilities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(6,190)</w:t>
            </w:r>
          </w:p>
        </w:tc>
      </w:tr>
      <w:tr>
        <w:trPr>
          <w:trHeight w:val="31"/>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provided by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618,491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551,983</w:t>
            </w:r>
          </w:p>
        </w:tc>
      </w:tr>
      <w:tr>
        <w:trPr>
          <w:trHeight w:val="239"/>
        </w:trPr>
        <w:tc>
          <w:tcPr>
            <w:tcW w:w="7900" w:type="dxa"/>
            <w:vAlign w:val="bottom"/>
          </w:tcPr>
          <w:p>
            <w:pPr>
              <w:ind w:left="40"/>
              <w:spacing w:after="0"/>
              <w:rPr>
                <w:sz w:val="20"/>
                <w:szCs w:val="20"/>
                <w:color w:val="auto"/>
              </w:rPr>
            </w:pPr>
            <w:r>
              <w:rPr>
                <w:rFonts w:ascii="Arial" w:cs="Arial" w:eastAsia="Arial" w:hAnsi="Arial"/>
                <w:sz w:val="17"/>
                <w:szCs w:val="17"/>
                <w:color w:val="auto"/>
              </w:rPr>
              <w:t>Cash flows from investing activities: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Acquisitions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(221,035)</w:t>
            </w:r>
          </w:p>
        </w:tc>
      </w:tr>
      <w:tr>
        <w:trPr>
          <w:trHeight w:val="239"/>
        </w:trPr>
        <w:tc>
          <w:tcPr>
            <w:tcW w:w="7900" w:type="dxa"/>
            <w:vAlign w:val="bottom"/>
          </w:tcPr>
          <w:p>
            <w:pPr>
              <w:ind w:left="280"/>
              <w:spacing w:after="0"/>
              <w:rPr>
                <w:sz w:val="20"/>
                <w:szCs w:val="20"/>
                <w:color w:val="auto"/>
              </w:rPr>
            </w:pPr>
            <w:r>
              <w:rPr>
                <w:rFonts w:ascii="Arial" w:cs="Arial" w:eastAsia="Arial" w:hAnsi="Arial"/>
                <w:sz w:val="17"/>
                <w:szCs w:val="17"/>
                <w:color w:val="auto"/>
              </w:rPr>
              <w:t>Business acquisition</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(658,520)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property disposals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12,977</w:t>
            </w:r>
          </w:p>
        </w:tc>
      </w:tr>
      <w:tr>
        <w:trPr>
          <w:trHeight w:val="219"/>
        </w:trPr>
        <w:tc>
          <w:tcPr>
            <w:tcW w:w="7900" w:type="dxa"/>
            <w:vAlign w:val="bottom"/>
          </w:tcPr>
          <w:p>
            <w:pPr>
              <w:ind w:left="40"/>
              <w:spacing w:after="0"/>
              <w:rPr>
                <w:sz w:val="20"/>
                <w:szCs w:val="20"/>
                <w:color w:val="auto"/>
              </w:rPr>
            </w:pPr>
            <w:r>
              <w:rPr>
                <w:rFonts w:ascii="Arial" w:cs="Arial" w:eastAsia="Arial" w:hAnsi="Arial"/>
                <w:sz w:val="17"/>
                <w:szCs w:val="17"/>
                <w:color w:val="auto"/>
              </w:rPr>
              <w:t>Cash used in investing activities</w:t>
            </w: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(914,299)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(208,058)</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9"/>
        </w:trPr>
        <w:tc>
          <w:tcPr>
            <w:tcW w:w="7900" w:type="dxa"/>
            <w:vAlign w:val="bottom"/>
          </w:tcPr>
          <w:p>
            <w:pPr>
              <w:ind w:left="280"/>
              <w:spacing w:after="0"/>
              <w:rPr>
                <w:sz w:val="20"/>
                <w:szCs w:val="20"/>
                <w:color w:val="auto"/>
              </w:rPr>
            </w:pPr>
            <w:r>
              <w:rPr>
                <w:rFonts w:ascii="Arial" w:cs="Arial" w:eastAsia="Arial" w:hAnsi="Arial"/>
                <w:sz w:val="17"/>
                <w:szCs w:val="17"/>
                <w:color w:val="auto"/>
              </w:rPr>
              <w:t>Proceeds from note payable to bank</w:t>
            </w:r>
          </w:p>
        </w:tc>
        <w:tc>
          <w:tcPr>
            <w:tcW w:w="18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36,838</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on note payable to bank</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(65,564)</w:t>
            </w:r>
          </w:p>
        </w:tc>
      </w:tr>
      <w:tr>
        <w:trPr>
          <w:trHeight w:val="239"/>
        </w:trPr>
        <w:tc>
          <w:tcPr>
            <w:tcW w:w="7900" w:type="dxa"/>
            <w:vAlign w:val="bottom"/>
          </w:tcPr>
          <w:p>
            <w:pPr>
              <w:ind w:left="280"/>
              <w:spacing w:after="0"/>
              <w:rPr>
                <w:sz w:val="20"/>
                <w:szCs w:val="20"/>
                <w:color w:val="auto"/>
              </w:rPr>
            </w:pPr>
            <w:r>
              <w:rPr>
                <w:rFonts w:ascii="Arial" w:cs="Arial" w:eastAsia="Arial" w:hAnsi="Arial"/>
                <w:sz w:val="17"/>
                <w:szCs w:val="17"/>
                <w:color w:val="auto"/>
              </w:rPr>
              <w:t>Proceeds from revolving line of credit and long-term borrowings</w:t>
            </w:r>
          </w:p>
        </w:tc>
        <w:tc>
          <w:tcPr>
            <w:tcW w:w="180" w:type="dxa"/>
            <w:vAlign w:val="bottom"/>
          </w:tcPr>
          <w:p>
            <w:pPr>
              <w:spacing w:after="0"/>
              <w:rPr>
                <w:sz w:val="20"/>
                <w:szCs w:val="20"/>
                <w:color w:val="auto"/>
              </w:rPr>
            </w:pPr>
          </w:p>
        </w:tc>
        <w:tc>
          <w:tcPr>
            <w:tcW w:w="1540" w:type="dxa"/>
            <w:vAlign w:val="bottom"/>
          </w:tcPr>
          <w:p>
            <w:pPr>
              <w:jc w:val="right"/>
              <w:ind w:right="36"/>
              <w:spacing w:after="0"/>
              <w:rPr>
                <w:sz w:val="20"/>
                <w:szCs w:val="20"/>
                <w:color w:val="auto"/>
              </w:rPr>
            </w:pPr>
            <w:r>
              <w:rPr>
                <w:rFonts w:ascii="Arial" w:cs="Arial" w:eastAsia="Arial" w:hAnsi="Arial"/>
                <w:sz w:val="17"/>
                <w:szCs w:val="17"/>
                <w:color w:val="auto"/>
              </w:rPr>
              <w:t>1,013,662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515,292</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on revolving line of credit, long-term borrowings and 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(609,678)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(504,078)</w:t>
            </w:r>
          </w:p>
        </w:tc>
      </w:tr>
      <w:tr>
        <w:trPr>
          <w:trHeight w:val="212"/>
        </w:trPr>
        <w:tc>
          <w:tcPr>
            <w:tcW w:w="7900" w:type="dxa"/>
            <w:vAlign w:val="bottom"/>
          </w:tcPr>
          <w:p>
            <w:pPr>
              <w:ind w:left="280"/>
              <w:spacing w:after="0"/>
              <w:rPr>
                <w:sz w:val="20"/>
                <w:szCs w:val="20"/>
                <w:color w:val="auto"/>
              </w:rPr>
            </w:pPr>
            <w:r>
              <w:rPr>
                <w:rFonts w:ascii="Arial" w:cs="Arial" w:eastAsia="Arial" w:hAnsi="Arial"/>
                <w:sz w:val="17"/>
                <w:szCs w:val="17"/>
                <w:color w:val="auto"/>
              </w:rPr>
              <w:t>Proceeds from equity contribution under Tax Sharing Agreement between JBS USA Food Company</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7"/>
                <w:szCs w:val="17"/>
                <w:color w:val="auto"/>
              </w:rPr>
              <w:t>Holdings and Pilgrim's Pride Corporation</w:t>
            </w:r>
          </w:p>
        </w:tc>
        <w:tc>
          <w:tcPr>
            <w:tcW w:w="180" w:type="dxa"/>
            <w:vAlign w:val="bottom"/>
          </w:tcPr>
          <w:p>
            <w:pPr>
              <w:spacing w:after="0"/>
              <w:rPr>
                <w:sz w:val="18"/>
                <w:szCs w:val="18"/>
                <w:color w:val="auto"/>
              </w:rPr>
            </w:pPr>
          </w:p>
        </w:tc>
        <w:tc>
          <w:tcPr>
            <w:tcW w:w="1540" w:type="dxa"/>
            <w:vAlign w:val="bottom"/>
          </w:tcPr>
          <w:p>
            <w:pPr>
              <w:jc w:val="right"/>
              <w:ind w:right="36"/>
              <w:spacing w:after="0"/>
              <w:rPr>
                <w:sz w:val="20"/>
                <w:szCs w:val="20"/>
                <w:color w:val="auto"/>
              </w:rPr>
            </w:pPr>
            <w:r>
              <w:rPr>
                <w:rFonts w:ascii="Arial" w:cs="Arial" w:eastAsia="Arial" w:hAnsi="Arial"/>
                <w:sz w:val="17"/>
                <w:szCs w:val="17"/>
                <w:color w:val="auto"/>
              </w:rPr>
              <w:t>5,038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3,691</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 of capitalized loan costs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(693)</w:t>
            </w:r>
          </w:p>
        </w:tc>
      </w:tr>
      <w:tr>
        <w:trPr>
          <w:trHeight w:val="239"/>
        </w:trPr>
        <w:tc>
          <w:tcPr>
            <w:tcW w:w="7900" w:type="dxa"/>
            <w:vAlign w:val="bottom"/>
          </w:tcPr>
          <w:p>
            <w:pPr>
              <w:ind w:left="280"/>
              <w:spacing w:after="0"/>
              <w:rPr>
                <w:sz w:val="20"/>
                <w:szCs w:val="20"/>
                <w:color w:val="auto"/>
              </w:rPr>
            </w:pPr>
            <w:r>
              <w:rPr>
                <w:rFonts w:ascii="Arial" w:cs="Arial" w:eastAsia="Arial" w:hAnsi="Arial"/>
                <w:sz w:val="17"/>
                <w:szCs w:val="17"/>
                <w:color w:val="auto"/>
              </w:rPr>
              <w:t>Purchase of common stock under share repurchase program</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(14,641)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(20,333)</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Cash dividends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(715,711)</w:t>
            </w:r>
          </w:p>
        </w:tc>
      </w:tr>
      <w:tr>
        <w:trPr>
          <w:trHeight w:val="219"/>
        </w:trPr>
        <w:tc>
          <w:tcPr>
            <w:tcW w:w="7900" w:type="dxa"/>
            <w:vAlign w:val="bottom"/>
          </w:tcPr>
          <w:p>
            <w:pPr>
              <w:ind w:left="40"/>
              <w:spacing w:after="0"/>
              <w:rPr>
                <w:sz w:val="20"/>
                <w:szCs w:val="20"/>
                <w:color w:val="auto"/>
              </w:rPr>
            </w:pPr>
            <w:r>
              <w:rPr>
                <w:rFonts w:ascii="Arial" w:cs="Arial" w:eastAsia="Arial" w:hAnsi="Arial"/>
                <w:sz w:val="17"/>
                <w:szCs w:val="17"/>
                <w:color w:val="auto"/>
              </w:rPr>
              <w:t>Cash provided by (used in) financing activities</w:t>
            </w: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389,831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(743,379)</w:t>
            </w:r>
          </w:p>
        </w:tc>
      </w:tr>
      <w:tr>
        <w:trPr>
          <w:trHeight w:val="31"/>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Increase (decrease) in cash, cash equivalents and 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109,107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(428,391)</w:t>
            </w:r>
          </w:p>
        </w:tc>
      </w:tr>
      <w:tr>
        <w:trPr>
          <w:trHeight w:val="239"/>
        </w:trPr>
        <w:tc>
          <w:tcPr>
            <w:tcW w:w="7900" w:type="dxa"/>
            <w:vAlign w:val="bottom"/>
          </w:tcPr>
          <w:p>
            <w:pPr>
              <w:ind w:left="40"/>
              <w:spacing w:after="0"/>
              <w:rPr>
                <w:sz w:val="20"/>
                <w:szCs w:val="20"/>
                <w:color w:val="auto"/>
              </w:rPr>
            </w:pPr>
            <w:r>
              <w:rPr>
                <w:rFonts w:ascii="Arial" w:cs="Arial" w:eastAsia="Arial" w:hAnsi="Arial"/>
                <w:sz w:val="17"/>
                <w:szCs w:val="17"/>
                <w:color w:val="auto"/>
              </w:rPr>
              <w:t>Cash, cash equivalents and restricted cash, beginning of period</w:t>
            </w:r>
          </w:p>
        </w:tc>
        <w:tc>
          <w:tcPr>
            <w:tcW w:w="180" w:type="dxa"/>
            <w:vAlign w:val="bottom"/>
          </w:tcPr>
          <w:p>
            <w:pPr>
              <w:spacing w:after="0"/>
              <w:rPr>
                <w:sz w:val="20"/>
                <w:szCs w:val="20"/>
                <w:color w:val="auto"/>
              </w:rPr>
            </w:pPr>
          </w:p>
        </w:tc>
        <w:tc>
          <w:tcPr>
            <w:tcW w:w="1540" w:type="dxa"/>
            <w:vAlign w:val="bottom"/>
          </w:tcPr>
          <w:p>
            <w:pPr>
              <w:jc w:val="right"/>
              <w:ind w:right="36"/>
              <w:spacing w:after="0"/>
              <w:rPr>
                <w:sz w:val="20"/>
                <w:szCs w:val="20"/>
                <w:color w:val="auto"/>
              </w:rPr>
            </w:pPr>
            <w:r>
              <w:rPr>
                <w:rFonts w:ascii="Arial" w:cs="Arial" w:eastAsia="Arial" w:hAnsi="Arial"/>
                <w:sz w:val="17"/>
                <w:szCs w:val="17"/>
                <w:color w:val="auto"/>
              </w:rPr>
              <w:t>297,523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696,553</w:t>
            </w:r>
          </w:p>
        </w:tc>
      </w:tr>
      <w:tr>
        <w:trPr>
          <w:trHeight w:val="31"/>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406,630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268,162</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PILGRIM’S PRIDE CORPORATION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Selected Financial Information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4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“EBITDA” is defined as the sum of net income (loss) plus interest, taxes, depreciation and amortization. “Adjusted EBITDA” is calculated by adding to EBITDA certain items of expense and deducting from EBITDA certain items of income that we believe are not indicative of our ongoing operating performance consisting of: (i) income (loss) attributable to non-controlling interests, (ii) restructuring charges, (iii) reorganization items, (iv) losses on early extinguishment of debt and (v) foreign currency transaction losses (gains). EBITDA is presented because it is used by management and we believe it is frequently used by securities analysts, investors and other interested parties, in addition to and not in lieu of results prepared in conformity with accounting principles generally accepted in the US (“GAAP”), to compare the performance of companies. We believe investors would be interested in our Adjusted EBITDA because this is how our management analyzes EBITDA. The Company also believes that Adjusted EBITDA, in combination with the Company’s financial results calculated in accordance with GAAP, provides investors with additional perspective regarding the impact of certain significant items on EBITDA and facilitates a more direct comparison of its performance with its competitors. EBITDA and Adjusted EBITDA are not measurements of financial performance under GAAP. They should not be considered as an alternative to cash flow from operating activities or as a measure of liquidity or an alternative to net income as indicators of our operating performance or any other measures of performance derived in accordance with GAAP.</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PILGRIM'S PRIDE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EBITDA</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2016</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0"/>
              </w:rPr>
              <w:t>September 25, 2016</w:t>
            </w:r>
          </w:p>
        </w:tc>
      </w:tr>
      <w:tr>
        <w:trPr>
          <w:trHeight w:val="250"/>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5"/>
          </w:tcPr>
          <w:p>
            <w:pPr>
              <w:ind w:left="9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238,313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101,965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584,242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394,685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113,396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53,819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278,046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202,979</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71,763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174,128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Minus: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capitalized financing costs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444,799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232,398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1,126,499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825,413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transaction loss (gains)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charges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4,147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8,496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279</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Minus: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463,557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237,376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1,147,020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824,257</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8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657"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EBITDA margins have been calculated by taking the relevant unaudited EBITDA figures, then dividing by Net Revenue for the applicable period.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PILGRIM'S PRIDE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EBITDA Margin</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Pr>
          <w:p>
            <w:pPr>
              <w:ind w:left="40"/>
              <w:spacing w:after="0"/>
              <w:rPr>
                <w:sz w:val="20"/>
                <w:szCs w:val="20"/>
                <w:color w:val="auto"/>
              </w:rPr>
            </w:pPr>
            <w:r>
              <w:rPr>
                <w:rFonts w:ascii="Arial" w:cs="Arial" w:eastAsia="Arial" w:hAnsi="Arial"/>
                <w:sz w:val="14"/>
                <w:szCs w:val="14"/>
                <w:b w:val="1"/>
                <w:bCs w:val="1"/>
                <w:color w:val="auto"/>
              </w:rPr>
              <w:t>(Unaudited)</w:t>
            </w: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24,</w:t>
            </w:r>
          </w:p>
        </w:tc>
        <w:tc>
          <w:tcPr>
            <w:tcW w:w="10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25,</w:t>
            </w:r>
          </w:p>
        </w:tc>
        <w:tc>
          <w:tcPr>
            <w:tcW w:w="10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24,</w:t>
            </w:r>
          </w:p>
        </w:tc>
        <w:tc>
          <w:tcPr>
            <w:tcW w:w="10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25,</w:t>
            </w:r>
          </w:p>
        </w:tc>
        <w:tc>
          <w:tcPr>
            <w:tcW w:w="14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24,</w:t>
            </w:r>
          </w:p>
        </w:tc>
        <w:tc>
          <w:tcPr>
            <w:tcW w:w="12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25,</w:t>
            </w:r>
          </w:p>
        </w:tc>
        <w:tc>
          <w:tcPr>
            <w:tcW w:w="14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24,</w:t>
            </w:r>
          </w:p>
        </w:tc>
        <w:tc>
          <w:tcPr>
            <w:tcW w:w="120" w:type="dxa"/>
            <w:vAlign w:val="bottom"/>
          </w:tcPr>
          <w:p>
            <w:pPr>
              <w:spacing w:after="0"/>
              <w:rPr>
                <w:sz w:val="13"/>
                <w:szCs w:val="13"/>
                <w:color w:val="auto"/>
              </w:rPr>
            </w:pPr>
          </w:p>
        </w:tc>
        <w:tc>
          <w:tcPr>
            <w:tcW w:w="108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3"/>
              </w:rPr>
              <w:t>September 25,</w:t>
            </w:r>
          </w:p>
        </w:tc>
      </w:tr>
      <w:tr>
        <w:trPr>
          <w:trHeight w:val="192"/>
        </w:trPr>
        <w:tc>
          <w:tcPr>
            <w:tcW w:w="1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r>
      <w:tr>
        <w:trPr>
          <w:trHeight w:val="250"/>
        </w:trPr>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63"/>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from</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94"/>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238,313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101,965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584,242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394,685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5.26 %</w:t>
            </w:r>
          </w:p>
        </w:tc>
      </w:tr>
      <w:tr>
        <w:trPr>
          <w:trHeight w:val="264"/>
        </w:trPr>
        <w:tc>
          <w:tcPr>
            <w:tcW w:w="1420" w:type="dxa"/>
            <w:vAlign w:val="bottom"/>
          </w:tcPr>
          <w:p>
            <w:pPr>
              <w:ind w:left="40"/>
              <w:spacing w:after="0"/>
              <w:rPr>
                <w:sz w:val="20"/>
                <w:szCs w:val="20"/>
                <w:color w:val="auto"/>
              </w:rPr>
            </w:pPr>
            <w:r>
              <w:rPr>
                <w:rFonts w:ascii="Arial" w:cs="Arial" w:eastAsia="Arial" w:hAnsi="Arial"/>
                <w:sz w:val="14"/>
                <w:szCs w:val="14"/>
                <w:color w:val="auto"/>
              </w:rPr>
              <w:t>Add:</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22,508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0.81 %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0.78 %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0.75 %</w:t>
            </w:r>
          </w:p>
        </w:tc>
      </w:tr>
      <w:tr>
        <w:trPr>
          <w:trHeight w:val="264"/>
        </w:trPr>
        <w:tc>
          <w:tcPr>
            <w:tcW w:w="142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113,396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53,819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278,046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202,979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4.06 %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3.46 %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2.70 %</w:t>
            </w:r>
          </w:p>
        </w:tc>
      </w:tr>
      <w:tr>
        <w:trPr>
          <w:trHeight w:val="163"/>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94"/>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71,763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58,718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204,625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174,128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2.32 %</w:t>
            </w:r>
          </w:p>
        </w:tc>
      </w:tr>
      <w:tr>
        <w:trPr>
          <w:trHeight w:val="264"/>
        </w:trPr>
        <w:tc>
          <w:tcPr>
            <w:tcW w:w="1420" w:type="dxa"/>
            <w:vAlign w:val="bottom"/>
          </w:tcPr>
          <w:p>
            <w:pPr>
              <w:ind w:left="40"/>
              <w:spacing w:after="0"/>
              <w:rPr>
                <w:sz w:val="20"/>
                <w:szCs w:val="20"/>
                <w:color w:val="auto"/>
              </w:rPr>
            </w:pPr>
            <w:r>
              <w:rPr>
                <w:rFonts w:ascii="Arial" w:cs="Arial" w:eastAsia="Arial" w:hAnsi="Arial"/>
                <w:sz w:val="14"/>
                <w:szCs w:val="14"/>
                <w:color w:val="auto"/>
              </w:rPr>
              <w:t>Minus: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163"/>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49"/>
        </w:trPr>
        <w:tc>
          <w:tcPr>
            <w:tcW w:w="1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capitalized financing</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88"/>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w:t>
            </w: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970</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3,129</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0.04 %</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0.04 %</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0.04 %</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0.04 %</w:t>
            </w:r>
          </w:p>
        </w:tc>
      </w:tr>
      <w:tr>
        <w:trPr>
          <w:trHeight w:val="250"/>
        </w:trPr>
        <w:tc>
          <w:tcPr>
            <w:tcW w:w="1420" w:type="dxa"/>
            <w:vAlign w:val="bottom"/>
          </w:tcPr>
          <w:p>
            <w:pPr>
              <w:ind w:left="40"/>
              <w:spacing w:after="0"/>
              <w:rPr>
                <w:sz w:val="20"/>
                <w:szCs w:val="20"/>
                <w:color w:val="auto"/>
              </w:rPr>
            </w:pPr>
            <w:r>
              <w:rPr>
                <w:rFonts w:ascii="Arial" w:cs="Arial" w:eastAsia="Arial" w:hAnsi="Arial"/>
                <w:sz w:val="14"/>
                <w:szCs w:val="14"/>
                <w:color w:val="auto"/>
              </w:rPr>
              <w:t>EBITDA</w:t>
            </w:r>
          </w:p>
        </w:tc>
        <w:tc>
          <w:tcPr>
            <w:tcW w:w="12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444,799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232,398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1,126,499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825,413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15.92 %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9.32 %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14.03 %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10.99 %</w:t>
            </w:r>
          </w:p>
        </w:tc>
      </w:tr>
      <w:tr>
        <w:trPr>
          <w:trHeight w:val="276"/>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57"/>
        </w:trPr>
        <w:tc>
          <w:tcPr>
            <w:tcW w:w="1420" w:type="dxa"/>
            <w:vAlign w:val="bottom"/>
          </w:tcPr>
          <w:p>
            <w:pPr>
              <w:ind w:left="40"/>
              <w:spacing w:after="0" w:line="157" w:lineRule="exact"/>
              <w:rPr>
                <w:sz w:val="20"/>
                <w:szCs w:val="20"/>
                <w:color w:val="auto"/>
              </w:rPr>
            </w:pPr>
            <w:r>
              <w:rPr>
                <w:rFonts w:ascii="Arial" w:cs="Arial" w:eastAsia="Arial" w:hAnsi="Arial"/>
                <w:sz w:val="14"/>
                <w:szCs w:val="14"/>
                <w:color w:val="auto"/>
              </w:rPr>
              <w:t>Foreign currency</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8"/>
        </w:trPr>
        <w:tc>
          <w:tcPr>
            <w:tcW w:w="1420" w:type="dxa"/>
            <w:vAlign w:val="bottom"/>
          </w:tcPr>
          <w:p>
            <w:pPr>
              <w:ind w:left="40"/>
              <w:spacing w:after="0"/>
              <w:rPr>
                <w:sz w:val="20"/>
                <w:szCs w:val="20"/>
                <w:color w:val="auto"/>
              </w:rPr>
            </w:pPr>
            <w:r>
              <w:rPr>
                <w:rFonts w:ascii="Arial" w:cs="Arial" w:eastAsia="Arial" w:hAnsi="Arial"/>
                <w:sz w:val="14"/>
                <w:szCs w:val="14"/>
                <w:color w:val="auto"/>
              </w:rPr>
              <w:t>transaction gains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4,569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0.18 %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276"/>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charges</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15,039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57"/>
        </w:trPr>
        <w:tc>
          <w:tcPr>
            <w:tcW w:w="1420" w:type="dxa"/>
            <w:vAlign w:val="bottom"/>
          </w:tcPr>
          <w:p>
            <w:pPr>
              <w:ind w:left="40"/>
              <w:spacing w:after="0" w:line="157" w:lineRule="exact"/>
              <w:rPr>
                <w:sz w:val="20"/>
                <w:szCs w:val="20"/>
                <w:color w:val="auto"/>
              </w:rPr>
            </w:pPr>
            <w:r>
              <w:rPr>
                <w:rFonts w:ascii="Arial" w:cs="Arial" w:eastAsia="Arial" w:hAnsi="Arial"/>
                <w:sz w:val="14"/>
                <w:szCs w:val="14"/>
                <w:color w:val="auto"/>
              </w:rPr>
              <w:t>Restructuring</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8"/>
        </w:trPr>
        <w:tc>
          <w:tcPr>
            <w:tcW w:w="1420" w:type="dxa"/>
            <w:vAlign w:val="bottom"/>
          </w:tcPr>
          <w:p>
            <w:pPr>
              <w:ind w:left="40"/>
              <w:spacing w:after="0"/>
              <w:rPr>
                <w:sz w:val="20"/>
                <w:szCs w:val="20"/>
                <w:color w:val="auto"/>
              </w:rPr>
            </w:pPr>
            <w:r>
              <w:rPr>
                <w:rFonts w:ascii="Arial" w:cs="Arial" w:eastAsia="Arial" w:hAnsi="Arial"/>
                <w:sz w:val="14"/>
                <w:szCs w:val="14"/>
                <w:color w:val="auto"/>
              </w:rPr>
              <w:t>charges</w:t>
            </w:r>
          </w:p>
        </w:tc>
        <w:tc>
          <w:tcPr>
            <w:tcW w:w="12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4,147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8,496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0.15 %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0.01 %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0.11 %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6"/>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Minus:</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57"/>
        </w:trPr>
        <w:tc>
          <w:tcPr>
            <w:tcW w:w="1420" w:type="dxa"/>
            <w:vAlign w:val="bottom"/>
          </w:tcPr>
          <w:p>
            <w:pPr>
              <w:ind w:left="140"/>
              <w:spacing w:after="0" w:line="157" w:lineRule="exact"/>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9"/>
        </w:trPr>
        <w:tc>
          <w:tcPr>
            <w:tcW w:w="1420" w:type="dxa"/>
            <w:vAlign w:val="bottom"/>
          </w:tcPr>
          <w:p>
            <w:pPr>
              <w:ind w:left="40"/>
              <w:spacing w:after="0" w:line="149" w:lineRule="exact"/>
              <w:rPr>
                <w:sz w:val="20"/>
                <w:szCs w:val="20"/>
                <w:color w:val="auto"/>
              </w:rPr>
            </w:pPr>
            <w:r>
              <w:rPr>
                <w:rFonts w:ascii="Arial" w:cs="Arial" w:eastAsia="Arial" w:hAnsi="Arial"/>
                <w:sz w:val="14"/>
                <w:szCs w:val="14"/>
                <w:color w:val="auto"/>
              </w:rPr>
              <w:t>attributable to</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1420" w:type="dxa"/>
            <w:vAlign w:val="bottom"/>
          </w:tcPr>
          <w:p>
            <w:pPr>
              <w:ind w:left="40"/>
              <w:spacing w:after="0" w:line="149" w:lineRule="exact"/>
              <w:rPr>
                <w:sz w:val="20"/>
                <w:szCs w:val="20"/>
                <w:color w:val="auto"/>
              </w:rPr>
            </w:pPr>
            <w:r>
              <w:rPr>
                <w:rFonts w:ascii="Arial" w:cs="Arial" w:eastAsia="Arial" w:hAnsi="Arial"/>
                <w:sz w:val="14"/>
                <w:szCs w:val="14"/>
                <w:color w:val="auto"/>
              </w:rPr>
              <w:t>noncontrolling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8"/>
        </w:trPr>
        <w:tc>
          <w:tcPr>
            <w:tcW w:w="1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0.01 %</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43"/>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463,557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237,376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1,147,020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824,257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16.59 %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14.28 %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10.98 %</w:t>
            </w:r>
          </w:p>
        </w:tc>
      </w:tr>
      <w:tr>
        <w:trPr>
          <w:trHeight w:val="20"/>
        </w:trPr>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05"/>
        </w:trPr>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2,793,885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2,495,281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8,025,511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7,507,681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2,793,885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2,495,281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8,025,511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7,507,681</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A reconciliation of net income (loss) attributable to Pilgrim's Pride Corporation per common diluted share to adjusted net income (loss) attributable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Pilgrim's Pride Corporation per common diluted share is as follows: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PILGRIM'S PRIDE CORPORATION</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Adjusted Earnings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988"/>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24,</w:t>
            </w:r>
          </w:p>
        </w:tc>
        <w:tc>
          <w:tcPr>
            <w:tcW w:w="260" w:type="dxa"/>
            <w:vAlign w:val="bottom"/>
          </w:tcPr>
          <w:p>
            <w:pPr>
              <w:spacing w:after="0"/>
              <w:rPr>
                <w:sz w:val="13"/>
                <w:szCs w:val="13"/>
                <w:color w:val="auto"/>
              </w:rPr>
            </w:pPr>
          </w:p>
        </w:tc>
        <w:tc>
          <w:tcPr>
            <w:tcW w:w="15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25,</w:t>
            </w:r>
          </w:p>
        </w:tc>
        <w:tc>
          <w:tcPr>
            <w:tcW w:w="24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24,</w:t>
            </w:r>
          </w:p>
        </w:tc>
        <w:tc>
          <w:tcPr>
            <w:tcW w:w="240" w:type="dxa"/>
            <w:vAlign w:val="bottom"/>
          </w:tcPr>
          <w:p>
            <w:pPr>
              <w:spacing w:after="0"/>
              <w:rPr>
                <w:sz w:val="13"/>
                <w:szCs w:val="13"/>
                <w:color w:val="auto"/>
              </w:rPr>
            </w:pPr>
          </w:p>
        </w:tc>
        <w:tc>
          <w:tcPr>
            <w:tcW w:w="144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September 25,</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8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Pilgrim's Pride Corporation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232,680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98,657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560,242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369,914</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Loss on early extinguishment of debt</w:t>
            </w:r>
          </w:p>
        </w:tc>
        <w:tc>
          <w:tcPr>
            <w:tcW w:w="260" w:type="dxa"/>
            <w:vAlign w:val="bottom"/>
          </w:tcPr>
          <w:p>
            <w:pPr>
              <w:spacing w:after="0"/>
              <w:rPr>
                <w:sz w:val="22"/>
                <w:szCs w:val="22"/>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restructuring charges, net of taxes</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12,988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15,980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Foreign currency transaction gains</w:t>
            </w: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4,569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w:t>
            </w:r>
          </w:p>
        </w:tc>
        <w:tc>
          <w:tcPr>
            <w:tcW w:w="0" w:type="dxa"/>
            <w:vAlign w:val="bottom"/>
          </w:tcPr>
          <w:p>
            <w:pPr>
              <w:spacing w:after="0"/>
              <w:rPr>
                <w:sz w:val="1"/>
                <w:szCs w:val="1"/>
                <w:color w:val="auto"/>
              </w:rPr>
            </w:pPr>
          </w:p>
        </w:tc>
      </w:tr>
      <w:tr>
        <w:trPr>
          <w:trHeight w:val="143"/>
        </w:trPr>
        <w:tc>
          <w:tcPr>
            <w:tcW w:w="42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Income before loss on early extinguishment of debt and foreign</w:t>
            </w: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transaction gains</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244,780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103,226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573,722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368,145</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diluted shares of common stock outstanding</w:t>
            </w: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248,988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254,920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248,962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255,037</w:t>
            </w:r>
          </w:p>
        </w:tc>
        <w:tc>
          <w:tcPr>
            <w:tcW w:w="0" w:type="dxa"/>
            <w:vAlign w:val="bottom"/>
          </w:tcPr>
          <w:p>
            <w:pPr>
              <w:spacing w:after="0"/>
              <w:rPr>
                <w:sz w:val="1"/>
                <w:szCs w:val="1"/>
                <w:color w:val="auto"/>
              </w:rPr>
            </w:pPr>
          </w:p>
        </w:tc>
      </w:tr>
      <w:tr>
        <w:trPr>
          <w:trHeight w:val="143"/>
        </w:trPr>
        <w:tc>
          <w:tcPr>
            <w:tcW w:w="42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Income before loss on early extinguishment of debt and foreign</w:t>
            </w: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currency transaction gains</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0.98</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0.40</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1"/>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per common diluted share</w:t>
            </w: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14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14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14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14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A reconciliation of GAAP earnings per share (EPS) to adjusted earnings per share (EPS) is as follows: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GAAP EPS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on early extinguishment of debt</w:t>
      </w:r>
    </w:p>
    <w:p>
      <w:pPr>
        <w:spacing w:after="0" w:line="109" w:lineRule="exact"/>
        <w:rPr>
          <w:sz w:val="20"/>
          <w:szCs w:val="20"/>
          <w:color w:val="auto"/>
        </w:rPr>
      </w:pPr>
    </w:p>
    <w:p>
      <w:pPr>
        <w:ind w:left="40" w:right="660"/>
        <w:spacing w:after="0" w:line="418" w:lineRule="auto"/>
        <w:rPr>
          <w:sz w:val="20"/>
          <w:szCs w:val="20"/>
          <w:color w:val="auto"/>
        </w:rPr>
      </w:pPr>
      <w:r>
        <w:rPr>
          <w:rFonts w:ascii="Arial" w:cs="Arial" w:eastAsia="Arial" w:hAnsi="Arial"/>
          <w:sz w:val="14"/>
          <w:szCs w:val="14"/>
          <w:color w:val="auto"/>
        </w:rPr>
        <w:t>Acquisition and restructuring charges, net of taxes Foreign currency transaction gains Adjusted EPS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jc w:val="center"/>
        <w:ind w:right="4300"/>
        <w:spacing w:after="0"/>
        <w:rPr>
          <w:sz w:val="20"/>
          <w:szCs w:val="20"/>
          <w:color w:val="auto"/>
        </w:rPr>
      </w:pPr>
      <w:r>
        <w:rPr>
          <w:rFonts w:ascii="Arial" w:cs="Arial" w:eastAsia="Arial" w:hAnsi="Arial"/>
          <w:sz w:val="14"/>
          <w:szCs w:val="14"/>
          <w:b w:val="1"/>
          <w:bCs w:val="1"/>
          <w:color w:val="auto"/>
        </w:rPr>
        <w:t>PILGRIM'S PRIDE CORPORATION</w:t>
      </w:r>
    </w:p>
    <w:p>
      <w:pPr>
        <w:spacing w:after="0" w:line="42" w:lineRule="exact"/>
        <w:rPr>
          <w:sz w:val="20"/>
          <w:szCs w:val="20"/>
          <w:color w:val="auto"/>
        </w:rPr>
      </w:pPr>
    </w:p>
    <w:p>
      <w:pPr>
        <w:jc w:val="center"/>
        <w:ind w:right="4300"/>
        <w:spacing w:after="0"/>
        <w:rPr>
          <w:sz w:val="20"/>
          <w:szCs w:val="20"/>
          <w:color w:val="auto"/>
        </w:rPr>
      </w:pPr>
      <w:r>
        <w:rPr>
          <w:rFonts w:ascii="Arial" w:cs="Arial" w:eastAsia="Arial" w:hAnsi="Arial"/>
          <w:sz w:val="13"/>
          <w:szCs w:val="13"/>
          <w:b w:val="1"/>
          <w:bCs w:val="1"/>
          <w:color w:val="auto"/>
        </w:rPr>
        <w:t>Reconciliation of GAAP EPS to Adjusted EPS</w:t>
      </w:r>
    </w:p>
    <w:p>
      <w:pPr>
        <w:spacing w:after="0" w:line="53" w:lineRule="exact"/>
        <w:rPr>
          <w:sz w:val="20"/>
          <w:szCs w:val="20"/>
          <w:color w:val="auto"/>
        </w:rPr>
      </w:pPr>
    </w:p>
    <w:p>
      <w:pPr>
        <w:jc w:val="center"/>
        <w:ind w:right="430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33"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24, 2017</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25, 2016</w:t>
            </w: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4"/>
              </w:rPr>
              <w:t>September 25, 2016</w:t>
            </w:r>
          </w:p>
        </w:tc>
      </w:tr>
      <w:tr>
        <w:trPr>
          <w:trHeight w:val="244"/>
        </w:trPr>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0.93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0.39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1.45</w:t>
            </w:r>
          </w:p>
        </w:tc>
      </w:tr>
      <w:tr>
        <w:trPr>
          <w:trHeight w:val="270"/>
        </w:trPr>
        <w:tc>
          <w:tcPr>
            <w:tcW w:w="12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20" w:type="dxa"/>
            <w:vAlign w:val="bottom"/>
          </w:tcPr>
          <w:p>
            <w:pPr>
              <w:spacing w:after="0"/>
              <w:rPr>
                <w:sz w:val="23"/>
                <w:szCs w:val="23"/>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20" w:type="dxa"/>
            <w:vAlign w:val="bottom"/>
          </w:tcPr>
          <w:p>
            <w:pPr>
              <w:spacing w:after="0"/>
              <w:rPr>
                <w:sz w:val="24"/>
                <w:szCs w:val="24"/>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0.98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0.41</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-874395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-530860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-187960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9" w:lineRule="exact"/>
        <w:rPr>
          <w:sz w:val="20"/>
          <w:szCs w:val="20"/>
          <w:color w:val="auto"/>
        </w:rPr>
      </w:pPr>
    </w:p>
    <w:p>
      <w:pPr>
        <w:sectPr>
          <w:pgSz w:w="11900" w:h="16838" w:orient="portrait"/>
          <w:cols w:equalWidth="0" w:num="2">
            <w:col w:w="3580" w:space="720"/>
            <w:col w:w="7120"/>
          </w:cols>
          <w:pgMar w:left="240" w:top="746" w:right="23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diluted shares of common stock outstanding</w:t>
            </w:r>
          </w:p>
        </w:tc>
        <w:tc>
          <w:tcPr>
            <w:tcW w:w="21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248,988</w:t>
            </w:r>
          </w:p>
        </w:tc>
        <w:tc>
          <w:tcPr>
            <w:tcW w:w="16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254,920</w:t>
            </w:r>
          </w:p>
        </w:tc>
        <w:tc>
          <w:tcPr>
            <w:tcW w:w="164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248,962</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255,037</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PILGRIM'S PRIDE CORPORATION</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Supplementary Selected Segment and Geographic Data</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1"/>
              </w:rPr>
              <w:t>September 24, 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September 25, 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September 24, 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3"/>
              </w:rPr>
              <w:t>September 25, 2016</w:t>
            </w:r>
          </w:p>
        </w:tc>
      </w:tr>
      <w:tr>
        <w:trPr>
          <w:trHeight w:val="258"/>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6"/>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5"/>
          </w:tcPr>
          <w:p>
            <w:pPr>
              <w:ind w:left="10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Sources of net sales by country of origin:</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1,938,542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1,724,625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5,557,089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5,072,351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950,622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514,325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463,560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1,473,854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1,484,708</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2,793,885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2,495,281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8,025,511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7,507,681</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Sources of cost of sales by country of origin:</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1,561,333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1,545,289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4,656,825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4,470,648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822,822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818,749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467,374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420,590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1,336,123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1,343,242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2,315,301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2,242,221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6,815,701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6,632,568</w:t>
            </w:r>
          </w:p>
        </w:tc>
      </w:tr>
      <w:tr>
        <w:trPr>
          <w:trHeight w:val="311"/>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Sources of gross profit by country of origin:</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601,703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Mexico:</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54,401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30,730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171,745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131,874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141,466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Elimination:</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478,584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253,060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1,209,810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875,113</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Sources of operating income by country of origin:</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307,962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141,195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719,121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480,280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108,856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18,569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51,874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55,841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372,246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176,848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917,305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645,048</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12"/>
    </w:lvl>
  </w:abstractNum>
  <w:abstractNum w:abstractNumId="3">
    <w:nsid w:val="625558EC"/>
    <w:multiLevelType w:val="hybridMultilevel"/>
    <w:lvl w:ilvl="0">
      <w:lvlJc w:val="left"/>
      <w:lvlText w:val="(%1)"/>
      <w:numFmt w:val="decimal"/>
      <w:start w:val="97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2019-12-29T03:36:06Z</dcterms:created>
  <dcterms:modified xsi:type="dcterms:W3CDTF">2019-12-29T03:36:06Z</dcterms:modified>
</cp:coreProperties>
</file>