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9,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052" w:type="dxa"/>
        <w:jc w:val="left"/>
        <w:tblInd w:w="0" w:type="dxa"/>
        <w:tblLayout w:type="fixed"/>
        <w:tblCellMar>
          <w:top w:w="28" w:type="dxa"/>
          <w:left w:w="28" w:type="dxa"/>
          <w:bottom w:w="28" w:type="dxa"/>
          <w:right w:w="28" w:type="dxa"/>
        </w:tblCellMar>
      </w:tblPr>
      <w:tblGrid>
        <w:gridCol w:w="527"/>
        <w:gridCol w:w="462"/>
        <w:gridCol w:w="462"/>
        <w:gridCol w:w="462"/>
        <w:gridCol w:w="462"/>
        <w:gridCol w:w="489"/>
        <w:gridCol w:w="381"/>
        <w:gridCol w:w="381"/>
        <w:gridCol w:w="381"/>
        <w:gridCol w:w="381"/>
        <w:gridCol w:w="381"/>
        <w:gridCol w:w="389"/>
        <w:gridCol w:w="847"/>
        <w:gridCol w:w="847"/>
        <w:gridCol w:w="120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6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8" w:type="dxa"/>
        <w:jc w:val="center"/>
        <w:tblInd w:w="0" w:type="dxa"/>
        <w:tblLayout w:type="fixed"/>
        <w:tblCellMar>
          <w:top w:w="28" w:type="dxa"/>
          <w:left w:w="28" w:type="dxa"/>
          <w:bottom w:w="28" w:type="dxa"/>
          <w:right w:w="28" w:type="dxa"/>
        </w:tblCellMar>
      </w:tblPr>
      <w:tblGrid>
        <w:gridCol w:w="907"/>
        <w:gridCol w:w="794"/>
        <w:gridCol w:w="804"/>
        <w:gridCol w:w="109"/>
        <w:gridCol w:w="109"/>
        <w:gridCol w:w="109"/>
        <w:gridCol w:w="474"/>
        <w:gridCol w:w="474"/>
        <w:gridCol w:w="476"/>
        <w:gridCol w:w="109"/>
        <w:gridCol w:w="109"/>
        <w:gridCol w:w="109"/>
        <w:gridCol w:w="1006"/>
        <w:gridCol w:w="1006"/>
        <w:gridCol w:w="1423"/>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9, 2026, Pilgrim’s Pride Corporation (the “Company”) and Pilgrim’s Europe Finance PLC, a wholly owned subsidiary of the Company, issued a press release announcing the pricing of the previously announced private offering of €500 million aggregate principal amount of 4.750% senior notes due 2034.</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furnished as Exhibit 99.1 hereto. The information furnished pursuant to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of the Company’s filings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86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78"/>
        <w:gridCol w:w="2178"/>
        <w:gridCol w:w="309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bondpricing.htm">
              <w:r>
                <w:rPr>
                  <w:rStyle w:val="InternetLink"/>
                  <w:rFonts w:ascii="Times New Roman;serif" w:hAnsi="Times New Roman;serif"/>
                  <w:b/>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the Company dated September 9,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00" w:type="dxa"/>
        <w:jc w:val="center"/>
        <w:tblInd w:w="0" w:type="dxa"/>
        <w:tblLayout w:type="fixed"/>
        <w:tblCellMar>
          <w:top w:w="28" w:type="dxa"/>
          <w:left w:w="28" w:type="dxa"/>
          <w:bottom w:w="28" w:type="dxa"/>
          <w:right w:w="28" w:type="dxa"/>
        </w:tblCellMar>
      </w:tblPr>
      <w:tblGrid>
        <w:gridCol w:w="216"/>
        <w:gridCol w:w="191"/>
        <w:gridCol w:w="192"/>
        <w:gridCol w:w="539"/>
        <w:gridCol w:w="539"/>
        <w:gridCol w:w="541"/>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991bondpricing.htm"/>
      <w:bookmarkStart w:id="1" w:name="ksex991bondpricing"/>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Pilgrim’s Pride Prices Senior Notes Offering GREELEY, Colo., Sept. 9, 2026 (GLOBE NEWSWIRE) -- Pilgrim’s Pride Corporation (NASDAQ: PPC) (the “Company” or “Pilgrim’s Pride”) and Pilgrim’s Europe Finance PLC, a wholly owned subsidiary of the Company incorporated under the laws of England and Wales (together with the Company, the “Issuers”), announced today the pricing of their offering of €500 million aggregate principal amount of 4.750% senior notes due 2034 (the “Notes”). The sale of the Notes is expected to close on September 23, 2026, subject to customary closing conditions. The Issuers intend to use the net proceeds from the offering for general corporate purposes, including to fund the consideration in connection with the Company’s recently announced acquisition of Walkers Deli &amp; Sausage Company (the “Walkers Acquisition”) and to pay costs and expenses related thereto. The offering is not conditioned on the closing of the Walkers Acquisition. The Notes have not been registered under the Securities Act of 1933, as amended (the “Securities Act”), or the securities laws of any state or other jurisdiction, and may not be offered or sold in the United States absent registration or an applicable exemption from such registration requirements. The Notes will be offered only to qualified institutional buyers pursuant to Rule 144A under the Securities Act and to certain non-U.S. persons in accordance with Regulation S under the Securities Act. This press release does not constitute an offer to sell or a solicitation of an offer to buy, nor shall there be any sale of any of the securities in any jurisdiction in which such offer, solicitation or sale would be unlawful prior to registration or qualification under the securities laws of any such jurisdiction. The securities being offered have not been approved or disapproved by any regulatory authority, nor has any such authority passed upon the accuracy or adequacy of any offering document. About Pilgrim’s Pride The Company employs approximately 63,000 people and operates protein processing plants and prepared-foods facilities in 14 states, Puerto Rico, Mexico, the U.K., the Republic of Ireland and continental Europe. The Company’s primary distribution is through retailers and foodservice distributors. Forward-Looking Statements 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negatives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whether or not the Issuers will offer the Notes or consummate the offering; the final terms of the offering;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with the Company’s information systems; and the impact of uncertainties of litigation and other legal matters described in the Company’s most recent Annual Report on Form 10-K and Quarterly Report on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of this release, and Pilgrim’s Pride Corporation undertakes no obligation to update or revise publicly any forward-looking statements, whether as a result of new information, future developments or otherwise, except as may be required by applicable law. Media Contacts: Nikki Richardson Head of Communications nikki.richardson@jbssa.com Andrew Rojeski Head of Strategy, Investor Relations, &amp; Sustainability IRPPC@pilgrims.com www.pilgrims.com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1384</Words>
  <Characters>7983</Characters>
  <CharactersWithSpaces>9325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ex991bondpricing</dc:title>
</cp:coreProperties>
</file>