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ind w:left="1820"/>
        <w:spacing w:after="0"/>
        <w:tabs>
          <w:tab w:leader="none" w:pos="340" w:val="left"/>
        </w:tabs>
        <w:rPr>
          <w:sz w:val="20"/>
          <w:szCs w:val="20"/>
          <w:color w:val="auto"/>
        </w:rPr>
      </w:pPr>
      <w:r>
        <w:rPr>
          <w:rFonts w:ascii="Arial" w:cs="Arial" w:eastAsia="Arial" w:hAnsi="Arial"/>
          <w:sz w:val="32"/>
          <w:szCs w:val="32"/>
          <w:b w:val="1"/>
          <w:bCs w:val="1"/>
          <w:color w:val="auto"/>
        </w:rPr>
        <w:t>FORM</w:t>
        <w:tab/>
        <w:t>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31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31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29, 2020</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PILGRIM'S PRIDE CORPORATION</w:t>
      </w:r>
    </w:p>
    <w:p>
      <w:pPr>
        <w:sectPr>
          <w:pgSz w:w="11900" w:h="16838" w:orient="portrait"/>
          <w:cols w:equalWidth="0" w:num="1">
            <w:col w:w="11240"/>
          </w:cols>
          <w:pgMar w:left="320" w:top="994" w:right="339" w:bottom="1440" w:gutter="0" w:footer="0" w:header="0"/>
        </w:sectPr>
      </w:pPr>
    </w:p>
    <w:p>
      <w:pPr>
        <w:spacing w:after="0" w:line="200" w:lineRule="exact"/>
        <w:rPr>
          <w:sz w:val="24"/>
          <w:szCs w:val="24"/>
          <w:color w:val="auto"/>
        </w:rPr>
      </w:pPr>
    </w:p>
    <w:p>
      <w:pPr>
        <w:spacing w:after="0" w:line="251" w:lineRule="exact"/>
        <w:rPr>
          <w:sz w:val="24"/>
          <w:szCs w:val="24"/>
          <w:color w:val="auto"/>
        </w:rPr>
      </w:pPr>
    </w:p>
    <w:p>
      <w:pPr>
        <w:jc w:val="center"/>
        <w:ind w:left="1080"/>
        <w:spacing w:after="0"/>
        <w:rPr>
          <w:sz w:val="20"/>
          <w:szCs w:val="20"/>
          <w:color w:val="auto"/>
        </w:rPr>
      </w:pPr>
      <w:r>
        <w:rPr>
          <w:rFonts w:ascii="Arial" w:cs="Arial" w:eastAsia="Arial" w:hAnsi="Arial"/>
          <w:sz w:val="18"/>
          <w:szCs w:val="18"/>
          <w:b w:val="1"/>
          <w:bCs w:val="1"/>
          <w:color w:val="auto"/>
        </w:rPr>
        <w:t>Delaware</w:t>
      </w:r>
    </w:p>
    <w:p>
      <w:pPr>
        <w:spacing w:after="0" w:line="76" w:lineRule="exact"/>
        <w:rPr>
          <w:sz w:val="24"/>
          <w:szCs w:val="24"/>
          <w:color w:val="auto"/>
        </w:rPr>
      </w:pPr>
    </w:p>
    <w:p>
      <w:pPr>
        <w:ind w:left="1380"/>
        <w:spacing w:after="0"/>
        <w:rPr>
          <w:sz w:val="20"/>
          <w:szCs w:val="20"/>
          <w:color w:val="auto"/>
        </w:rPr>
      </w:pPr>
      <w:r>
        <w:rPr>
          <w:rFonts w:ascii="Arial" w:cs="Arial" w:eastAsia="Arial" w:hAnsi="Arial"/>
          <w:sz w:val="14"/>
          <w:szCs w:val="14"/>
          <w:color w:val="auto"/>
        </w:rPr>
        <w:t>(State or other jurisdiction of</w:t>
      </w:r>
    </w:p>
    <w:p>
      <w:pPr>
        <w:ind w:left="1340"/>
        <w:spacing w:after="0"/>
        <w:rPr>
          <w:sz w:val="20"/>
          <w:szCs w:val="20"/>
          <w:color w:val="auto"/>
        </w:rPr>
      </w:pPr>
      <w:r>
        <w:rPr>
          <w:rFonts w:ascii="Arial" w:cs="Arial" w:eastAsia="Arial" w:hAnsi="Arial"/>
          <w:sz w:val="14"/>
          <w:szCs w:val="14"/>
          <w:color w:val="auto"/>
        </w:rPr>
        <w:t>incorporation or organization)</w:t>
      </w:r>
    </w:p>
    <w:p>
      <w:pPr>
        <w:spacing w:after="0" w:line="205"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1770 Promontory Circle</w:t>
      </w:r>
    </w:p>
    <w:p>
      <w:pPr>
        <w:spacing w:after="0" w:line="63" w:lineRule="exact"/>
        <w:rPr>
          <w:sz w:val="24"/>
          <w:szCs w:val="24"/>
          <w:color w:val="auto"/>
        </w:rPr>
      </w:pPr>
    </w:p>
    <w:p>
      <w:pPr>
        <w:ind w:left="1720"/>
        <w:spacing w:after="0"/>
        <w:rPr>
          <w:sz w:val="20"/>
          <w:szCs w:val="20"/>
          <w:color w:val="auto"/>
        </w:rPr>
      </w:pPr>
      <w:r>
        <w:rPr>
          <w:rFonts w:ascii="Arial" w:cs="Arial" w:eastAsia="Arial" w:hAnsi="Arial"/>
          <w:sz w:val="18"/>
          <w:szCs w:val="18"/>
          <w:b w:val="1"/>
          <w:bCs w:val="1"/>
          <w:color w:val="auto"/>
        </w:rPr>
        <w:t>Greeley CO</w:t>
      </w:r>
    </w:p>
    <w:p>
      <w:pPr>
        <w:spacing w:after="0" w:line="63" w:lineRule="exact"/>
        <w:rPr>
          <w:sz w:val="24"/>
          <w:szCs w:val="24"/>
          <w:color w:val="auto"/>
        </w:rPr>
      </w:pPr>
    </w:p>
    <w:p>
      <w:pPr>
        <w:ind w:left="108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(Exact Name of registrant as specified in its charter)</w:t>
      </w:r>
    </w:p>
    <w:p>
      <w:pPr>
        <w:spacing w:after="0" w:line="55" w:lineRule="exact"/>
        <w:rPr>
          <w:sz w:val="24"/>
          <w:szCs w:val="24"/>
          <w:color w:val="auto"/>
        </w:rPr>
      </w:pPr>
    </w:p>
    <w:p>
      <w:pPr>
        <w:ind w:left="1600"/>
        <w:spacing w:after="0"/>
        <w:tabs>
          <w:tab w:leader="none" w:pos="4340" w:val="left"/>
        </w:tabs>
        <w:rPr>
          <w:sz w:val="20"/>
          <w:szCs w:val="20"/>
          <w:color w:val="auto"/>
        </w:rPr>
      </w:pPr>
      <w:r>
        <w:rPr>
          <w:rFonts w:ascii="Arial" w:cs="Arial" w:eastAsia="Arial" w:hAnsi="Arial"/>
          <w:sz w:val="20"/>
          <w:szCs w:val="20"/>
          <w:b w:val="1"/>
          <w:bCs w:val="1"/>
          <w:color w:val="auto"/>
        </w:rPr>
        <w:t>1-9273</w:t>
      </w:r>
      <w:r>
        <w:rPr>
          <w:sz w:val="20"/>
          <w:szCs w:val="20"/>
          <w:color w:val="auto"/>
        </w:rPr>
        <w:tab/>
      </w:r>
      <w:r>
        <w:rPr>
          <w:rFonts w:ascii="Arial" w:cs="Arial" w:eastAsia="Arial" w:hAnsi="Arial"/>
          <w:sz w:val="16"/>
          <w:szCs w:val="16"/>
          <w:b w:val="1"/>
          <w:bCs w:val="1"/>
          <w:color w:val="auto"/>
        </w:rPr>
        <w:t>75-1285071</w:t>
      </w:r>
    </w:p>
    <w:p>
      <w:pPr>
        <w:spacing w:after="0" w:line="143" w:lineRule="exact"/>
        <w:rPr>
          <w:sz w:val="24"/>
          <w:szCs w:val="24"/>
          <w:color w:val="auto"/>
        </w:rPr>
      </w:pPr>
    </w:p>
    <w:p>
      <w:pPr>
        <w:jc w:val="right"/>
        <w:ind w:right="1420"/>
        <w:spacing w:after="0"/>
        <w:tabs>
          <w:tab w:leader="none" w:pos="2460" w:val="left"/>
        </w:tabs>
        <w:rPr>
          <w:sz w:val="20"/>
          <w:szCs w:val="20"/>
          <w:color w:val="auto"/>
        </w:rPr>
      </w:pPr>
      <w:r>
        <w:rPr>
          <w:rFonts w:ascii="Arial" w:cs="Arial" w:eastAsia="Arial" w:hAnsi="Arial"/>
          <w:sz w:val="18"/>
          <w:szCs w:val="18"/>
          <w:color w:val="auto"/>
        </w:rPr>
        <w:t>(Commission File Number)</w:t>
      </w:r>
      <w:r>
        <w:rPr>
          <w:sz w:val="20"/>
          <w:szCs w:val="20"/>
          <w:color w:val="auto"/>
        </w:rPr>
        <w:tab/>
      </w:r>
      <w:r>
        <w:rPr>
          <w:rFonts w:ascii="Arial" w:cs="Arial" w:eastAsia="Arial" w:hAnsi="Arial"/>
          <w:sz w:val="17"/>
          <w:szCs w:val="17"/>
          <w:color w:val="auto"/>
        </w:rPr>
        <w:t>(IRS Employer Identification No.)</w:t>
      </w:r>
    </w:p>
    <w:p>
      <w:pPr>
        <w:spacing w:after="0" w:line="217" w:lineRule="exact"/>
        <w:rPr>
          <w:sz w:val="24"/>
          <w:szCs w:val="24"/>
          <w:color w:val="auto"/>
        </w:rPr>
      </w:pPr>
    </w:p>
    <w:p>
      <w:pPr>
        <w:jc w:val="center"/>
        <w:ind w:left="-679"/>
        <w:spacing w:after="0"/>
        <w:rPr>
          <w:sz w:val="20"/>
          <w:szCs w:val="20"/>
          <w:color w:val="auto"/>
        </w:rPr>
      </w:pPr>
      <w:r>
        <w:rPr>
          <w:rFonts w:ascii="Arial" w:cs="Arial" w:eastAsia="Arial" w:hAnsi="Arial"/>
          <w:sz w:val="20"/>
          <w:szCs w:val="20"/>
          <w:b w:val="1"/>
          <w:bCs w:val="1"/>
          <w:color w:val="auto"/>
        </w:rPr>
        <w:t>80634-9038</w:t>
      </w:r>
    </w:p>
    <w:p>
      <w:pPr>
        <w:spacing w:after="0" w:line="62"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(Zip Code)</w:t>
      </w:r>
    </w:p>
    <w:p>
      <w:pPr>
        <w:spacing w:after="0" w:line="396" w:lineRule="exact"/>
        <w:rPr>
          <w:sz w:val="24"/>
          <w:szCs w:val="24"/>
          <w:color w:val="auto"/>
        </w:rPr>
      </w:pPr>
    </w:p>
    <w:p>
      <w:pPr>
        <w:sectPr>
          <w:pgSz w:w="11900" w:h="16838" w:orient="portrait"/>
          <w:cols w:equalWidth="0" w:num="2">
            <w:col w:w="3360" w:space="380"/>
            <w:col w:w="7500"/>
          </w:cols>
          <w:pgMar w:left="320" w:top="994" w:right="339" w:bottom="1440" w:gutter="0" w:footer="0" w:header="0"/>
          <w:type w:val="continuous"/>
        </w:sect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(970) 506-8000</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3"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38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Title of each class</w:t>
            </w:r>
          </w:p>
        </w:tc>
        <w:tc>
          <w:tcPr>
            <w:tcW w:w="3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Trading Symbol</w:t>
            </w:r>
          </w:p>
        </w:tc>
        <w:tc>
          <w:tcPr>
            <w:tcW w:w="378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7"/>
        </w:trPr>
        <w:tc>
          <w:tcPr>
            <w:tcW w:w="3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84"/>
        </w:trPr>
        <w:tc>
          <w:tcPr>
            <w:tcW w:w="3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 Stock, Par Value $0.01</w:t>
            </w:r>
          </w:p>
        </w:tc>
        <w:tc>
          <w:tcPr>
            <w:tcW w:w="3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PPC</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r>
        <w:trPr>
          <w:trHeight w:val="336"/>
        </w:trPr>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2"/>
          </w:tcPr>
          <w:p>
            <w:pPr>
              <w:ind w:left="1040"/>
              <w:spacing w:after="0"/>
              <w:rPr>
                <w:sz w:val="20"/>
                <w:szCs w:val="20"/>
                <w:color w:val="auto"/>
              </w:rPr>
            </w:pPr>
            <w:r>
              <w:rPr>
                <w:rFonts w:ascii="Arial" w:cs="Arial" w:eastAsia="Arial" w:hAnsi="Arial"/>
                <w:sz w:val="18"/>
                <w:szCs w:val="18"/>
                <w:b w:val="1"/>
                <w:bCs w:val="1"/>
                <w:color w:val="auto"/>
              </w:rPr>
              <w:t>Not Applicable</w:t>
            </w:r>
          </w:p>
        </w:tc>
        <w:tc>
          <w:tcPr>
            <w:tcW w:w="3780" w:type="dxa"/>
            <w:vAlign w:val="bottom"/>
          </w:tcPr>
          <w:p>
            <w:pPr>
              <w:spacing w:after="0"/>
              <w:rPr>
                <w:sz w:val="24"/>
                <w:szCs w:val="24"/>
                <w:color w:val="auto"/>
              </w:rPr>
            </w:pP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1539240</wp:posOffset>
            </wp:positionH>
            <wp:positionV relativeFrom="paragraph">
              <wp:posOffset>168910</wp:posOffset>
            </wp:positionV>
            <wp:extent cx="4071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35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left="480"/>
        <w:spacing w:after="0"/>
        <w:rPr>
          <w:sz w:val="20"/>
          <w:szCs w:val="20"/>
          <w:color w:val="auto"/>
        </w:rPr>
      </w:pPr>
      <w:r>
        <w:rPr>
          <w:rFonts w:ascii="Arial" w:cs="Arial" w:eastAsia="Arial" w:hAnsi="Arial"/>
          <w:sz w:val="16"/>
          <w:szCs w:val="16"/>
          <w:color w:val="auto"/>
        </w:rPr>
        <w:t>Indicate by check mark whether the registrant is an emerging growth company as defined in as defined in Rule 405 of the Securities Act of 1933</w:t>
      </w:r>
    </w:p>
    <w:p>
      <w:pPr>
        <w:spacing w:after="0" w:line="46" w:lineRule="exact"/>
        <w:rPr>
          <w:sz w:val="24"/>
          <w:szCs w:val="24"/>
          <w:color w:val="auto"/>
        </w:rPr>
      </w:pPr>
    </w:p>
    <w:p>
      <w:pPr>
        <w:spacing w:after="0"/>
        <w:rPr>
          <w:sz w:val="20"/>
          <w:szCs w:val="20"/>
          <w:color w:val="auto"/>
        </w:rPr>
      </w:pPr>
      <w:r>
        <w:rPr>
          <w:rFonts w:ascii="Arial" w:cs="Arial" w:eastAsia="Arial" w:hAnsi="Arial"/>
          <w:sz w:val="20"/>
          <w:szCs w:val="20"/>
          <w:color w:val="auto"/>
        </w:rPr>
        <w:t>(§230.405 of this chapter) or Rule 12b-2 of the Securities Exchange Act of 1934 (§240.12b-2 of this chapter).</w:t>
      </w:r>
    </w:p>
    <w:p>
      <w:pPr>
        <w:spacing w:after="0" w:line="21" w:lineRule="exact"/>
        <w:rPr>
          <w:sz w:val="24"/>
          <w:szCs w:val="24"/>
          <w:color w:val="auto"/>
        </w:rPr>
      </w:pPr>
    </w:p>
    <w:p>
      <w:pPr>
        <w:ind w:left="2060"/>
        <w:spacing w:after="0" w:line="207" w:lineRule="exact"/>
        <w:tabs>
          <w:tab w:leader="none" w:pos="48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63" w:lineRule="exact"/>
        <w:rPr>
          <w:sz w:val="24"/>
          <w:szCs w:val="24"/>
          <w:color w:val="auto"/>
        </w:rPr>
      </w:pPr>
    </w:p>
    <w:p>
      <w:pPr>
        <w:ind w:firstLine="397"/>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29, 2020, Pilgrim’s Pride Corporation (the “Company”) held its annual meeting of stockholders (the “Annual Meeting”). The following proposals were submitted to a vote of the stockholders of the Company at the Annual Meeting:</w:t>
      </w:r>
    </w:p>
    <w:p>
      <w:pPr>
        <w:spacing w:after="0" w:line="11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six JBS Directors to the Board of Directors.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three Equity Directors to the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stockholder advisory vote on executive compensation.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ratification of the appointment of KPMG LLP as the independent registered public accounting firm of the Company for the fiscal year ending December 27, 2020.</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vote on a stockholder proposal to provide a report regarding the reduction of water pollution.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vote on a stockholder proposal to provide a report on human rights due diligence.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vote on a stockholder proposal to provide for majority voting in director elections.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 Election Results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stockholders of the Company elected all of the Company’s nine nominees for director at the Annual Meeting pursuant to the following votes: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w:t>
            </w:r>
          </w:p>
        </w:tc>
        <w:tc>
          <w:tcPr>
            <w:tcW w:w="2320" w:type="dxa"/>
            <w:vAlign w:val="bottom"/>
            <w:gridSpan w:val="2"/>
          </w:tcPr>
          <w:p>
            <w:pPr>
              <w:ind w:left="760"/>
              <w:spacing w:after="0"/>
              <w:rPr>
                <w:sz w:val="20"/>
                <w:szCs w:val="20"/>
                <w:color w:val="auto"/>
              </w:rPr>
            </w:pPr>
            <w:r>
              <w:rPr>
                <w:rFonts w:ascii="Arial" w:cs="Arial" w:eastAsia="Arial" w:hAnsi="Arial"/>
                <w:sz w:val="18"/>
                <w:szCs w:val="18"/>
                <w:b w:val="1"/>
                <w:bCs w:val="1"/>
                <w:color w:val="auto"/>
              </w:rPr>
              <w:t>Withheld</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3"/>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Gilberto Tomazoni</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213,184,640</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24,751,374</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5,349,292</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Denilson Molina</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213,930,113</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24,005,901</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5,349,292</w:t>
            </w: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Wallim Cruz De Vasconcellos Junior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236,970,277</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965,737</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5,349,292</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Vincent Trius</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234,824,829</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3,111,185</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5,349,292</w:t>
            </w: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Andre Nogueira de Souza</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213,316,156</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24,619,858</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5,349,292</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Farha Aslam</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237,592,776</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343,238</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5,349,292</w:t>
            </w: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Michael L. Cooper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235,441,701</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2,494,163</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5,349,292</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Charles Macaluso</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235,162,078</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2,773,786</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5,349,292</w:t>
            </w: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Arquimedes A. Celis</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237,498,952</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436,912</w:t>
            </w:r>
          </w:p>
        </w:tc>
        <w:tc>
          <w:tcPr>
            <w:tcW w:w="100" w:type="dxa"/>
            <w:vAlign w:val="bottom"/>
            <w:shd w:val="clear" w:color="auto" w:fill="CCEEFF"/>
          </w:tcPr>
          <w:p>
            <w:pPr>
              <w:spacing w:after="0"/>
              <w:rPr>
                <w:sz w:val="21"/>
                <w:szCs w:val="21"/>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5,349,292</w:t>
            </w:r>
          </w:p>
        </w:tc>
      </w:tr>
      <w:tr>
        <w:trPr>
          <w:trHeight w:val="27"/>
        </w:trPr>
        <w:tc>
          <w:tcPr>
            <w:tcW w:w="3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 on Pay Results</w:t>
      </w:r>
    </w:p>
    <w:p>
      <w:pPr>
        <w:spacing w:after="0" w:line="171"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auto"/>
        </w:rPr>
        <w:t>The stockholders approved, on an advisory basis, the compensation paid to the Company’s named executive officers, as disclosed in the Company’s proxy statement for the Annual Meeting, including the compensation discussion and analysis, compensation tables and narrative discussion.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Against</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37"/>
        </w:trPr>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211,631,225</w:t>
            </w: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26,233,345</w:t>
            </w:r>
          </w:p>
        </w:tc>
        <w:tc>
          <w:tcPr>
            <w:tcW w:w="10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71,444</w:t>
            </w: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5,349,292</w:t>
            </w:r>
          </w:p>
        </w:tc>
      </w:tr>
      <w:tr>
        <w:trPr>
          <w:trHeight w:val="27"/>
        </w:trPr>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Ratification of KPMG LLP as the Company’s Independent Registered Public Accounting Firm Results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appointment of KPMG LLP to serve as the independent registered public accounting firm of the Company for the fiscal year ending December 27,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was ratified at the Annual Meeting. The votes were cast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2300" w:type="dxa"/>
            <w:vAlign w:val="bottom"/>
            <w:gridSpan w:val="2"/>
          </w:tcPr>
          <w:p>
            <w:pPr>
              <w:ind w:left="800"/>
              <w:spacing w:after="0"/>
              <w:rPr>
                <w:sz w:val="20"/>
                <w:szCs w:val="20"/>
                <w:color w:val="auto"/>
              </w:rPr>
            </w:pPr>
            <w:r>
              <w:rPr>
                <w:rFonts w:ascii="Arial" w:cs="Arial" w:eastAsia="Arial" w:hAnsi="Arial"/>
                <w:sz w:val="18"/>
                <w:szCs w:val="18"/>
                <w:b w:val="1"/>
                <w:bCs w:val="1"/>
                <w:color w:val="auto"/>
              </w:rPr>
              <w:t>Against</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37"/>
        </w:trPr>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242,529,776</w:t>
            </w: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689,233</w:t>
            </w:r>
          </w:p>
        </w:tc>
        <w:tc>
          <w:tcPr>
            <w:tcW w:w="10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66,297</w:t>
            </w: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0</w:t>
            </w:r>
          </w:p>
        </w:tc>
      </w:tr>
      <w:tr>
        <w:trPr>
          <w:trHeight w:val="27"/>
        </w:trPr>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Proposal to Provide a Report Regarding the Reduction of Water Pollution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voted against the Board of Directors providing a report regarding the reduction of water pollution.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Against</w:t>
            </w:r>
          </w:p>
        </w:tc>
        <w:tc>
          <w:tcPr>
            <w:tcW w:w="2320" w:type="dxa"/>
            <w:vAlign w:val="bottom"/>
            <w:gridSpan w:val="2"/>
          </w:tcPr>
          <w:p>
            <w:pPr>
              <w:ind w:left="800"/>
              <w:spacing w:after="0"/>
              <w:rPr>
                <w:sz w:val="20"/>
                <w:szCs w:val="20"/>
                <w:color w:val="auto"/>
              </w:rPr>
            </w:pPr>
            <w:r>
              <w:rPr>
                <w:rFonts w:ascii="Arial" w:cs="Arial" w:eastAsia="Arial" w:hAnsi="Arial"/>
                <w:sz w:val="18"/>
                <w:szCs w:val="18"/>
                <w:b w:val="1"/>
                <w:bCs w:val="1"/>
                <w:color w:val="auto"/>
              </w:rPr>
              <w:t>Abstain</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36"/>
        </w:trPr>
        <w:tc>
          <w:tcPr>
            <w:tcW w:w="22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36,068,235</w:t>
            </w: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201,062,840</w:t>
            </w:r>
          </w:p>
        </w:tc>
        <w:tc>
          <w:tcPr>
            <w:tcW w:w="100" w:type="dxa"/>
            <w:vAlign w:val="bottom"/>
            <w:shd w:val="clear" w:color="auto" w:fill="CCEEFF"/>
          </w:tcPr>
          <w:p>
            <w:pPr>
              <w:spacing w:after="0"/>
              <w:rPr>
                <w:sz w:val="20"/>
                <w:szCs w:val="20"/>
                <w:color w:val="auto"/>
              </w:rPr>
            </w:pPr>
          </w:p>
        </w:tc>
        <w:tc>
          <w:tcPr>
            <w:tcW w:w="2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804,939</w:t>
            </w: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5,349,292</w:t>
            </w:r>
          </w:p>
        </w:tc>
      </w:tr>
      <w:tr>
        <w:trPr>
          <w:trHeight w:val="27"/>
        </w:trPr>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Proposal to Provide a Report on Human Rights Due Diligence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voted against the Board of Directors providing a report on human rights due diligence.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Against</w:t>
            </w:r>
          </w:p>
        </w:tc>
        <w:tc>
          <w:tcPr>
            <w:tcW w:w="2320" w:type="dxa"/>
            <w:vAlign w:val="bottom"/>
            <w:gridSpan w:val="2"/>
          </w:tcPr>
          <w:p>
            <w:pPr>
              <w:ind w:left="800"/>
              <w:spacing w:after="0"/>
              <w:rPr>
                <w:sz w:val="20"/>
                <w:szCs w:val="20"/>
                <w:color w:val="auto"/>
              </w:rPr>
            </w:pPr>
            <w:r>
              <w:rPr>
                <w:rFonts w:ascii="Arial" w:cs="Arial" w:eastAsia="Arial" w:hAnsi="Arial"/>
                <w:sz w:val="18"/>
                <w:szCs w:val="18"/>
                <w:b w:val="1"/>
                <w:bCs w:val="1"/>
                <w:color w:val="auto"/>
              </w:rPr>
              <w:t>Abstain</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36"/>
        </w:trPr>
        <w:tc>
          <w:tcPr>
            <w:tcW w:w="22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30,428,515</w:t>
            </w: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206,682,176</w:t>
            </w:r>
          </w:p>
        </w:tc>
        <w:tc>
          <w:tcPr>
            <w:tcW w:w="100" w:type="dxa"/>
            <w:vAlign w:val="bottom"/>
            <w:shd w:val="clear" w:color="auto" w:fill="CCEEFF"/>
          </w:tcPr>
          <w:p>
            <w:pPr>
              <w:spacing w:after="0"/>
              <w:rPr>
                <w:sz w:val="20"/>
                <w:szCs w:val="20"/>
                <w:color w:val="auto"/>
              </w:rPr>
            </w:pPr>
          </w:p>
        </w:tc>
        <w:tc>
          <w:tcPr>
            <w:tcW w:w="2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825,323</w:t>
            </w: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5,349,292</w:t>
            </w:r>
          </w:p>
        </w:tc>
      </w:tr>
      <w:tr>
        <w:trPr>
          <w:trHeight w:val="27"/>
        </w:trPr>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Proposal to Provide for Majority Voting in Director Elections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voted against the Board of Directors providing for majority voting in director elections.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Against</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36"/>
        </w:trPr>
        <w:tc>
          <w:tcPr>
            <w:tcW w:w="22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41,409,601</w:t>
            </w: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196,469,872</w:t>
            </w:r>
          </w:p>
        </w:tc>
        <w:tc>
          <w:tcPr>
            <w:tcW w:w="10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56,541</w:t>
            </w: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5,349,292</w:t>
            </w:r>
          </w:p>
        </w:tc>
      </w:tr>
      <w:tr>
        <w:trPr>
          <w:trHeight w:val="27"/>
        </w:trPr>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 w:name="page3"/>
    <w:bookmarkEnd w:id="2"/>
    <w:p>
      <w:pPr>
        <w:ind w:left="5060"/>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PILGRIM’S PRIDE CORPORATION</w:t>
      </w:r>
    </w:p>
    <w:p>
      <w:pPr>
        <w:spacing w:after="0" w:line="266" w:lineRule="exact"/>
        <w:rPr>
          <w:sz w:val="20"/>
          <w:szCs w:val="20"/>
          <w:color w:val="auto"/>
        </w:rPr>
      </w:pPr>
    </w:p>
    <w:p>
      <w:pPr>
        <w:ind w:left="40"/>
        <w:spacing w:after="0"/>
        <w:tabs>
          <w:tab w:leader="none" w:pos="740" w:val="left"/>
          <w:tab w:leader="none" w:pos="7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r>
        <w:rPr>
          <w:sz w:val="20"/>
          <w:szCs w:val="20"/>
          <w:color w:val="auto"/>
        </w:rPr>
        <w:tab/>
      </w:r>
      <w:r>
        <w:rPr>
          <w:rFonts w:ascii="Arial" w:cs="Arial" w:eastAsia="Arial" w:hAnsi="Arial"/>
          <w:sz w:val="16"/>
          <w:szCs w:val="16"/>
          <w:color w:val="auto"/>
        </w:rPr>
        <w:t>/s/ Fabio Sandri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31750</wp:posOffset>
            </wp:positionV>
            <wp:extent cx="2434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345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31750</wp:posOffset>
            </wp:positionV>
            <wp:extent cx="1183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Fabio Sandri</w:t>
      </w:r>
    </w:p>
    <w:p>
      <w:pPr>
        <w:spacing w:after="0" w:line="6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600"/>
      </w:cols>
      <w:pgMar w:left="320" w:top="891"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2020-04-30T16:29:02Z</dcterms:created>
  <dcterms:modified xsi:type="dcterms:W3CDTF">2020-04-30T16:29:02Z</dcterms:modified>
</cp:coreProperties>
</file>