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84455</wp:posOffset>
            </wp:positionV>
            <wp:extent cx="857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21590</wp:posOffset>
            </wp:positionV>
            <wp:extent cx="857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90" w:lineRule="exact"/>
        <w:rPr>
          <w:sz w:val="24"/>
          <w:szCs w:val="24"/>
          <w:color w:val="auto"/>
        </w:rPr>
      </w:pPr>
    </w:p>
    <w:p>
      <w:pPr>
        <w:ind w:left="4100" w:right="2960" w:hanging="4092"/>
        <w:spacing w:after="0" w:line="316" w:lineRule="auto"/>
        <w:tabs>
          <w:tab w:leader="none" w:pos="3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28, 2025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9"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u w:val="single" w:color="auto"/>
          <w:color w:val="auto"/>
        </w:rPr>
        <w:t>1-9273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20320</wp:posOffset>
            </wp:positionV>
            <wp:extent cx="79692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692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PILGRIM’S PRIDE CORPORATION</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Delaware</w:t>
            </w:r>
          </w:p>
        </w:tc>
        <w:tc>
          <w:tcPr>
            <w:tcW w:w="1660" w:type="dxa"/>
            <w:vAlign w:val="bottom"/>
            <w:gridSpan w:val="3"/>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242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color w:val="auto"/>
              </w:rPr>
              <w:t>75-1285071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120" w:type="dxa"/>
            <w:vAlign w:val="bottom"/>
            <w:gridSpan w:val="12"/>
          </w:tcPr>
          <w:p>
            <w:pPr>
              <w:jc w:val="center"/>
              <w:ind w:left="1102"/>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5440" w:type="dxa"/>
            <w:vAlign w:val="bottom"/>
            <w:gridSpan w:val="6"/>
          </w:tcPr>
          <w:p>
            <w:pPr>
              <w:jc w:val="center"/>
              <w:ind w:left="1325"/>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89"/>
        </w:trPr>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gridSpan w:val="9"/>
          </w:tcPr>
          <w:p>
            <w:pPr>
              <w:jc w:val="center"/>
              <w:spacing w:after="0"/>
              <w:rPr>
                <w:sz w:val="20"/>
                <w:szCs w:val="20"/>
                <w:color w:val="auto"/>
              </w:rPr>
            </w:pPr>
            <w:r>
              <w:rPr>
                <w:rFonts w:ascii="Times New Roman" w:cs="Times New Roman" w:eastAsia="Times New Roman" w:hAnsi="Times New Roman"/>
                <w:sz w:val="16"/>
                <w:szCs w:val="16"/>
                <w:color w:val="auto"/>
              </w:rPr>
              <w:t>1770 Promontory Circle</w:t>
            </w:r>
          </w:p>
        </w:tc>
        <w:tc>
          <w:tcPr>
            <w:tcW w:w="1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42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color w:val="auto"/>
              </w:rPr>
              <w:t>80634-9038</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Greeley CO</w:t>
            </w:r>
          </w:p>
        </w:tc>
        <w:tc>
          <w:tcPr>
            <w:tcW w:w="1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440" w:type="dxa"/>
            <w:vAlign w:val="bottom"/>
          </w:tcPr>
          <w:p>
            <w:pPr>
              <w:spacing w:after="0"/>
              <w:rPr>
                <w:sz w:val="20"/>
                <w:szCs w:val="20"/>
                <w:color w:val="auto"/>
              </w:rPr>
            </w:pPr>
          </w:p>
        </w:tc>
        <w:tc>
          <w:tcPr>
            <w:tcW w:w="3680" w:type="dxa"/>
            <w:vAlign w:val="bottom"/>
            <w:gridSpan w:val="11"/>
          </w:tcPr>
          <w:p>
            <w:pPr>
              <w:jc w:val="center"/>
              <w:ind w:right="2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2"/>
          </w:tcPr>
          <w:p>
            <w:pPr>
              <w:jc w:val="center"/>
              <w:ind w:right="1620"/>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(970) 506-8000</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0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Title of each class</w:t>
            </w:r>
          </w:p>
        </w:tc>
        <w:tc>
          <w:tcPr>
            <w:tcW w:w="2640" w:type="dxa"/>
            <w:vAlign w:val="bottom"/>
            <w:gridSpan w:val="9"/>
          </w:tcPr>
          <w:p>
            <w:pPr>
              <w:spacing w:after="0"/>
              <w:rPr>
                <w:sz w:val="22"/>
                <w:szCs w:val="22"/>
                <w:color w:val="auto"/>
              </w:rPr>
            </w:pPr>
          </w:p>
        </w:tc>
        <w:tc>
          <w:tcPr>
            <w:tcW w:w="28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rPr>
              <w:t>Trading Symbol</w:t>
            </w:r>
          </w:p>
        </w:tc>
        <w:tc>
          <w:tcPr>
            <w:tcW w:w="40" w:type="dxa"/>
            <w:vAlign w:val="bottom"/>
          </w:tcPr>
          <w:p>
            <w:pPr>
              <w:spacing w:after="0"/>
              <w:rPr>
                <w:sz w:val="22"/>
                <w:szCs w:val="22"/>
                <w:color w:val="auto"/>
              </w:rPr>
            </w:pPr>
          </w:p>
        </w:tc>
        <w:tc>
          <w:tcPr>
            <w:tcW w:w="2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4"/>
        </w:trPr>
        <w:tc>
          <w:tcPr>
            <w:tcW w:w="3780" w:type="dxa"/>
            <w:vAlign w:val="bottom"/>
            <w:gridSpan w:val="10"/>
            <w:vMerge w:val="restart"/>
          </w:tcPr>
          <w:p>
            <w:pPr>
              <w:ind w:left="30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2"/>
        </w:trPr>
        <w:tc>
          <w:tcPr>
            <w:tcW w:w="3780" w:type="dxa"/>
            <w:vAlign w:val="bottom"/>
            <w:gridSpan w:val="10"/>
            <w:vMerge w:val="continue"/>
          </w:tcPr>
          <w:p>
            <w:pPr>
              <w:spacing w:after="0"/>
              <w:rPr>
                <w:sz w:val="15"/>
                <w:szCs w:val="15"/>
                <w:color w:val="auto"/>
              </w:rPr>
            </w:pPr>
          </w:p>
        </w:tc>
        <w:tc>
          <w:tcPr>
            <w:tcW w:w="1340" w:type="dxa"/>
            <w:vAlign w:val="bottom"/>
            <w:gridSpan w:val="2"/>
          </w:tcPr>
          <w:p>
            <w:pPr>
              <w:spacing w:after="0"/>
              <w:rPr>
                <w:sz w:val="15"/>
                <w:szCs w:val="15"/>
                <w:color w:val="auto"/>
              </w:rPr>
            </w:pPr>
          </w:p>
        </w:tc>
        <w:tc>
          <w:tcPr>
            <w:tcW w:w="2320" w:type="dxa"/>
            <w:vAlign w:val="bottom"/>
          </w:tcPr>
          <w:p>
            <w:pPr>
              <w:jc w:val="center"/>
              <w:ind w:right="1265"/>
              <w:spacing w:after="0"/>
              <w:rPr>
                <w:sz w:val="20"/>
                <w:szCs w:val="20"/>
                <w:color w:val="auto"/>
              </w:rPr>
            </w:pPr>
            <w:r>
              <w:rPr>
                <w:rFonts w:ascii="Times New Roman" w:cs="Times New Roman" w:eastAsia="Times New Roman" w:hAnsi="Times New Roman"/>
                <w:sz w:val="14"/>
                <w:szCs w:val="14"/>
                <w:color w:val="auto"/>
              </w:rPr>
              <w:t>PPC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0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p>
        </w:tc>
        <w:tc>
          <w:tcPr>
            <w:tcW w:w="2600" w:type="dxa"/>
            <w:vAlign w:val="bottom"/>
            <w:gridSpan w:val="4"/>
          </w:tcPr>
          <w:p>
            <w:pPr>
              <w:ind w:left="40"/>
              <w:spacing w:after="0"/>
              <w:rPr>
                <w:sz w:val="20"/>
                <w:szCs w:val="20"/>
                <w:color w:val="auto"/>
              </w:rPr>
            </w:pP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No</w:t>
            </w:r>
            <w:r>
              <w:rPr>
                <w:rFonts w:ascii="Wingdings" w:cs="Wingdings" w:eastAsia="Wingdings" w:hAnsi="Wingdings"/>
                <w:sz w:val="16"/>
                <w:szCs w:val="16"/>
                <w:b w:val="1"/>
                <w:bCs w:val="1"/>
                <w:color w:val="auto"/>
              </w:rPr>
              <w:t xml:space="preserve"> </w:t>
            </w:r>
            <w:r>
              <w:rPr>
                <w:rFonts w:ascii="Wingdings" w:cs="Wingdings" w:eastAsia="Wingdings" w:hAnsi="Wingdings"/>
                <w:sz w:val="17"/>
                <w:szCs w:val="17"/>
                <w:b w:val="1"/>
                <w:bCs w:val="1"/>
                <w:color w:val="auto"/>
              </w:rPr>
              <w:t>o</w:t>
            </w:r>
          </w:p>
        </w:tc>
        <w:tc>
          <w:tcPr>
            <w:tcW w:w="0" w:type="dxa"/>
            <w:vAlign w:val="bottom"/>
          </w:tcPr>
          <w:p>
            <w:pPr>
              <w:spacing w:after="0"/>
              <w:rPr>
                <w:sz w:val="1"/>
                <w:szCs w:val="1"/>
                <w:color w:val="auto"/>
              </w:rPr>
            </w:pPr>
          </w:p>
        </w:tc>
      </w:tr>
    </w:tbl>
    <w:p>
      <w:pPr>
        <w:spacing w:after="0" w:line="60" w:lineRule="exact"/>
        <w:rPr>
          <w:sz w:val="24"/>
          <w:szCs w:val="24"/>
          <w:color w:val="auto"/>
        </w:rPr>
      </w:pPr>
    </w:p>
    <w:p>
      <w:pPr>
        <w:spacing w:after="0"/>
        <w:tabs>
          <w:tab w:leader="none" w:pos="912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6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23"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3"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580" w:type="dxa"/>
        <w:tblCellMar>
          <w:top w:w="0" w:type="dxa"/>
          <w:left w:w="0" w:type="dxa"/>
          <w:bottom w:w="0" w:type="dxa"/>
          <w:right w:w="0" w:type="dxa"/>
        </w:tblCellMar>
      </w:tblPr>
      <w:tr>
        <w:trPr>
          <w:trHeight w:val="16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20" w:type="dxa"/>
            <w:vAlign w:val="bottom"/>
          </w:tcPr>
          <w:p>
            <w:pPr>
              <w:ind w:left="240"/>
              <w:spacing w:after="0"/>
              <w:rPr>
                <w:sz w:val="20"/>
                <w:szCs w:val="20"/>
                <w:color w:val="auto"/>
              </w:rPr>
            </w:pPr>
            <w:r>
              <w:rPr>
                <w:rFonts w:ascii="Wingdings" w:cs="Wingdings" w:eastAsia="Wingdings" w:hAnsi="Wingdings"/>
                <w:sz w:val="14"/>
                <w:szCs w:val="14"/>
                <w:b w:val="1"/>
                <w:bCs w:val="1"/>
                <w:color w:val="auto"/>
              </w:rPr>
              <w:t>x</w:t>
            </w:r>
          </w:p>
        </w:tc>
        <w:tc>
          <w:tcPr>
            <w:tcW w:w="368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20" w:type="dxa"/>
            <w:vAlign w:val="bottom"/>
          </w:tcPr>
          <w:p>
            <w:pPr>
              <w:ind w:left="240"/>
              <w:spacing w:after="0"/>
              <w:rPr>
                <w:sz w:val="20"/>
                <w:szCs w:val="20"/>
                <w:color w:val="auto"/>
              </w:rPr>
            </w:pPr>
            <w:r>
              <w:rPr>
                <w:rFonts w:ascii="Wingdings" w:cs="Wingdings" w:eastAsia="Wingdings" w:hAnsi="Wingdings"/>
                <w:sz w:val="14"/>
                <w:szCs w:val="14"/>
                <w:b w:val="1"/>
                <w:bCs w:val="1"/>
                <w:color w:val="auto"/>
              </w:rPr>
              <w:t>o</w:t>
            </w:r>
          </w:p>
        </w:tc>
        <w:tc>
          <w:tcPr>
            <w:tcW w:w="368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8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3"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7"/>
          <w:szCs w:val="17"/>
          <w:b w:val="1"/>
          <w:bCs w:val="1"/>
          <w:color w:val="auto"/>
        </w:rPr>
        <w:t>o</w:t>
      </w:r>
    </w:p>
    <w:p>
      <w:pPr>
        <w:spacing w:after="0" w:line="3" w:lineRule="exact"/>
        <w:rPr>
          <w:sz w:val="24"/>
          <w:szCs w:val="24"/>
          <w:color w:val="auto"/>
        </w:rPr>
      </w:pPr>
    </w:p>
    <w:p>
      <w:pPr>
        <w:ind w:right="20"/>
        <w:spacing w:after="0" w:line="205"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6"/>
          <w:szCs w:val="16"/>
          <w:color w:val="auto"/>
        </w:rPr>
        <w:t>☒</w:t>
      </w:r>
    </w:p>
    <w:p>
      <w:pPr>
        <w:ind w:right="20"/>
        <w:spacing w:after="0" w:line="249"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7"/>
          <w:szCs w:val="17"/>
          <w:b w:val="1"/>
          <w:bCs w:val="1"/>
          <w:color w:val="auto"/>
        </w:rPr>
        <w:t>o</w:t>
      </w:r>
    </w:p>
    <w:p>
      <w:pPr>
        <w:spacing w:after="0" w:line="1"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7"/>
          <w:szCs w:val="17"/>
          <w:b w:val="1"/>
          <w:bCs w:val="1"/>
          <w:color w:val="auto"/>
        </w:rPr>
        <w:t>o</w:t>
      </w:r>
    </w:p>
    <w:p>
      <w:pPr>
        <w:spacing w:after="0" w:line="1" w:lineRule="exact"/>
        <w:rPr>
          <w:sz w:val="24"/>
          <w:szCs w:val="24"/>
          <w:color w:val="auto"/>
        </w:rPr>
      </w:pPr>
    </w:p>
    <w:p>
      <w:pPr>
        <w:spacing w:after="0" w:line="184" w:lineRule="exact"/>
        <w:tabs>
          <w:tab w:leader="none" w:pos="80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72" w:lineRule="exact"/>
        <w:rPr>
          <w:sz w:val="24"/>
          <w:szCs w:val="24"/>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$0.01 par value, held by non-affiliates of the registrant as of June 30, 2025 was $1,860,373,070</w:t>
      </w:r>
      <w:r>
        <w:rPr>
          <w:rFonts w:ascii="Times New Roman" w:cs="Times New Roman" w:eastAsia="Times New Roman" w:hAnsi="Times New Roman"/>
          <w:sz w:val="16"/>
          <w:szCs w:val="16"/>
          <w:color w:val="2C2C2C"/>
        </w:rPr>
        <w:t>.</w:t>
      </w:r>
      <w:r>
        <w:rPr>
          <w:rFonts w:ascii="Times New Roman" w:cs="Times New Roman" w:eastAsia="Times New Roman" w:hAnsi="Times New Roman"/>
          <w:sz w:val="16"/>
          <w:szCs w:val="16"/>
          <w:color w:val="auto"/>
        </w:rPr>
        <w:t xml:space="preserve"> The number of shares of the registrant’s Common Stock outstanding as of February 11, 2026 was 237,547,447.</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436245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Portions of the Company’s Proxy Statement for the 2026 Annual Meeting of Stockholders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0" w:type="dxa"/>
            <w:vAlign w:val="bottom"/>
            <w:tcBorders>
              <w:bottom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6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20" w:type="dxa"/>
            <w:vAlign w:val="bottom"/>
            <w:gridSpan w:val="12"/>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PILGRIM’S PRIDE CORPORATION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40" w:type="dxa"/>
            <w:vAlign w:val="bottom"/>
            <w:gridSpan w:val="9"/>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20" w:type="dxa"/>
            <w:vAlign w:val="bottom"/>
            <w:gridSpan w:val="10"/>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8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94"/>
        </w:trPr>
        <w:tc>
          <w:tcPr>
            <w:tcW w:w="40" w:type="dxa"/>
            <w:vAlign w:val="bottom"/>
          </w:tcPr>
          <w:p>
            <w:pPr>
              <w:spacing w:after="0"/>
              <w:rPr>
                <w:sz w:val="16"/>
                <w:szCs w:val="16"/>
                <w:color w:val="auto"/>
              </w:rPr>
            </w:pPr>
          </w:p>
        </w:tc>
        <w:tc>
          <w:tcPr>
            <w:tcW w:w="1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7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0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860" w:type="dxa"/>
            <w:vAlign w:val="bottom"/>
            <w:gridSpan w:val="18"/>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720" w:type="dxa"/>
            <w:vAlign w:val="bottom"/>
            <w:gridSpan w:val="12"/>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10"/>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760" w:type="dxa"/>
            <w:vAlign w:val="bottom"/>
            <w:gridSpan w:val="17"/>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040" w:type="dxa"/>
            <w:vAlign w:val="bottom"/>
            <w:gridSpan w:val="19"/>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45"/>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8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8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r>
      <w:tr>
        <w:trPr>
          <w:trHeight w:val="194"/>
        </w:trPr>
        <w:tc>
          <w:tcPr>
            <w:tcW w:w="40" w:type="dxa"/>
            <w:vAlign w:val="bottom"/>
          </w:tcPr>
          <w:p>
            <w:pPr>
              <w:spacing w:after="0"/>
              <w:rPr>
                <w:sz w:val="16"/>
                <w:szCs w:val="16"/>
                <w:color w:val="auto"/>
              </w:rPr>
            </w:pPr>
          </w:p>
        </w:tc>
        <w:tc>
          <w:tcPr>
            <w:tcW w:w="1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7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21</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400" w:type="dxa"/>
            <w:vAlign w:val="bottom"/>
            <w:tcBorders>
              <w:top w:val="single" w:sz="8" w:color="0000FF"/>
            </w:tcBorders>
            <w:gridSpan w:val="19"/>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2320" w:type="dxa"/>
            <w:vAlign w:val="bottom"/>
            <w:gridSpan w:val="4"/>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440" w:type="dxa"/>
            <w:vAlign w:val="bottom"/>
            <w:gridSpan w:val="9"/>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18"/>
                <w:szCs w:val="18"/>
                <w:color w:val="auto"/>
              </w:rPr>
            </w:pPr>
          </w:p>
        </w:tc>
        <w:tc>
          <w:tcPr>
            <w:tcW w:w="230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80" w:type="dxa"/>
            <w:vAlign w:val="bottom"/>
            <w:gridSpan w:val="8"/>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0" w:type="dxa"/>
            <w:vAlign w:val="bottom"/>
          </w:tcPr>
          <w:p>
            <w:pPr>
              <w:spacing w:after="0"/>
              <w:rPr>
                <w:sz w:val="16"/>
                <w:szCs w:val="16"/>
                <w:color w:val="auto"/>
              </w:rPr>
            </w:pPr>
          </w:p>
        </w:tc>
        <w:tc>
          <w:tcPr>
            <w:tcW w:w="1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7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91</w:t>
            </w:r>
          </w:p>
        </w:tc>
      </w:tr>
      <w:tr>
        <w:trPr>
          <w:trHeight w:val="210"/>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5"/>
          </w:tcPr>
          <w:p>
            <w:pPr>
              <w:spacing w:after="0"/>
              <w:rPr>
                <w:sz w:val="18"/>
                <w:szCs w:val="18"/>
                <w:color w:val="auto"/>
              </w:rPr>
            </w:pPr>
          </w:p>
        </w:tc>
        <w:tc>
          <w:tcPr>
            <w:tcW w:w="4680" w:type="dxa"/>
            <w:vAlign w:val="bottom"/>
            <w:gridSpan w:val="8"/>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4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r>
      <w:tr>
        <w:trPr>
          <w:trHeight w:val="209"/>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320" w:type="dxa"/>
            <w:vAlign w:val="bottom"/>
            <w:gridSpan w:val="5"/>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10"/>
        </w:trPr>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245"/>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80" w:type="dxa"/>
            <w:vAlign w:val="bottom"/>
            <w:gridSpan w:val="8"/>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r>
      <w:tr>
        <w:trPr>
          <w:trHeight w:val="194"/>
        </w:trPr>
        <w:tc>
          <w:tcPr>
            <w:tcW w:w="40" w:type="dxa"/>
            <w:vAlign w:val="bottom"/>
          </w:tcPr>
          <w:p>
            <w:pPr>
              <w:spacing w:after="0"/>
              <w:rPr>
                <w:sz w:val="16"/>
                <w:szCs w:val="16"/>
                <w:color w:val="auto"/>
              </w:rPr>
            </w:pPr>
          </w:p>
        </w:tc>
        <w:tc>
          <w:tcPr>
            <w:tcW w:w="1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7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93</w:t>
            </w:r>
          </w:p>
        </w:tc>
      </w:tr>
      <w:tr>
        <w:trPr>
          <w:trHeight w:val="230"/>
        </w:trPr>
        <w:tc>
          <w:tcPr>
            <w:tcW w:w="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9"/>
                <w:szCs w:val="19"/>
                <w:color w:val="auto"/>
              </w:rPr>
            </w:pPr>
          </w:p>
        </w:tc>
        <w:tc>
          <w:tcPr>
            <w:tcW w:w="5620" w:type="dxa"/>
            <w:vAlign w:val="bottom"/>
            <w:gridSpan w:val="10"/>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r>
      <w:tr>
        <w:trPr>
          <w:trHeight w:val="190"/>
        </w:trPr>
        <w:tc>
          <w:tcPr>
            <w:tcW w:w="40" w:type="dxa"/>
            <w:vAlign w:val="bottom"/>
          </w:tcPr>
          <w:p>
            <w:pPr>
              <w:spacing w:after="0"/>
              <w:rPr>
                <w:sz w:val="16"/>
                <w:szCs w:val="16"/>
                <w:color w:val="auto"/>
              </w:rPr>
            </w:pPr>
          </w:p>
        </w:tc>
        <w:tc>
          <w:tcPr>
            <w:tcW w:w="76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96</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 and Explanatory Note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contains, and management may make, certain “forward-looking statements” as defined under the Private Securities Litigation Reform Act of 1995. Statements of our intentions, beliefs, expectations or predictions for the future, denoted by the words “anticipate,” “believe,” “estimate,” “expect,” “plan,” “project,” “imply,” “intend,” “should,” “foresee” and similar expressions, are forward-looking statements that reflect our current views about future events and are subject to risks and uncertainties. Such risks and uncertainties include those described under “Risk Factors” below and elsewhere in this annual report. Actual results could differ materially from those expressed in, or implied or projected by these forward-looking statements as a result of these risks and uncertainties, many of which are difficult to predict and beyond our control. The Company’s forward-looking statements speak only as of the date of this report or as of the date they are made, and the Company undertakes no obligation to update its forward-looking statements. The risks described in this annual report are not the only risks we face, and additional risks and uncertainties may impair our business operations. The occurrence of any one or more of the factors described herein or other currently unknown factors could materially adversely affect our business and operating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Pilgrim’s Pride Corporation (referred to herein as “Pilgrim’s,” “PPC,” “the Company,” “we,” “us,” “our,” or similar terms) is primarily engaged in the production, processing, marketing and distribution of fresh, frozen and value-added chicken and pork products to retailers, distributors and foodservice operators. JBS S.A., through its indirect wholly-owned subsidiaries (together, “JBS”), beneficially owns 82.28% of our outstanding common stock.</w:t>
      </w:r>
    </w:p>
    <w:p>
      <w:pPr>
        <w:spacing w:after="0" w:line="12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We market our balanced portfolio of fresh, prepared and value-added meat products to a diverse set of customers across the U.S., the U.K. and Europe, Mexico and in over 120 other countries. Our sales efforts are largely targeted towards the foodservice industry, principally chain restaurants and food processors, such as Chick-fil-A® and retail customers, including grocery store chains and wholesale clubs, such as Kroger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Costco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Publix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H-E-B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U.S., chain restaurants such as McDonald’s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grocery store chains such as Sainsbury’s, Tesco and Waitrose in the U.K. and Europe, and grocery store chains such as Wal-Mart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Mexico.</w:t>
      </w:r>
    </w:p>
    <w:p>
      <w:pPr>
        <w:spacing w:after="0" w:line="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vertically integrated company, we are able to control nearly every phase of the production process, which helps us manage food safety and quality, control margins and improve customer service. Our plants are strategically located to ensure that customers timely receive fresh products. With our global network of approximately 4,500 growers, 36 feed mills, 50 hatcheries, 39 processing plants, 28 prepared foods cook plants, 38 distribution centers, 10 protein conversion facilities and five pet food plants, we believe we are well-positioned to supply the growing demand for our products.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on the basis of a 52/53-week fiscal year ending on the Sunday falling on or before December 31. Any reference we make to a particular year (for example 2025) in the notes to these Consolidated Financial Statements applies to our fiscal year and not the calendar year. Fiscal years 2025 and 2024 were both 52-week fiscal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operate in three reportable segments: U.S., Europe, and Mexico. We produce or purchase for resale chicken products through our operations in the U.S., the U.K. and continental Europe, and Mexico and pork and lamb products through our operations in the U.K. We conduct separate operations in the U.S., the U.K., the Republic of Ireland, continental Europe, Puerto Rico and Mexico; however, for geographic reporting purposes, we include Puerto Rico with our U.S. operations. See “Note 20. Reportable Segments” of our Consolidated Financial Statements included in this annual report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Markets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Fresh Products Overview. </w:t>
      </w:r>
      <w:r>
        <w:rPr>
          <w:rFonts w:ascii="Times New Roman" w:cs="Times New Roman" w:eastAsia="Times New Roman" w:hAnsi="Times New Roman"/>
          <w:sz w:val="18"/>
          <w:szCs w:val="18"/>
          <w:color w:val="auto"/>
        </w:rPr>
        <w:t>Our fresh products consist of refrigerated whole or cut-up chicken, frozen whole chickens, breast fillets, mini breast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fillets and prepackaged case-ready chicken, and in the U.K., primary pork cuts, added value pork, pork ribs and lamb products. Our case-ready chicken includes various combinations of freshly refrigerated, whole chickens, chicken parts in trays, bags or other consumer packs labeled and priced ready for the retail grocer’s fresh meat counter. Additionally, we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an important player in the live chicken market in Mexico. In 2025, our fresh product sales accounted for 80.9%, 29.9%, and 83.2% of our total U.S., Europe, and Mexico product sales, respectively.</w:t>
      </w:r>
    </w:p>
    <w:p>
      <w:pPr>
        <w:spacing w:after="0" w:line="1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Prepared Products Overview. </w:t>
      </w:r>
      <w:r>
        <w:rPr>
          <w:rFonts w:ascii="Times New Roman" w:cs="Times New Roman" w:eastAsia="Times New Roman" w:hAnsi="Times New Roman"/>
          <w:sz w:val="18"/>
          <w:szCs w:val="18"/>
          <w:color w:val="auto"/>
        </w:rPr>
        <w:t>Our prepared products include portion-controlled breast fillets, tenderloins and strips, delicatessen products, salads,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formed nuggets and patties and bone-in chicken parts. These products are sold either refrigerated or frozen and may be fully cooked, partially cooked or raw. In addition, these products may be breaded and/or marinated. Our prepared products include processed sausages, bacon, slow cooked, smoked meat, gammon joints, ready-to-cook variety of meat products, pre-packed meats, sandwich and deli counter meats, pulled pork balls, meatballs and coated foods. In 2025, our prepared foods products sales accounted for 12.0%, 58.6%, and 11.3% of our total U.S., Europe, and Mexico chicken and pork sales, respectively.</w:t>
      </w:r>
    </w:p>
    <w:p>
      <w:pPr>
        <w:spacing w:after="0" w:line="12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Exported Products Overview. </w:t>
      </w:r>
      <w:r>
        <w:rPr>
          <w:rFonts w:ascii="Times New Roman" w:cs="Times New Roman" w:eastAsia="Times New Roman" w:hAnsi="Times New Roman"/>
          <w:sz w:val="18"/>
          <w:szCs w:val="18"/>
          <w:color w:val="auto"/>
        </w:rPr>
        <w:t>Exported products primarily consist of whole chickens and chicken parts sold either refrigerated for distributors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or frozen for distribution to export markets and in the U.K., primary pork cuts, hog heads and trotters frozen for distribution to export markets. In 2025, our export product sales accounted for 4.1% and 10.8% of our total U.S. and Europe product sales, respectively.</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 Overview. </w:t>
      </w:r>
      <w:r>
        <w:rPr>
          <w:rFonts w:ascii="Times New Roman" w:cs="Times New Roman" w:eastAsia="Times New Roman" w:hAnsi="Times New Roman"/>
          <w:sz w:val="18"/>
          <w:szCs w:val="18"/>
          <w:color w:val="auto"/>
        </w:rPr>
        <w:t>Our foodservice market principally consists of chain restaurants, food processors, broad-line distributors and certain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Our retail market consists primarily of grocery store chains, wholesale clubs and other retail distributors. Our export market consists primarily of customers who purchase for distribution in the U.S., U.K. and continental Europe, or for export to Mexico, the Middle East, Asia, and other international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for Primary Product Lines and Markets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beginning with 2023, net sales attributable to each of our primary product lines and markets served with those products. We based the table on our internal sales reports and their classification of product types.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3"/>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00" w:type="dxa"/>
            <w:vAlign w:val="bottom"/>
          </w:tcPr>
          <w:p>
            <w:pPr>
              <w:spacing w:after="0"/>
              <w:rPr>
                <w:sz w:val="17"/>
                <w:szCs w:val="17"/>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4"/>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reportable segment: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Fresh products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8,892,558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8,731,904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8,105,268</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Prepared foods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1,094,818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978,423</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Export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468,553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533,205</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products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334,654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410,846</w:t>
            </w:r>
          </w:p>
        </w:tc>
      </w:tr>
      <w:tr>
        <w:trPr>
          <w:trHeight w:val="207"/>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U.S. reportable segment</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10,998,732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10,629,929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10,027,742</w:t>
            </w: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reportable segment: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Fresh products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1,607,792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1,178,459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1,074,900</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Prepared foods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3,150,863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3,381,178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3,525,359</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Export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477,486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472,657</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products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99,624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130,406</w:t>
            </w:r>
          </w:p>
        </w:tc>
      </w:tr>
      <w:tr>
        <w:trPr>
          <w:trHeight w:val="207"/>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 reportable segment</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5,378,865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5,136,747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5,203,322</w:t>
            </w: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 reportable segment: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Fresh products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1,777,815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1,796,670</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Prepared foods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212,651</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products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113,530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121,832</w:t>
            </w:r>
          </w:p>
        </w:tc>
      </w:tr>
      <w:tr>
        <w:trPr>
          <w:trHeight w:val="21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Mexico reportable segment</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2,119,956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2,111,615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2,131,153</w:t>
            </w:r>
          </w:p>
        </w:tc>
      </w:tr>
      <w:tr>
        <w:trPr>
          <w:trHeight w:val="207"/>
        </w:trPr>
        <w:tc>
          <w:tcPr>
            <w:tcW w:w="5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net sales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18,497,553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17,878,291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17,362,217</w:t>
            </w: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Grains</w:t>
      </w:r>
      <w:r>
        <w:rPr>
          <w:rFonts w:ascii="Times New Roman" w:cs="Times New Roman" w:eastAsia="Times New Roman" w:hAnsi="Times New Roman"/>
          <w:sz w:val="18"/>
          <w:szCs w:val="18"/>
          <w:color w:val="auto"/>
        </w:rPr>
        <w:t>. The Company utilizes various raw materials in its operations, including corn, soybean meal and wheat, along with various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ingredients from which the Company produces its own formulated feeds. In 2025, corn, soybean meal and wheat accounted for approximately 45.9%, 33.7% and 4.6% of our feed costs, respectively. The production of feed ingredients is positively or negatively affected primarily by the global level of supply, demand for feed ingredients, the agricultural policies of the U.S. and foreign governments and weather patterns throughout the world. We attempt to mitigate the impact of price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volatility on our profitability by decreasing the amount of our products that are sold under longer term fixed-price contracts, broadening our product portfolio and expanding the variety of contracts within our book of business. To also manage this risk, we purchase derivative financial instruments. The Company has long-standing relationships with its sources of grain and other feed ingredients and expects to have an adequate supply for its present needs.</w:t>
      </w:r>
    </w:p>
    <w:p>
      <w:pPr>
        <w:spacing w:after="0" w:line="1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Live chicks</w:t>
      </w:r>
      <w:r>
        <w:rPr>
          <w:rFonts w:ascii="Times New Roman" w:cs="Times New Roman" w:eastAsia="Times New Roman" w:hAnsi="Times New Roman"/>
          <w:sz w:val="18"/>
          <w:szCs w:val="18"/>
          <w:color w:val="auto"/>
        </w:rPr>
        <w:t>. The Company’s chicken operations purchase one-day old chicks from a few major breeders. These chicks, when mature, serve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grandparent and parent stock of the broilers that these operations process for consumption. Should breeder stock from its present suppliers not be available for any reason, the Company believes that it could obtain adequate breeder stock from other suppliers in the regions in which it operates.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Live pigs</w:t>
      </w:r>
      <w:r>
        <w:rPr>
          <w:rFonts w:ascii="Times New Roman" w:cs="Times New Roman" w:eastAsia="Times New Roman" w:hAnsi="Times New Roman"/>
          <w:sz w:val="18"/>
          <w:szCs w:val="18"/>
          <w:color w:val="auto"/>
        </w:rPr>
        <w:t>. The Company’s pork operations in the U.K. maintain a pig production base that makes up approximately 30.6% of the total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pigs processed by the Company each year. Additionally, the Company’s pork operations procure live pigs for slaughter within a few days of purchase from numerous independent farmers throughout the U.K. Live pigs sourced from independent farmers make up approximately 69.4% of the total number of pigs processed by the Company each year. Although we generally expect adequate supply of live pigs in the U.K., there may be periods of imbalance in supply and demand.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own registered trademarks which are used in connection with our business. The trademarks are important to the overall marketing and branding of our products. A significant portion of our trademarks in our business are registered. In part, our success is partially dependent on the existence and continued protection of these trademarks. As long as the Company continues to use its trademarks, they may be renewed indefinitely. Some of the more significant owned or licensed trademarks used by the Company or its affiliates include Pilgrim’s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Just Bare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Gold’n Plump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Gold Kist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Country Pride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Pierce Chicken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Pilgrim’s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Mexico, To-Ricos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Del Dia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Moy Park, Matteson’s, Richmond, Fridge Raiders and Denny.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demand for our chicken products generally is greatest during the spring and summer months and lowest during the winter months. The demand for our pork products generally is higher during the summer and peaks during the winter primarily due to the holiday season.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Customers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two largest customers, which operate in the U.S., together accounted for approximately 16.8% and 16.6% of our consolidated net sales in 2025 and 2024, respectively. No single customer accounted for ten percent or more of our consolidated net sales in either 2025 or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chicken and pork industries in the U.S., the U.K., continental Europe and Mexico are highly competitive. The competitive factors in our business include price, product quality, product development, brand identification, breadth of product line and customer service. We believe that being a vertically integrated chicken company and having a fully integrated supply chain in the pork business may provide long-term cost and quality advantages over non-vertically integrated and other processors. We utilize various advertising and marketing techniques to develop and strengthen trade and consumer awareness and enhance brand loyalty for consumer products. We believe our efforts to achieve and maintain brand awareness and loyalty could support achievement of greater price premiums than would otherwise be the case in certain markets and support and expand our product distribution. We actively seek to identify and address consumer preferences by using qualitative and quantitative consumer research techniques in key geographic markets to discover and validate new product ideas, packaging designs and methods. Although poultry and pork are often relatively inexpensive in comparison with other meats, we also compete indirectly with the producers of other meats and fish, since changes in the relative prices of these foods can alter consumer buying patterns.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Environmental Matters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chicken, pork and prepared foods industries are subject to government regulation, particularly in the health, workplace safety and environmental areas, including provisions relating to the discharge of materials into the environment, treatment and disposal of agricultural and food processing wastes, the use and maintenance of refrigeration systems, ammonia-based chillers, noise, odor and dust management, the operation of mechanized processing equipment and other operations, storm water, air emissions, treatment, storage and disposal of wastes, handling of hazardous substances and remediation of contaminated soil, surface water and groundwater, by the Centers for Disease Control, the United States Department of Agriculture (“USDA”), the Food and Drug Administration (“FDA”), the Environmental Protection Agency (“EPA”),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Occupational Safety and Health Administration and state and local regulatory authorities in the U.S. and by similar governmental agencies in the U.K., the Republic of Ireland, continental Europe and Mexico. Our chicken processing facilities in the U.S. are subject to on-site examination, inspection and regulation by the USDA. The FDA inspects the production of our feed mills in the U.S. Our food processing facilities and feed mills in the U.K., continental Europe and Mexico are subject to on-site examination, inspection and regulation by government agencies that perform functions similar to those performed by the USDA and FDA.</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EPA, environmental authorities in the U.K., the Republic of Ireland, continental Europe and Mexico, and/or other U.S. or Mexican state and local authorities may, from time to time, adopt revisions to environmental rules and regulations, and/or changes in the terms and conditions of our environmental permits, with which we must comply. Compliance with existing or new environmental requirements, including more stringent limitations imposed or expected in recently-renewed or soon-to be renewed environmental permits or raw material sourcing, may require additional capital expenditures and operating expenses which may be significant. Moreover, customers in select regions may require additional or more immediate adoption of various regulations, further increasing overall investments and costs.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U.K., all poultry farms which exceed a threshold size of 40,000 birds placed are required to carry out activities in compliance with their environmental permits and they must use Best Available Techniques in order to achieve a high level of environmental protection. Our pork sites are independently audited and certified by the British Retail Consortium standard. Many of our pork sites are additionally certified by farm-to-fork traceability schemes including Royal Society for the Prevention of Cruelty to Animals Assured, Soil Association, Organic Farmers and Growers and Assured Food Standards.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28, 2025, we employed over 63,000 persons. Our success is largely dependent on the skills, experience and efforts of our employees. We rely on an adequate number of skilled employees to serve in critical production roles, such as processing workers and operations supervisors. In managing our business, we focus on a number of human capital measures or objectives, which are rooted in our core values and include the following items:</w:t>
      </w:r>
    </w:p>
    <w:p>
      <w:pPr>
        <w:spacing w:after="0" w:line="12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A core tenet of our Company is the promotion of a safe and healthy working environment. Key examples of our focus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include:</w:t>
      </w:r>
    </w:p>
    <w:p>
      <w:pPr>
        <w:spacing w:after="0" w:line="79" w:lineRule="exact"/>
        <w:rPr>
          <w:sz w:val="20"/>
          <w:szCs w:val="20"/>
          <w:color w:val="auto"/>
        </w:rPr>
      </w:pP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with our team members through the use of safety committees and other safety initiatives to improve the overall safety of the workplace and advance safety as a condition for culture.</w:t>
      </w:r>
    </w:p>
    <w:p>
      <w:pPr>
        <w:spacing w:after="0" w:line="122"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train team members on how to identify physical hazards, conduct focused daily, monthly and annual physical hazard assessments at all facilities, ensure that identified physical hazards are logged, and ensure timely remediation.</w:t>
      </w:r>
    </w:p>
    <w:p>
      <w:pPr>
        <w:spacing w:after="0" w:line="108"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third-party experts, we conduct regular ergonomic assessments, ensure that identified ergonomic issues are logged and ensure timely remediation.</w:t>
      </w:r>
    </w:p>
    <w:p>
      <w:pPr>
        <w:spacing w:after="0" w:line="122"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safety audits of all facilities on an annual basis. These audits include auditing the physical state of the plant, policies, safety culture and our occupational health clinics.</w:t>
      </w:r>
    </w:p>
    <w:p>
      <w:pPr>
        <w:spacing w:after="0" w:line="10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in 2025 have resulted in year-over-year reductions in severe injuries of 64%.</w:t>
      </w:r>
    </w:p>
    <w:p>
      <w:pPr>
        <w:spacing w:after="0" w:line="15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Anti-discrimination. </w:t>
      </w:r>
      <w:r>
        <w:rPr>
          <w:rFonts w:ascii="Times New Roman" w:cs="Times New Roman" w:eastAsia="Times New Roman" w:hAnsi="Times New Roman"/>
          <w:sz w:val="18"/>
          <w:szCs w:val="18"/>
          <w:color w:val="auto"/>
        </w:rPr>
        <w:t>We value diversity in the workplace, and do not discriminate on the basis of age, color, disability, family or marital status,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gender, national origin, or any other characteristic protected by applicable law, regulation, or ordinance. We prohibit discrimination in all recruiting, hiring, promotion, training, compensation, termination, and other employment decisions.</w:t>
      </w:r>
    </w:p>
    <w:p>
      <w:pPr>
        <w:spacing w:after="0" w:line="11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Retention and Career Development. </w:t>
      </w:r>
      <w:r>
        <w:rPr>
          <w:rFonts w:ascii="Times New Roman" w:cs="Times New Roman" w:eastAsia="Times New Roman" w:hAnsi="Times New Roman"/>
          <w:sz w:val="18"/>
          <w:szCs w:val="18"/>
          <w:color w:val="auto"/>
        </w:rPr>
        <w:t>We are committed to retaining talented employees at both production and management levels by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compensation and benefits, as well as leadership training and development opportunities.</w:t>
      </w:r>
    </w:p>
    <w:p>
      <w:pPr>
        <w:spacing w:after="0" w:line="106" w:lineRule="exact"/>
        <w:rPr>
          <w:sz w:val="20"/>
          <w:szCs w:val="20"/>
          <w:color w:val="auto"/>
        </w:rPr>
      </w:pPr>
    </w:p>
    <w:p>
      <w:pPr>
        <w:ind w:left="980" w:hanging="324"/>
        <w:spacing w:after="0" w:line="255" w:lineRule="auto"/>
        <w:tabs>
          <w:tab w:leader="none" w:pos="9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strive to provide competitive pay to our team members and reward top performers. Our benefits offerings include a minimum paid time off and paid sick leave for salaried employees, life and disability insurance and Company-matching retirement plans.</w:t>
      </w:r>
    </w:p>
    <w:p>
      <w:pPr>
        <w:spacing w:after="0" w:line="129" w:lineRule="exact"/>
        <w:rPr>
          <w:rFonts w:ascii="Times New Roman" w:cs="Times New Roman" w:eastAsia="Times New Roman" w:hAnsi="Times New Roman"/>
          <w:sz w:val="20"/>
          <w:szCs w:val="20"/>
          <w:color w:val="auto"/>
        </w:rPr>
      </w:pPr>
    </w:p>
    <w:p>
      <w:pPr>
        <w:jc w:val="both"/>
        <w:ind w:left="980" w:hanging="324"/>
        <w:spacing w:after="0" w:line="246" w:lineRule="auto"/>
        <w:tabs>
          <w:tab w:leader="none" w:pos="9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have extensive leadership training programs, such as our Supervisor Development Program, created to help identify and develop production workers into frontline supervisors and provide additional development to existing supervisors, the aforementioned People First Program, designed to equip frontline supervisors with the behavioral and technical skills needed to effectively lead their production teams and our Summit Program, designed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improve the skill set of our senior leadership team. We have found that recognizing our employees’ efforts through training for continued advancement strengthens their performance and helps with our goals to achieve business results.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Community Support</w:t>
      </w:r>
      <w:r>
        <w:rPr>
          <w:rFonts w:ascii="Times New Roman" w:cs="Times New Roman" w:eastAsia="Times New Roman" w:hAnsi="Times New Roman"/>
          <w:sz w:val="18"/>
          <w:szCs w:val="18"/>
          <w:color w:val="auto"/>
        </w:rPr>
        <w:t>. We are focused on supporting the communities in which we operate and serve.</w:t>
      </w:r>
    </w:p>
    <w:p>
      <w:pPr>
        <w:spacing w:after="0" w:line="171" w:lineRule="exact"/>
        <w:rPr>
          <w:sz w:val="20"/>
          <w:szCs w:val="20"/>
          <w:color w:val="auto"/>
        </w:rPr>
      </w:pPr>
    </w:p>
    <w:p>
      <w:pPr>
        <w:jc w:val="both"/>
        <w:ind w:left="980" w:hanging="324"/>
        <w:spacing w:after="0" w:line="245" w:lineRule="auto"/>
        <w:tabs>
          <w:tab w:leader="none" w:pos="9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Hometown Strong Initiative. </w:t>
      </w:r>
      <w:r>
        <w:rPr>
          <w:rFonts w:ascii="Times New Roman" w:cs="Times New Roman" w:eastAsia="Times New Roman" w:hAnsi="Times New Roman"/>
          <w:sz w:val="18"/>
          <w:szCs w:val="18"/>
          <w:color w:val="auto"/>
        </w:rPr>
        <w:t>Hometown Strong, which we launched in 2020, is an initiative to help the communities in which we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 to the unexpected challenges on society. We believe the Hometown Strong initiative has provided consequential investment projects and helped communities prepare for unanticipated challenges and build for the future.</w:t>
      </w:r>
    </w:p>
    <w:p>
      <w:pPr>
        <w:spacing w:after="0" w:line="152" w:lineRule="exact"/>
        <w:rPr>
          <w:rFonts w:ascii="Times New Roman" w:cs="Times New Roman" w:eastAsia="Times New Roman" w:hAnsi="Times New Roman"/>
          <w:sz w:val="20"/>
          <w:szCs w:val="20"/>
          <w:color w:val="auto"/>
        </w:rPr>
      </w:pPr>
    </w:p>
    <w:p>
      <w:pPr>
        <w:jc w:val="both"/>
        <w:ind w:left="980" w:hanging="324"/>
        <w:spacing w:after="0" w:line="245" w:lineRule="auto"/>
        <w:tabs>
          <w:tab w:leader="none" w:pos="9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Tomorrow Fund. </w:t>
      </w:r>
      <w:r>
        <w:rPr>
          <w:rFonts w:ascii="Times New Roman" w:cs="Times New Roman" w:eastAsia="Times New Roman" w:hAnsi="Times New Roman"/>
          <w:sz w:val="18"/>
          <w:szCs w:val="18"/>
          <w:color w:val="auto"/>
        </w:rPr>
        <w:t>The Tomorrow Fund, which we launched in 2019, is a scholarship program designed to support the collegiate scholastic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pursuits of our employees and their direct dependents. The Tomorrow Fund awards certain employees scholarships to an eligible university of their choice.</w:t>
      </w:r>
    </w:p>
    <w:p>
      <w:pPr>
        <w:spacing w:after="0" w:line="139" w:lineRule="exact"/>
        <w:rPr>
          <w:rFonts w:ascii="Times New Roman" w:cs="Times New Roman" w:eastAsia="Times New Roman" w:hAnsi="Times New Roman"/>
          <w:sz w:val="20"/>
          <w:szCs w:val="20"/>
          <w:color w:val="auto"/>
        </w:rPr>
      </w:pPr>
    </w:p>
    <w:p>
      <w:pPr>
        <w:jc w:val="both"/>
        <w:ind w:left="980" w:hanging="324"/>
        <w:spacing w:after="0" w:line="245" w:lineRule="auto"/>
        <w:tabs>
          <w:tab w:leader="none" w:pos="9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Better Futures. </w:t>
      </w:r>
      <w:r>
        <w:rPr>
          <w:rFonts w:ascii="Times New Roman" w:cs="Times New Roman" w:eastAsia="Times New Roman" w:hAnsi="Times New Roman"/>
          <w:sz w:val="18"/>
          <w:szCs w:val="18"/>
          <w:color w:val="auto"/>
        </w:rPr>
        <w:t>Better Futures, which we launched in 2021, is the largest privately funded free community college program in rural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free community college to our team members and their dependents. So far, over 2,319 team members or dependents have signed up and 780 have started their selected academic pathway.</w:t>
      </w:r>
    </w:p>
    <w:p>
      <w:pPr>
        <w:spacing w:after="0" w:line="1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Employee Relations. </w:t>
      </w:r>
      <w:r>
        <w:rPr>
          <w:rFonts w:ascii="Times New Roman" w:cs="Times New Roman" w:eastAsia="Times New Roman" w:hAnsi="Times New Roman"/>
          <w:sz w:val="18"/>
          <w:szCs w:val="18"/>
          <w:color w:val="auto"/>
        </w:rPr>
        <w:t>We respect our team members’ rights of association, including by joining labor unions and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35.1% of our workforce are covered by a collective bargaining agreement. For additional information, see “Item 1A. Risk Factors - Our performance depends on favorable labor relations with our employees and our compliance with labor laws. Any deterioration of those relations or increase in labor costs due to our compliance with labor laws could adversely affect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website is www.pilgrims.com. The Company makes available, free of charge, through its website, the Company’s annual reports on Form 10-K, quarterly reports on Form 10-Q, current reports on Form 8-K, directors and officers Forms 3, 4 and 5, and amendments to those reports, as soon as reasonably practicable after electronically filing such materials with, or furnishing them to, the SEC. The Company may use its website as a distribution channel of material company information. Financial and other important information regarding the Company is routinely posted on and accessible through the Company’s website at http://ir.pilgrims.com</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Information contained on the Company’s website is not included as part of, or incorporated by reference into, this annual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Background and Experience</w:t>
            </w:r>
          </w:p>
        </w:tc>
        <w:tc>
          <w:tcPr>
            <w:tcW w:w="41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Dates</w:t>
            </w:r>
          </w:p>
        </w:tc>
      </w:tr>
      <w:tr>
        <w:trPr>
          <w:trHeight w:val="22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Fabio Sandri</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54</w:t>
            </w: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1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September 2020 to Present</w:t>
            </w: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Galvanoni</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53</w:t>
            </w: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March 2021 to Present</w:t>
            </w:r>
          </w:p>
        </w:tc>
      </w:tr>
    </w:tbl>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Fabio Sandri became the Chief Executive Officer in September 2020 and previously served as our Chief Financial Officer from June 2011 to March 2021. From April 2010 to June 2011, Mr. Sandri served as the Chief Financial Officer of Estacio Participações, the private post-secondary educational institution in Brazil. From November 2008 until April 2010, he was the Chief Financial Officer of Imbra SA, a provider of dental services based in Sao Paolo, Brazil. Commencing in 2005 through October 2008, he was employed by Braskem S.A., a New York Stock Exchange-listed petrochemical company headquartered in Camaçari, Brazil, first from 2005 to 2007 as its strategy director, then from 2007 until his departure as its corporate controller. He earned his Master’s of Business Administration degree in 2001 from the Wharton School at the University of Pennsylvania and a degree in electrical engineering in 1993 from Escola Politécnica da Universidade de São Paulo.</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Matthew Galvanoni became the Chief Financial Officer in February 2021, effective March 2021. Prior to his appointment to the Company, Mr. Galvanoni served as Vice President, Finance, of Ingredion Incorporated, a leading global ingredients solution company, since 2016. Mr. Galvanoni joined Ingredion in 2012, serving in the role of Global Corporate Controller and Chief Accounting Officer, where he managed the company’s accounting-related and external financial reporting responsibilities. Mr. Galvanoni started his career at PricewaterhouseCoopers LLP in 1994 and subsequently held several financial leadership positions at Exelon Corporation, where he most recently served as Assistant Corporate Controller. Mr. Galvanoni graduated from the University of Illinois with a Bachelor’s of Accounting degree and later received a Master’s of Business Administration degree from the Kellogg School of Management at Northwestern University.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risk factors should be read carefully in connection with evaluating our business and the forward-looking information contained in this annual report on Form 10-K. Any of the following risks could materially adversely affect our business, operations, industry or financial position or our future financial performance. While we believe we have identified and discussed below all risk factors affecting our business that we believe are material, there may be additional risks and uncertainties that are not presently known or that are not currently believed to be significant that may adversely affect our business, operations, industry, financial position and financial performance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cyclicality can affect our earnings, especially due to fluctuations in commodity prices of feed ingredients, chicken and pork.</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Profitability in the chicken and pork industries is materially affected by the commodity prices of feed ingredients and the market prices of chicken and pork, which are determined by supply and demand factors. As a result, the chicken and pork industries are subject to cyclical earnings fluctuations.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price of feed ingredients is positively or negatively affected primarily by the global level of supply and demand for feed ingredients, the agricultural policies of the U.S. and foreign governments and weather patterns throughout the world. In particular, weather patterns often change agricultural conditions in an unpredictable manner. A significant change in weather patterns could affect supplies of feed ingredients, as well as our ability to obtain feed ingredients, grow chickens and pigs or deliver products. Consequently, there can be no assurance that the price of grains will not rise as a result of, among other things, increasing demand for these products around the world and alternative uses of these products, such as ethanol and biodiesel production.</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Volatility in feed ingredient prices has had, and may continue to have, a materially adverse effect on our operating results, which has resulted in, and may continue to result in, additional noncash expenses due to impairment of the carrying amounts of certain of our assets. We periodically seek, to the extent available, to enter into advance purchase commitments or financial derivative contracts for the purchase of feed ingredients in an effort to manage our feed ingredient costs. The use of these instruments may not be successful. In addition, we have not designated the derivative financial instruments that we have purchased to mitigate commodity purchase exposures as cash flow hedges. Therefore, we recognize changes in the fair value of these derivative financial instruments immediately in earnings. Unexpected changes in the fair value of these instruments could adversely affect the results of our operations. Although we attempt to mitigate the impact of feed price volatility on our profitability by decreasing the amount of our products that are sold under longer term fixed-price contracts, these changes will not eliminate the impact of changes in feed ingredient prices on our profitability and would prevent us from profiting on such contracts during times of declining market prices for chicken and/or pork.</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Outbreaks of livestock diseases in general, and poultry and pig diseases in particular, including avian influenza and African swine fever, can significantly and adversely affect our ability to conduct our operations and the demand for our products.</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take precautions intended to ensure that our flocks and herds are healthy and that our processing plants and other facilities operate in a sanitary and environmentally-sound manner. However, events beyond our control, such as outbreaks of disease, either in our own flocks and herds or elsewhere, could significantly affect the demand for our products or our ability to conduct our operations. Furthermore, an outbreak of disease could result in governmental restrictions on the import and export of our fresh chicken, fresh pork or other products involving our suppliers, facilities or customers, or require us to euthanize one or more of our flocks or herds in order to comply with disease control legislative requirements. This could result in customer order cancellations or create adverse publicity that may have a material adverse effect on our ability to market our products successfully and on our business, reputation and prospects.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recent outbreaks of both high- and low-pathogenic strains of avian influenza (“HPAI” and “LPAI”, respectively) and other bird diseases in Europe, the U.S., the U.K., and in Mexico. Outbreaks of both HPAI and LPAI are increasingly common. For example, HPAI H5 has been detected in a number of states in the U.S. Even if no additional highly pathogenic or highly contagious strains of avian influenza are confirmed in Europe, the U.S., the U.K. or Mexico, there can be no assurance that outbreaks elsewhere will not materially adversely affect international demand for poultry produced in our operating countries. Additionally, should any of these strains spread further within Europe, the U.S., the U.K. or Mexico, there can be no assurance that it would not significantly affect our ability to conduct our operations and/or demand for our products, in each case in a manner having a material adverse effect on our business, reputation and/or prospects.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our pork products are produced through our U.K. operations, previous outbreaks of African swine fever in China and its subsequent spread across the world had a significant effect on both the global supply of pork and on pork prices. As an island, the U.K. has an element of built-in biosecurity, but there are risks, mainly as a result of human movement of infected meat from the European Union (the “E.U.”). In the event of an outbreak of African Swine Fever in the U.K., we believe the Company’s risks are somewhat mitigated. However, we cannot provide assurance that it would not significantly affect our ability to conduct our operations and/or demand for our products, in each case in a manner having a material adverse effect on our business, reputation, or prospects.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products become contaminated, we may be subject to product liability claims and product recalls. Such product liability claims or product recalls could adversely affect our business reputation, expose us to increased scrutiny by federal and state regulators and may not be fully covered by insurance.</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Poultry and pork products are susceptible to contamination by harmful organisms, or pathogens, such as </w:t>
      </w:r>
      <w:r>
        <w:rPr>
          <w:rFonts w:ascii="Times New Roman" w:cs="Times New Roman" w:eastAsia="Times New Roman" w:hAnsi="Times New Roman"/>
          <w:sz w:val="18"/>
          <w:szCs w:val="18"/>
          <w:i w:val="1"/>
          <w:iCs w:val="1"/>
          <w:color w:val="auto"/>
        </w:rPr>
        <w:t>Listeria monocytogenes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Salmonella</w:t>
      </w:r>
      <w:r>
        <w:rPr>
          <w:rFonts w:ascii="Times New Roman" w:cs="Times New Roman" w:eastAsia="Times New Roman" w:hAnsi="Times New Roman"/>
          <w:sz w:val="18"/>
          <w:szCs w:val="18"/>
          <w:color w:val="auto"/>
        </w:rPr>
        <w:t xml:space="preserve">, generic </w:t>
      </w:r>
      <w:r>
        <w:rPr>
          <w:rFonts w:ascii="Times New Roman" w:cs="Times New Roman" w:eastAsia="Times New Roman" w:hAnsi="Times New Roman"/>
          <w:sz w:val="18"/>
          <w:szCs w:val="18"/>
          <w:i w:val="1"/>
          <w:iCs w:val="1"/>
          <w:color w:val="auto"/>
        </w:rPr>
        <w:t>E.coli, Yersinia enterocolitica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Staphylococcus aureus</w:t>
      </w:r>
      <w:r>
        <w:rPr>
          <w:rFonts w:ascii="Times New Roman" w:cs="Times New Roman" w:eastAsia="Times New Roman" w:hAnsi="Times New Roman"/>
          <w:sz w:val="18"/>
          <w:szCs w:val="18"/>
          <w:color w:val="auto"/>
        </w:rPr>
        <w:t>. These pathogens are generally found in the environment or naturally exist in the animal’s gut. These pathogens may also be introduced due to improper handling at the further processing, foodservice, or consumer level. These risks can be managed—but not eliminated—through good manufacturing practices and finished product testing. We have little, if any, control over proper handling once the product leaves our facilities. Illness and death may result if the pathogens are not eliminated at the further processing, foodservice or consumer level. An inadvertent shipment of contaminated products which contravenes relevant legislative requirements may lead to increased risk of exposure to product liability claims, product recalls and increased scrutiny by federal and state regulatory agencies and may have a material adverse effect on our business, reputation and/or prospects. The packaging, marketing and distribution of food products entail an inherent risk of product liability and product recall and the resultant adverse publicity. We may be subject to significant liability if the consumption of any of our products causes injury, illness or death.</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could be required to recall certain products in the event of contamination or damage to the products. In addition to the risks of product liability or product recall due to deficiencies caused by our production or processing operations, we may encounter the same risks if any third-party tampers with our products. We cannot provide assurance that we will not be required to perform product recalls, or that product liability claims will not be asserted against us in the future. Any claims that may be made may create adverse publicity that could have a material adverse effect on our ability to market our products successfully or on our business, reputation, prospects, financial condition and results of operations. If our products become contaminated, spoiled, are tampered with or are mislabeled, we may be subject to product liability claims and product recalls. A widespread product recall could result in significant losses due to recall-related costs, the destruction of product inventory, and lost sales from product unavailability for a period of time. Such a product recall also could result in adverse publicity, damage to our reputation and a loss of consumer confidence in our products, which could have a material adverse effect on our business results.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maintain insurance coverage for certain risks, including product liability, business interruption, and general liability insurance. However, insurance can be expensive and difficult to obtain. There is no assurance that we can maintain adequate coverage in the future or that such insurance would be sufficient to cover all potential losses. Moreover, even though our insurance coverage may be designed to protect us from losses attributable to certain events, it may not adequately protect us from liability and expenses we incur in connection with such events.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foreign operations and commerce in international markets pose special risks to our business and operations and subject us to additional regulatory frameworks and compliance costs.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significant operations and assets located in Mexico, the U.K., the Republic of Ireland, and continental Europe and may participate in or acquire operations and assets in other foreign countries in the future. Foreign operations may be exposed to a number of special risks such as currency exchange rate fluctuations, tariffs, trade barriers, exchange controls, expropriation and changes in laws and policies, including tax laws and laws governing foreign-owned operations. Currency exchange rate fluctuations have had adverse effects on us in the past. Exchange rate fluctuations or one or more other risks may have a material adverse effect on our business or operations in the future. Our operations in Mexico, the U.K., the Republic of Ireland, and continental Europe are conducted through subsidiaries organized under non-U.S. laws. Claims of creditors of our subsidiaries, including trade creditors, will generally have priority as to the assets of our subsidiaries over our claims. Additionally, the ability of these subsidiaries to make payments and distributions to us can be limited by terms of subsidiary financing arrangements and will be subject to, among other things, the laws applicable to these subsidiaries. To date, these laws have not had a material adverse effect on the ability of these subsidiaries to make these payments and distributions. However, laws such as these may have a material adverse effect on the ability of these subsidiaries to make these payments and distributions in the future.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in foreign jurisdictions also subject us to additional regulatory frameworks, which can increase costs of compliance and subject us to possible fines and penalties, some of which could be significant. In some cases, foreign regulatory frameworks may be considered more stringent or complex than similar regimes in the United States. For example, the European Union’s Deforestation Regulation (the “EUDR”), which generally becomes effective on December 30, 2026, will require companies trading in cattle, cocoa, coffee, oil palm, rubber, soya, and wood, as well as products derived from these commodities, to conduct extensive diligence on the value chain to ensure the goods do not result from recent deforestation, forest degradation, or breaches of local laws in order to sell such products in the European Union market. The EUDR, and other current or proposed regulations in the European Union and elsewhere, are expected to increase our compliance costs, may affect sales in such markets, and may result in fines and penalties or reputational harm if we do not fully comply.</w:t>
      </w:r>
    </w:p>
    <w:p>
      <w:pPr>
        <w:spacing w:after="0" w:line="1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to conduct our operations, we regularly move data across national borders (including data related to business, financial, marketing and regulatory matters) and must comply with increasingly complex and rigorous regulatory standards enacted to protect business and personal data in the U.S. and elsewhere. For example, in 2018, the E.U. recently commenced enforcement of the General Data Protection Regulation (the “GDPR”). The GDPR imposes significant additional compliance obligations on companies regarding the handling of personal data and provides certain individual privacy rights to persons whose data is stored. The GDPR grants enforcement powers to certain E.U. regulators including extra-territorial powers in some cases. These enforcement powers allow regulators to conduct investigations and dawn raids, to issue penalties up to the greater of €20 million or 4% of worldwide turnover for the most serious violations, and to require changes to the way that organizations (including the Company) use personal data. Due to the geographic scope of our operations, the GDPR may increase our responsibility and liability in relation to personal data that we process, and we may be required to put in place additional mechanisms to minimize the risk of non-compliance with applicable privacy laws and regulations. Privacy laws such as the GDPR and similar laws and regulations are increasing in complexity and number, change frequently and sometimes conflict. In particular, as the E.U. states reframe their national legislation to harmonize with the GDPR, we will need to monitor compliance with all relevant E.U. member states’ laws and regulations, including where permitted derivations from the GDPR are introduced. Additional laws may be enacted in U.S. states or at the U.S. federal level. Compliance with such existing, proposed, and recently enacted laws and regulations can be costly and may necessitate the review and implementation of policies and processes relating to our collection, security, and use of data. Any failure to comply with these regulatory standards could subject us to legal and reputational risks including proceedings against the Company by governmental entities or others, fines and penalties, or damage to our reputation and credibility and could have a negative impact on our business and results of operations.</w:t>
      </w:r>
    </w:p>
    <w:p>
      <w:pPr>
        <w:spacing w:after="0" w:line="1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we have targeted international markets to generate additional demand for our products. In particular, given the general preference for white chicken meat by U.S. and U.K. consumers, we have targeted international markets for the sale of certain dark chicken meat and parts, such as chicken paws. We have also targeted international markets for excess primary pork cuts and parts, such as hog heads and trotters. As part of this initiative, we have created a significant international distribution network into several markets in Mexico, the Middle East, and Asia. Our success in these markets may be impacted, and in recent periods, has been influenced by disruptions in export markets. A significant risk is disruption due to import restrictions and tariffs, other trade protection measures, and import or export licensing requirements regarding food products imposed by foreign countries.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political or regulatory developments in the jurisdictions in which we sell our products, such as those stemming from the presidential administration in the U.S., are difficult to predict, may create uncertainty, and could impact our business. For example, the implementation of new tariff schemes by various governments, such as those implemented by the U.S. Mexico, European countries, and China in recent years, could increase the costs of our operations and ultimately increase the cost of products sold from one country into another country, or otherwise adversely impact our operations.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disruptions may be caused by outbreaks of diseases—either in our flocks and herds or elsewhere in the world—and resulting border closings or changes in consumer preferences. One or more of these or other disruptions in the international markets and distribution channels could adversely affect our business.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Competition in the chicken and pork industries with other vertically integrated chicken or pork companies may make us unable to compete successfully in this industry, which could adversely affect our business.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Both the chicken and pork industries are highly competitive. In the U.S., Mexico, the U.K., the Republic of Ireland, and continental Europe, we primarily compete with other vertically integrated chicken and pork companies. In general, the competitive factors in these industries include price, product quality, product development, brand identification, breadth of product line and customer service. Competitive factors vary by major market. In the foodservice market, competition is based on consistent quality, product development, service and price. In the U.S. retail market, competition is based on product quality, brand awareness, customer service and price. Further, there is some competition with non-vertically integrated further processors in the prepared chicken business. In the Mexico retail and foodservice markets, where product differentiation has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traditionally been limited, product quality and price have been the most critical competitive factors. In the U.K., the Republic of Ireland, and continental Europe retail and food service markets, key competitive factors include price, delivering consistent levels of the highest quality, service level, and delivering strong innovation. The fresh U.K. and continental Europe market primarily consists of retailer private label products. The U.K. fresh market is primarily sourced from within the U.K., making vertical integration a prerequisite for operating in that market. The U.K. prepared foods market is less exclusively sourced from within the U.K. so vertical integration is less of a consideration, and competition is opened up to other processors; some of whom produce or source from abroad. Our success depends in part on our ability to manage costs and be efficient in the highly competitive poultry and pork industries, and our failure to do so may materially and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Media campaigns related to food production, regulatory and customer focus on sustainability, and recent increased focus and attention by the 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on market dynamics and other facets of the meat processing industry could expose us to additional costs or risks.</w:t>
      </w:r>
    </w:p>
    <w:p>
      <w:pPr>
        <w:spacing w:after="0" w:line="1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Individuals or organizations can use social media platforms to publicize inappropriate or inaccurate stories or perceptions about the food production industry or our company. Such practices could cause damage to the reputations of our company and/or the food production industry in general. This damage could adversely affect our financial results. In addition, regulators, stockholders, customers and other interested parties have focused increasingly on the sustainability practices of companies. This has led to an increase in regulations and may continue to cause us to be subject to additional regulations in the future. Our customers or other interested parties may also require us to implement certain sustainability procedures or standards before doing, or continuing to do, business with us. Also, the U.S. government has increased its focus on market dynamics or other facets of the meat industry. The U.S. government has conducted inquiries related to the meat processing industry on matters such as market pricing and processor relationships with the farming community. This increased attention on sustainability practices and other facets of the meatpacking industry could cause us to incur additional compliance costs, divert management attention from operating our business, impair our access to capital among certain investors, and subject us to litigation risk for disclosures we make and practices we adopt regarding these issues. This in turn could have a material adverse effect on our business, financial condition, and the results of operations.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increasingly dependent on information technology, and our business and reputation could suffer if we are unable to protect our information technology systems against, or effectively respond to, cyber-attacks or other cyber security incidents or breaches, or if our information technology systems are otherwise disrupted.</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proper functioning of our information systems is critical to the successful operation of our business. We rely on information technology networks and systems, including the Internet, to process, transmit, and store electronic and financial information, to manage a variety of business processes and activities, and to comply with regulatory, legal, and tax requirements. We also depend on our information technology infrastructure for digital marketing activities and for electronic communications among our locations, personnel, customers, and suppliers. Although our information systems are protected with robust backup systems, including physical and software safeguards and remote processing capabilities, information systems by their nature are still vulnerable to cyber-attacks, natural disasters, power losses, unauthorized access, telecommunication failures, and other problems. In addition, certain software we use is licensed from, and certain services related to our information systems are provided by, third parties who could choose to discontinue their relationship with us or who could encounter system disruptions or attacks of their own. If critical information systems fail or these systems or related software or services are otherwise unavailable, our ability to process orders, maintain proper levels of inventory, collect accounts receivable, pay expenses, and maintain the security of Company and customer data could be adversely affected. Cyber-attacks and other cyber incidents have been increasing in frequently and continue to evolve in nature and sophistication. We have experienced actual or attempted cyber-attacks and anticipate facing ongoing cybersecurity threats of our information technology systems or networks. To date, none of these actual or attempted cyber-attacks has had a material adverse effect on our operations or financial condition. For example, as disclosed in prior filings, we were the target of an organized cybersecurity attack in 2021 that affected some of the servers supporting our global information technology systems. Our encrypted backup servers allowed for a return to full operation within two days and the loss of food produced was limited to less than one day of production. In total, we incurred a loss of approximately $10.0 million related to the cyber-attack during the second quarter of 2021, which included an allocation of $2.4 million of the total $11.0 million ransom paid by our parent company. However, there can be no assurances that future attacks would not have an adverse effect on our operations of financial condition.</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failure to maintain our cyber-security measures and keep abreast of new and evolving threats may make our systems vulnerable. The rapid evolution and increased adoption of new technologies, such as artificial intelligence, may intensify our cybersecurity risks. The potential consequences of a material cyber-security incident include reputational damage, litigation with third parties, regulatory actions, disruption of plant operations, and increased cyber-security protection and remediation costs. We cannot assure that we will be able to prevent all of the rapidly evolving forms of increasingly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sophisticated and frequent cyber-attacks. Moreover, our efforts to address network security vulnerabilities may not be successful, resulting potentially in the theft, loss, destruction, or corruption of information we store electronically, as well as unexpected interruptions, delays, or cessation of service, any of which could cause harm to our business operations. The vulnerability of our systems and our failure to identify or respond timely to cyber incidents could have an adverse effect on our operations and reputation and expose us to liability or regulatory enforcement 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are subject to general risks of litigation.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involved, on an ongoing basis, in litigation relating to alleged antitrust violations or arising in the ordinary course of business or otherwise. Trends in litigation may include class actions involving consumers, shareholders, employees, or injured persons, and claims relating to commercial, labor, employment, antitrust, securities, or environmental matters. Claims in the future may also arise. For example, in December 2025, President Trump signed an executive order directing the Justice Department and Federal Trade Commission to antitrust investigations across the food supply sector. The long-term impact of this executive order, litigation trends and the outcome of litigation, cannot be predicted with certainty, and adverse litigation trends and outcomes could result in material damages, which could adversely affect our financial condition and results of operations.</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example, between September 2, 2016 and October 13, 2016, a series of purported class action lawsuits were brought against the Company and other defendants by and on behalf of direct and indirect purchasers of broiler chickens alleging violations of antitrust and unfair competition laws. The complaints sought, among other relief, treble damages for an alleged conspiracy among defendants to reduce output and increase prices of broiler chickens from the period of January 2008 to 2019. For additional information on this and other litigation matters, see Part II, Item 8, Notes to Consolidated Financial Statements, “Note 21. Commitments and Contingencies” in this annual report. The outcome of the litigation matters involving the Company remains uncertain. Adverse actions, judgments, or settlements have previously and could result in materially adverse monetary damages, fines, penalties, or injunctive relief against the Company. Any claims or litigation, even if fully indemnified or insured, could damage the Company’s reputation and make it more difficult to compete effectively or to obtain adequate insurance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successfully integrate the operations of companies we acquire or benefit from growth opportunities.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continue to pursue selective acquisitions of complementary businesses, such as Pilgrim’s Food Masters, which we acquired in 2021. Inherent in any future acquisitions are certain risks such as increasing leverage and debt service requirements and combining company cultures and facilities, which could have a material adverse effect on our operating results, particularly during the period immediately following such acquisitions. Additional debt or equity capital may be required to complete future acquisitions, and there can be no assurance that we will be able to raise the required capital. These opportunities may expose us to successor liability relating to actions involving any acquired entities, their respective management or contingent liabilities incurred prior to our involvement and may expose us to liabilities associated with ongoing operations, in particular to the extent we are unable to adequately and safely manage such acquired operations. A material liability associated with these types of opportunities or our failure to successfully integrate any acquired entities into our business could have a material adverse effect on us.</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successfully integrate any growth opportunities we may undertake in the future or successfully implement appropriate operational, financial and administrative systems and controls to achieve the benefits that we expect to result therefrom. These risks include: (1) failure of the acquired entities to achieve expected results; (2) possible inability to retain or hire key personnel of the acquired entities; and (3) possible inability to achieve expected synergies and/or economies of scale. In addition, the process of integrating businesses could cause interruption of, or loss of momentum in, the activities of our existing business. The diversion of our management’s attention, the lack of experience in operating in the geographical market of the acquired business and any delays or difficulties encountered in connection with the integration of these businesses could adversely affect our business,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consolidation of customers and/or the loss of one or more of our largest customers could adversely affect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such as supermarkets, warehouse clubs and food distributors, have consolidated in recent years, and consolidation is expected to continue throughout the U.S. and in other major markets. These consolidations have produced large, sophisticated customers with increased buying power who are more capable of operating with reduced inventories, opposing price increases, and demanding lower pricing, increased promotional programs and specifically tailored products. These customers also may use shelf space currently used for our products for their own private label products. Because of these trends, our volume growth could slow or we may need to lower prices or increase promotional spending for our products, any of which could adversely affect our financial results.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two largest customers together accounted for approximately 16.8% of our consolidated net sales in 2025. Our business could suffer significant setbacks in revenues and operating income if we lost one or more of our largest customers, or if our customers’ plans and/or markets should change significantly.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contract growers and independent producers to supply us with livestock.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contract primarily with independent contract growers to raise the live chickens and pigs processed in our operations. If we do not attract and maintain contracts with growers or maintain marketing and purchasing relationships with independent producers, our production operations could be negatively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consumer preference could negatively impact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food industry in general is subject to changing consumer trends, demands and preferences. Trends within the food industry can shift frequently, and failure to identify and respond to these trends could lead to, among other things, reduced demand and price reductions for our products, and could have an adverse effect on our financial results. For example, consumer concerns related to human health, climate change, resource conservation and animal welfare of animal-based protein sources have contributed to consumer interest in plant-based protein sources. Because we primarily produce chicken and pork products, we may be limited in our ability to respond to changes in consumer preferences towards other animal-based proteins or away from animal-based proteins entirely.</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strive to respond to consumer preferences and expectations, but there is no assurance that our efforts will be successful. We could be adversely affected if consumers lose confidence in the quality of certain food products or ingredients. Prolonged negative perceptions of certain food products or ingredients could influence consumer preferences and acceptance of some of our products and marketing programs. Prolonged negative perceptions of specific food products or ingredients could materially and adversely affect our product sales, financial condition and results of operations. Our Pilgrim’s Food Masters business has a number of well-recognized brands with significant market presence. While we have recently made efforts to increase the market share of our Just Bare® and Pilgrim’s® brands in the U.S. market, maintaining and enhancing the value of these brands is a priority for our business. Brand value is based in large part on consumer perceptions. Success in promoting and enhancing brand value depends in large part on our ability to provide high-quality products. Brand value may be impacted by a number of factors, including consumer perception that we have acted in an irresponsible manner, adverse publicity about our products (whether or not valid), our failure to maintain the quality of our products, the failure of our products to deliver consistently positive consumer experiences or the products becoming unavailable to consumers.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related regulations may have a long-term adverse impact on our business and results of operations.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global average temperatures are gradually increasing, which is likely due to increased concentration of carbon dioxide and other greenhouse gases in the atmosphere, which may contribute to significant changes in weather patterns around the globe and an increase in the frequency and severity of natural disasters. Decreased agricultural productivity in certain regions of the world as a result of changing weather patterns may limit the availability or increase the cost of key agricultural commodities and natural resources, as well as raw materials such as corn, soybean meal and other feed ingredients, which are important sources of ingredients for our products, and could impact the food security of communities around the world. Increased frequency or duration of extreme weather conditions could also impair production capabilities, disrupt our supply chain or impact demand for our products. Concern over climate change also may adversely impact demand for our products due to changes in consumer preferences and result in additional legal or regulatory requirements designed to reduce or mitigate the effects of carbon dioxide and other greenhouse gas emissions on the environment. In addition, climate change could affect our ability to procure needed commodities at reasonable costs and in quantities we currently experience and may require us to make additional unplanned capital expenditures. Increased energy or compliance costs and expenses due to increased legal or regulatory requirements could be prohibitively costly and may cause disruptions in, or an increase in, the costs associated with, the running of our production facilities. The effects of climate change and legal or regulatory initiatives to address climate change could have a long-term adverse impact on our business and results of operations. We currently have outstanding Senior Notes that are linked to our achievement of targeted reductions in Scope 1 and 2 greenhouse gas emissions intensity by 2025. If we fail to meet these targeted reductions in 2025, the interest rate applied to these Senior Notes will increase. Finally, from time to time we establish, assess, and publicly announce aspirations to reduce our carbon footprint. If we fail to achieve or accurately report on our progress toward achieving our carbon emissions reduction goals and targets, we could be subject to lawsuits, investigations, government actions, or other claims made by public or private entities, each of which could have a material impact on our business, financial condition, results of operations and prospects. In addition, the resulting negative publicity from any such allegations could adversely affect consumer preference for our products.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present and future, are constant factors affecting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and are expected to remain affected by federal, state and local governmental legislation and regulation, including in the health, safety and environmental areas. Changes in laws or regulations or the application thereof regarding areas such as wage and hour and environmental compliance may lead to government enforcement actions and potential litigation by private litigants. In addition, new laws and regulations, unforeseen developments, or stricter interpretations of existing laws or regulations may also materially affect our business or operations in the future. For example, the USDA amended the Packers and Stockyards Act to require new disclosures that live poultry dealers must provide to contract growers.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Immigration</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Immigration reform continues to attract significant attention in the public arena and the U.S. Congress. Despite our past and continuing efforts to hire only U.S. citizens and/or persons legally authorized to work in the U.S., we cannot guarantee that all of our employees and contractors are persons legally authorized to work in the U.S. There is no certainty that enforcement efforts by governmental authorities will not disrupt a portion of our workforce or operations at one or more facilities, which could negatively impact our business. For example, we have historically increased headcounts in certain facilities to avoid disruptions to our operations. Also, no assurance can be given that further enforcement efforts by governmental authorities will not result in the assessment of fines or other increases in cash outlays that could adversely affect our financial position, operating results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pertaining to the protection of the environment, including those relating to the discharge of materials into the environment, the handling, treatment and disposal of wastes, and the remediation of soil and groundwater contamination. Certain regulations have become increasingly stringent over time. Failure to comply with these requirements may result in criminal as well as civil and administrative penalties, claims for property damage, personal injury and damage to natural resources. Additionally, adverse publicity could arise from regulatory actions. Compliance with existing or changing environmental requirements, including potentially more stringent limitations imposed or expected to be imposed in recently-renewed or soon to be renewed environmental permits, may require capital expenditures for installation of new or upgraded pollution control equipment at some of our facilities.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Operations at many of our facilities involve the treatment and disposal of wastewater, stormwater and agricultural and food processing wastes, the use and maintenance of refrigeration systems, including ammonia-based chillers, noise, odor and dust management, the operation of mechanized processing equipment, and other operations that potentially could affect the environment, health and safety. Some of our facilities have been operating for many years were built before current environmental standards were imposed, and/or are in areas that have recently experienced increased residential and commercial development pressures. Failure to comply with current and future applicable environmental, health and safety standards could result in fines and penalties, and we have previously been subject to such sanctions. We are upgrading wastewater treatment facilities at a number of these locations, either pursuant to consent agreements with regulatory authorities or on a voluntary basis in anticipation of future permit requirements.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past, we have acquired businesses with operations such as pesticide and fertilizer production that involved greater use of hazardous materials and generation of more hazardous wastes than our current operations. While many of those operations have been sold or closed, some environmental laws impose strict and, in certain circumstances, joint and several liability for costs of investigation and remediation of contaminated sites on current and former owners and operators of the sites, and on persons who arranged for disposal of wastes at such sites. In addition, current owners or operators of such contaminated sites may seek to recover cleanup costs from us based on past operations or contractual indemnifications.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have from time to time had incidents at our plants involving worker health and safety. These have included ammonia releases due to mechanical failures in chiller systems and worker injuries and fatalities involving processing equipment and vehicle accidents. We have taken preventive measures in response; however, we can make no assurance that similar incidents will not arise in the future. New environmental, health and safety requirements, stricter interpretations of existing requirements, or obligations related to the investigation or clean-up of contaminated sites, may materially affect our business or operations in the future.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number of anti-corruption laws, including the U.S. Foreign Corrupt Practices Act (“FCPA”) and the U.K. Bribery Act (“UKBA”). The FCPA and similar anti-bribery laws generally prohibit companies and their intermediaries from making improper payments or improperly providing anything of value to foreign officials, directly or indirectly, for the purpose of obtaining or keeping business and/or other benefits. Some of these laws have legal effect outside the jurisdictions in which they are adopted under certain circumstances. The FCPA also requires maintenance of adequate record-keeping and internal accounting practices to accurately reflect transactions. Under the FCPA, companies operating in the U.S. may be held liable for actions taken by their strategic or local partners or representatives.</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UKBA is broader in scope than the FCPA in that it directly prohibits commercial bribery (i.e. bribing individuals or organizations other than government officials) in addition to bribery of government officials and it does not recognize certain exceptions, notably for facilitation payments, that are permitted by the FCPA. The UKBA also has wide jurisdiction. It covers any offense committed in the U.K., but proceedings can also be brought if a person who has a close connection with the U.K. commits the relevant acts or omissions outside the U.K. It defines a person with a close connection to include British citizens, individuals ordinarily resident in the U.K. and bodies incorporated in the U.K. The UKBA also provides that any organization that conducts part of its business in the U.K., even if it is not incorporated in the U.K., can be prosecuted for the corporate offense of failing to prevent bribery by an associated person, even if the bribery took place entirely outside the U.K. and the associated person had no connection with the U.K.</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jurisdictions in which we operate have adopted similar anti-corruption, anti-bribery and anti-kickback laws to which we are subject. Civil and criminal penalties may be imposed for violations of these laws.</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Despite our ongoing efforts to ensure compliance with the FCPA, the UKBA and similar laws, there can be no assurance that our directors, officers, employees, agents, third-party intermediaries and the companies to which we outsource certain of our business operations, have previously complied or will comply with those laws and our anti-corruption policies or that our compliance program will be sufficient to prevent or detect bribery, and we may be ultimately held responsible for any such non-compliance. If we or our directors or officers violate anti-corruption laws or other laws governing the conduct of business with government entities (including local laws), we or our directors or officers may be subject to criminal and civil penalties or other remedial measures, which could harm our reputation and have a material adverse impact on our business, financial condition, results of operations and prospects. Any actual or alleged violations of such laws could also harm our reputation or have an adverse impact on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Employment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performance depends on favorable labor relations with our employees and our compliance with labor laws. Any deterioration of those relations or increase in labor costs due to our compliance with labor laws could adversely affect our business.</w:t>
      </w:r>
    </w:p>
    <w:p>
      <w:pPr>
        <w:spacing w:after="0" w:line="10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As of December 28, 2025, we employed approximately 63,000 persons. Approximately 35% of our workforce are covered by a collective bargaining agreement. Substantially all employees covered under collective bargaining agreements are covered under agreements that expire in 2025 or later. We have not experienced any labor-related work stoppage at any location in over ten years. We believe our relationship with our employees and union leadership is satisfactory. At any given time, we will likely be in some stage of contract negotiations with various collective bargaining units. In the absence of an agreement, we may become subject to labor disruption at one or more of these locations, which could have an adverse effect on our financial results.</w:t>
      </w:r>
    </w:p>
    <w:p>
      <w:pPr>
        <w:spacing w:after="0" w:line="1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 of skilled employees, labor shortages, or a material increase in employee turnover could have a significant negative impact on our business and adverse effects on our profitability.</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rely on an adequate supply of skilled employees at our processing and food facilities. Trained and experienced personnel in our industry are in high demand, and we and our third-party vendors have experienced high turnover and difficulty retaining employees with appropriate training and skills. This has led to, and could in the future continue to lead to, increased costs, such as increased overtime to meet demand and increased wage rates to attract and retain employees, and could negatively affect our ability to efficiently operate our production facilities or otherwise operate at full capacity or result in downtime of our production facilities. Several factors have had and may continue to have adverse effects on the labor force available to us and our third-party vendors, including immigration laws and government regulations, which include laws and regulations related to workers; health and safety, wage, and hour practices and work authorization. While our industry generally operates with high employee turnover, any material increases in employee turnover rates or any widespread employee dissatisfaction could also have a material adverse effect on our business,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attract, hire or retain key team members, it could have a negative impact on our business, financial condition or results of operations.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continued growth requires us to attract, hire, retain and develop key team members, including our executive officers and senior management team, and maintain a highly skilled and diverse global workforce at such levels. We compete to attract and hire highly skilled team members and our own team members are highly sought after by our competitors and other companies. Competition could cause us to lose talented team members, and unplanned turnover could deplete our institutional knowledge and result in increased costs due to increased competition for team members. In addition, our compensation arrangements may not always be successful in attracting new employees or retaining our existing team members. The loss of the services of one or more members of our senior management or of similarly positioned employees with essential skills could have a negative effect on our business, financial condition and results of operations. If we are not able to retain or attract talented, committed individuals to fill vacant positions when needs arise, it may also adversely affect our ability to achieve our business objectives.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and Financial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JBS USA beneficially owns a majority of our common stock and has the ability to control the vote on most matters brought before the holders of our common stock.</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JBS USA Food Company Holdings (“JBS USA Holdings”) beneficially and indirectly owns a majority of the shares and voting power of our common stock and is entitled to appoint a majority of the members of our Board of Directors. As a result, subject to restrictions on voting power and actions in the Stockholders Agreement with JBS USA Holding Lux S.a.r.l. and our organization documents, JBS USA Holdings has the ability to control our management, policies and financing decisions, elect a majority of the members of our Board of Directors at the annual meeting and control the vote on most matters coming before the holders of our common stock. Under the Stockholders Agreement, and through its parent entity, JBS USA Holding Lux S.a.r.l., JBS USA Holdings has the ability to elect up to eight members of our Board of Directors and the other holders of our common stock have the ability to elect up to two members of our Board of Directors. Moreover, our ultimate controlling shareholders may serve as members of our Board of Directors or as members of the board of directors or other senior management positions at any JBS companies.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JBS USA Holdings may have interests that are different from other shareholders and may vote in a way that may be adverse to our other shareholders’ interests. JBS USA Holdings’ concentration of ownership could also have the effect of delaying or preventing a change in control or otherwise discouraging a potential acquirer from attempting to obtain control of us, which could cause the market price of our common stock to decline or prevent our shareholders from realizing a premium over the market price for their common stock.</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reputational risk in connection with U.S. and Brazilian civil and criminal actions and investigations involving our ultimate controlling shareholders, and these actions may materially adversely impact our business and prospects and damage our reputation and image.</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disclosed in our Proxy Statement filed in April 2024, in 2017, our ultimate controlling shareholders (Wesley Mendonça Batista and Joesley Mendonça Batista), among others, entered into collaboration agreements with the Brazilian Attorney General’s Office (</w:t>
      </w:r>
      <w:r>
        <w:rPr>
          <w:rFonts w:ascii="Times New Roman" w:cs="Times New Roman" w:eastAsia="Times New Roman" w:hAnsi="Times New Roman"/>
          <w:sz w:val="18"/>
          <w:szCs w:val="18"/>
          <w:i w:val="1"/>
          <w:iCs w:val="1"/>
          <w:color w:val="auto"/>
        </w:rPr>
        <w:t>Procuradoria-Geral 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República</w:t>
      </w:r>
      <w:r>
        <w:rPr>
          <w:rFonts w:ascii="Times New Roman" w:cs="Times New Roman" w:eastAsia="Times New Roman" w:hAnsi="Times New Roman"/>
          <w:sz w:val="18"/>
          <w:szCs w:val="18"/>
          <w:color w:val="auto"/>
        </w:rPr>
        <w:t>) (the “Collaboration Agreements”), and J&amp;F Investimentos S.A., a corporation (</w:t>
      </w:r>
      <w:r>
        <w:rPr>
          <w:rFonts w:ascii="Times New Roman" w:cs="Times New Roman" w:eastAsia="Times New Roman" w:hAnsi="Times New Roman"/>
          <w:sz w:val="18"/>
          <w:szCs w:val="18"/>
          <w:i w:val="1"/>
          <w:iCs w:val="1"/>
          <w:color w:val="auto"/>
        </w:rPr>
        <w:t>sociedade por ações</w:t>
      </w:r>
      <w:r>
        <w:rPr>
          <w:rFonts w:ascii="Times New Roman" w:cs="Times New Roman" w:eastAsia="Times New Roman" w:hAnsi="Times New Roman"/>
          <w:sz w:val="18"/>
          <w:szCs w:val="18"/>
          <w:color w:val="auto"/>
        </w:rPr>
        <w:t>) incorporated under the laws of Brazil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by our ultimate controlling shareholders (“J&amp;F”), on behalf of itself and its subsidiaries, entered into a leniency agreement with the Brazilian Federal Prosecution Office (</w:t>
      </w:r>
      <w:r>
        <w:rPr>
          <w:rFonts w:ascii="Times New Roman" w:cs="Times New Roman" w:eastAsia="Times New Roman" w:hAnsi="Times New Roman"/>
          <w:sz w:val="18"/>
          <w:szCs w:val="18"/>
          <w:i w:val="1"/>
          <w:iCs w:val="1"/>
          <w:color w:val="auto"/>
        </w:rPr>
        <w:t>Ministério Público Federal</w:t>
      </w:r>
      <w:r>
        <w:rPr>
          <w:rFonts w:ascii="Times New Roman" w:cs="Times New Roman" w:eastAsia="Times New Roman" w:hAnsi="Times New Roman"/>
          <w:sz w:val="18"/>
          <w:szCs w:val="18"/>
          <w:color w:val="auto"/>
        </w:rPr>
        <w:t>) (the “Leniency Agreement”) following disclosures of illicit payments made to Brazilian politicians from 2009 to 2015. Pursuant to the Leniency Agreement, J&amp;F agreed to pay a fine of R$8.0 billion and contribute an additional R$2.3 billion to social projects in Brazil, each adjusted for inflation, over a 25-year period. The total fine was subsequently reduced to R$3.5 billion (equivalent to approximately US$630 million, converted using the foreign exchange rate as of June 30, 2024). In December 2023, the Brazilian Supreme Court (</w:t>
      </w:r>
      <w:r>
        <w:rPr>
          <w:rFonts w:ascii="Times New Roman" w:cs="Times New Roman" w:eastAsia="Times New Roman" w:hAnsi="Times New Roman"/>
          <w:sz w:val="18"/>
          <w:szCs w:val="18"/>
          <w:i w:val="1"/>
          <w:iCs w:val="1"/>
          <w:color w:val="auto"/>
        </w:rPr>
        <w:t>Supremo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Tribunal Federal</w:t>
      </w:r>
      <w:r>
        <w:rPr>
          <w:rFonts w:ascii="Times New Roman" w:cs="Times New Roman" w:eastAsia="Times New Roman" w:hAnsi="Times New Roman"/>
          <w:sz w:val="18"/>
          <w:szCs w:val="18"/>
          <w:color w:val="auto"/>
        </w:rPr>
        <w:t>) justice overseeing the case suspended J&amp;F’s obligation to make additional installment payments under the Leniency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 petition from J&amp;F that cited potential misconduct by enforcement authorities in connection with entering into the Leniency Agreement. Notwithstanding the suspension of the fine, the Leniency Agreement otherwise remains in effect.</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2020, J&amp;F, JBS S.A., and our ultimate controlling shareholders (collectively, the “Respondents”) also entered into a settlement with the U.S. Securities and Exchange Commission (the “SEC”) relating to the circumstances and payments that were the subject of the Collaboration Agreements and Leniency Agreement. Pursuant to the SEC settlement and related order, the Respondents undertook, among other things, to improve anti-bribery and anti-corruption compliance programs, make progress reports to the SEC, and pay disgorgement and civil penalties. JBS S.A. was ordered to pay disgorgement to the SEC in the amount of US$26.9 million, and each of our ultimate controlling shareholders was ordered to pay a civil penalty of US$550,000, each of which payment has been made in full.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Also in 2020, J&amp;F reached a plea agreement with the Department of Justice (the “DOJ”) in which J&amp;F pled guilty to one count of conspiracy to violate the FCPA in relation to the circumstances and payments that were the subject of the Collaboration Agreements and Leniency Agreement and agreed to pay a criminal penalty of US$256.5 million, payable in two installments of approximately US$128.2 million each. J&amp;F paid US$128.2 million to the U.S. government, and the balance was considered to have been offset by payments made by J&amp;F to Brazilian authorities under the Leniency Agreement. The DOJ plea agreement also required J&amp;F to implement a compliance program and improve its internal policies and to make progress and other reports to the DOJ. Since 2017, JBS S.A. and J&amp;F have implemented numerous and material changes to their anti-corruption compliance policies intended to detect and prevent illicit payments and conduct throughout their operations, including the introduction of new policies and practices and the hiring of experienced professionals who have a track record of building effective compliance programs. In addition, the terms of the above-referenced agreements with Brazilian authorities, the SEC and the DOJ provide strong disincentives to any violation of their terms. Our management and leadership teams are strongly committed to operating our business in compliance with anti-corruption principles and law. However, no assurance can be given that new and improved policies, practices and personnel will be effective to detect or prevent illicit activities in all cases.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above-mentioned matters, the reputation of JBS USA Holdings, our ultimate controlling shareholders and JBS S.A. has suffered and may continue to suffer. Although we and, to our knowledge, our ultimate controlling shareholders and their affiliates are currently in compliance with our and their respective obligations under the Brazilian Collaboration Agreements and Leniency Agreement, the SEC order and the DOJ plea agreement, and while we understand that these agreements resolved the Brazilian and U.S. criminal legal exposure of JBS S.A, J&amp;F and our ultimate controlling shareholders related to the illicit conduct that was the subject of these agreements, any breach of any of the obligations under these agreements could result in negative publicity that could have a material adverse effect on our reputation and the reputation of our ultimate controlling shareholders. In addition, to the extent any negative reputational impact of these events continues into the future, if pending investigations and proceedings are not resolved favorably to JBS S.A. and our ultimate controlling shareholders, or if future events or actions give rise to new investigations, allegations or proceedings involving us, our ultimate controlling shareholders or affiliates, our reputation and our ability to execute our business strategies, enter into beneficial transactions, partnerships or acquisitions, may be materially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financial and operating flexibility may be adversely affected by significant leverage.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 consolidated basis, as of December 28, 2025, we had approximately $3.1 billion of unsecured indebtedness and had the ability to borrow approximately $1.1 billion under our credit agreements. Significant amounts of cash flow would be necessary to make payments of interest and repay the principal amount of such indebtedness. The degree to which we are leveraged could have important consequences because (1) it could affect our ability to satisfy our obligations under our credit agreements, (2) a substantial portion of our cash flow from operations is required to be dedicated to interest and principal payments and may not be available for operations, working capital, capital expenditures, expansion, acquisitions or general corporate or other purposes, (3) our ability to obtain additional financing and to fund working capital, capital expenditures and other general corporate requirements in the future may be impaired; (4) we may be more highly leveraged than some of our competitors, which may place us at a competitive disadvantage, (5) our flexibility in planning for, or reacting to, changes in our business may be limited, (6) it may limit our ability to pursue acquisitions and sell assets and (7) it may make us more vulnerable in the event of a continued or new downturn in our business or the economy in general.</w:t>
      </w:r>
    </w:p>
    <w:p>
      <w:pPr>
        <w:spacing w:after="0" w:line="13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debt, including our credit facilities, would depend on our ability to generate cash in the future. This, to a certain extent, is subject to various business factors (including, among others, the commodity prices of feed ingredients, chicken and pork) and general economic, financial, competitive, legislative, regulatory, and other factors that are beyond our control.</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generate sufficient cash flow from operations or that future borrowings will be available under our credit facilities in an amount sufficient to enable us to pay our debt obligations, including obligations under our credit facilities, or to fund our other liquidity needs. We may need to refinance all or a portion of their debt on or before maturity. There can be no assurance that we will be able to refinance any of their debt on commercially reasonable terms or at all.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in the carrying value of goodwill or other identifiable intangible assets could negatively affect our operating results.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significant amount of goodwill and identifiable intangible assets on our Consolidated Balance Sheets. Under the accounting principles generally accepted in the U.S. (“U.S. GAAP”), goodwill and other identifiable intangible assets with indefinite lives must be evaluated for impairment annually or more frequently if events indicate it is warranted. If the carrying value of our reporting units exceeds their current fair value as determined based on the discounted future cash flows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related business, the goodwill is considered impaired and is reduced to fair value by a non-cash charge to earnings. For indefinite-lived intangible assets, an impairment loss is recognized if the carrying amount of an indefinite-lived intangible asset exceeds the estimated fair value of that intangible asset. Identified intangible assets with definite lives are tested for recoverability whenever events or changes in circumstances indicate that their carrying amount may not be recoverable. Events and conditions that could result in impairment in the value of our goodwill and other identifiable intangible assets include changes in the industry in which we operate, particularly the impact of a downturn in the global economy or the economies of geographic regions or countries in which we operate, as well as competition, adverse changes in the regulatory environment, or other factors leading to reduction in expected long-term sales or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 or unstable national or global economic conditions, including inflation, could negatively impact our business.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may be adversely affected by:</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or volatile national or global economic conditions, including inflation;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currency exchange rates and interest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availability of credit on reasonable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access to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rates and habits;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and underemployment;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tight energy supply and high energy costs.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could be negatively affected if efforts and initiatives of the governments of the United States and other countries to manage and stimulate the economy fail or result in worsening economic conditions. Deteriorating economic conditions could negatively affect consumer demand for protein generally or our products specifically, consumers’ ability to afford our products, consumer habits with respect to how they spend their food dollars, and the cost and availability of raw materials we need.</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Disruptions in credit and other financial markets caused by deteriorating or weak national and international economic conditions could, among other things:</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our customers or our growers or prospective growers to obtain financing and credit on reasonable terms;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lenders to change their practice with respect to the industry generally or our company specifically in terms of granting credit extensions and terms;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financial condition of our customers, suppliers or growers making it difficult for them to meet their obligations and supply raw material;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financial condition of our insurers, making it difficult or impossible for them to meet their obligations to us.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negatively impacted by economic or other consequences from Russia’s war against Ukraine and the sanctions imposed as a response to that action.</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face continued risks related to the ongoing Russia-Ukraine war that began in February 2022. The war’s impact on the global feed ingredient and energy markets continues to be less pronounced than during the initial onset of the war, but there remain many risks and uncertainties that may and have impacted global markets. The impacts have included and may continue to include, but are not limited to, higher prices for commodities, such as food products, ingredients and energy products, increasing inflation in some countries, riskier futures prices, disrupted trade and supply chains, and increased pressure on the supply of feed ingredients and energy products.</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also an ongoing risk of a cyber-attack as a result of the ongoing conflict, although we have not to date seen any new or heightened risk of such potential attacks.</w:t>
      </w:r>
    </w:p>
    <w:p>
      <w:pPr>
        <w:spacing w:after="0" w:line="10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Extreme weather, natural disasters or other events beyond our control as well as interruption by man-made problems such as power disruptions could negatively impact our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Bioterrorism, fire, pandemic, extreme weather or natural disasters, including droughts, floods, tornados, excessive cold or heat, hurricanes or other storms, could impair the health or growth of our flocks, production or availability of feed ingredients, or interfere with our operations due to power outages, fuel shortages, damage to our production and processing facilities or disruption of transportation channels, among other things. Any of these factors could have an adverse effect on our operations or financial results. Moreover, climate change, including the impact of global warming, may contribute to risks including extreme weather events and adverse impacts on agricultural production, as well as potential regulatory compliance risks, all of which could have a material adverse effect on our results of operations, financial condition and liquidity.</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power outage could have a material adverse impact on our business, results of operations, and financial condition. Although we maintain incident management and disaster response plans, in the event of a major disruption caused by a man-made problem such as a power disruption,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 of artificial intelligence and machine learning may result in legal and regulatory risks.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currently have limited use cases for artificial intelligence, to the extent we use technology more broadly in the future, its use entails significant legal risks, including the breach of a data or software license, website terms of service claims, claimed violations of privacy rights or other tort claims. The regulatory landscape surrounding artificial intelligence is also evolving, and expanded use of machine learning technologies may become subject to regulation under new laws or new applications of existing laws. Compliance with these regulations may increase costs, and violations of these laws and regulations could result in fines and penalties, criminal sanctions against us, our officers or our employees, prohibitions on the conduct of our business, and damage to our reputation.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robust cybersecurity infrastructure to safeguard our operations, networks and data through comprehensive security measures including our technology tools, internal management and external service providers.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Chief Information Officer (“CIO”) is responsible for assessing, identifying, and managing the risks from cybersecurity threats. Our CIO has significant experience in information technology and many of our information technology team members hold qualifications in technology security positions. We maintain a cross-functional Cybersecurity Committee, as well as a Global Security Committee consisting of the information technology professionals and security managers from each country in which we have operations.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both policies and procedures that align with the National Institute of Standards and Technology Cybersecurity Framework. Our information security program includes, among other aspects, vulnerability management, antivirus and malware protection, encryption and access control, and employee training. Our CIO, together with our Global Security Committee, reviews emerging threats, controls, and procedures as part of assessing, identifying, and managing risks. Risks identified by our cybersecurity program are analyzed to determine the potential impact on us and the likelihood of occurrence. Such risks are continuously monitored to ensure that the circumstances and severity of such risks have not changed.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endeavor to apprise employees of emerging risks and require them to undergo regular security awareness trainings and supplemental trainings as needed. Additionally, we conduct periodic internal exercises to gauge the effectiveness of the trainings and assess the need for additional training.</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least annually, we engage independent third-party cybersecurity providers for testing and vulnerability detection. We regularly engage with third-party vendors to perform external penetration testing, which identifies potential threats and reduces the impact and/or likelihood of these threats. Our employees perform similar intrusion tests and internal and external scans to help improve and harden the company’s security posture. We also conduct security assessments of our IT vendors and certain business partners and maintain cyber incident response plans that are periodically reviewed and updated by our IT Security and Cyber Defense Teams and leveraged table top exercised performed by our IT teams. The incident response plan ties into our Cybersecurity Committee processes for review to ensure the required reporting of material incidents to the Board of Directors, as applicable.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primarily through the Audit Committee, oversees management’s approach to managing cybersecurity risks as part of its risk management oversight. The Audit Committee holds discussions at least annually with management regarding the Company’s guidelines and policies with respect to cybersecurity risks and receives regular reports from the CIO regarding such risks and the steps management has taken to monitor and control any exposure resulting from such risks.</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Computer viruses, hackers, and employee or vendor misconduct, and other external hazards could expose our data systems and those of our vendors to security breaches, cybersecurity incidents or other disruptions, any of which could materially and adversely affect our ability to conduct our business. The sophistication of cybersecurity threats continues to increase, and the controls and preventative actions we take to reduce the risk of cybersecurity incidents and protect our systems, including the regular testing of our cybersecurity incident response plan, may be insufficient. In addition, new technology that could result in greater operational efficiency may further expose our computer systems to the risk of cybersecurity incidents. While we have experienced cybersecurity incidents, to date, we are not aware of any risks from cybersecurity threats that have materially affected or are reasonably likely to materially affect our business strategy, results of operations, or financial condition.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more information, see “Item 1A. Risk Factors - We are increasingly dependent on information technology, and our business and reputation could suffer if we are unable to protect our information technology systems against, or effectively respond to, cyber-attacks or other cyber security incidents or breaches, or if our information technology systems are otherwise disrupted.”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Facilities</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Our main operating facilities are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Number of Facilities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Capacity</w:t>
            </w:r>
            <w:r>
              <w:rPr>
                <w:rFonts w:ascii="Times New Roman" w:cs="Times New Roman" w:eastAsia="Times New Roman" w:hAnsi="Times New Roman"/>
                <w:sz w:val="18"/>
                <w:szCs w:val="18"/>
                <w:b w:val="1"/>
                <w:bCs w:val="1"/>
                <w:color w:val="auto"/>
                <w:vertAlign w:val="superscript"/>
              </w:rPr>
              <w:t>(a)</w:t>
            </w:r>
          </w:p>
        </w:tc>
        <w:tc>
          <w:tcPr>
            <w:tcW w:w="1540" w:type="dxa"/>
            <w:vAlign w:val="bottom"/>
          </w:tcPr>
          <w:p>
            <w:pPr>
              <w:spacing w:after="0"/>
              <w:rPr>
                <w:sz w:val="2"/>
                <w:szCs w:val="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Capacity</w:t>
            </w: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gridSpan w:val="2"/>
            <w:vMerge w:val="continue"/>
          </w:tcPr>
          <w:p>
            <w:pPr>
              <w:spacing w:after="0"/>
              <w:rPr>
                <w:sz w:val="10"/>
                <w:szCs w:val="10"/>
                <w:color w:val="auto"/>
              </w:rPr>
            </w:pPr>
          </w:p>
        </w:tc>
        <w:tc>
          <w:tcPr>
            <w:tcW w:w="15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Unit of Measure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Utilization</w:t>
            </w:r>
          </w:p>
        </w:tc>
        <w:tc>
          <w:tcPr>
            <w:tcW w:w="0" w:type="dxa"/>
            <w:vAlign w:val="bottom"/>
          </w:tcPr>
          <w:p>
            <w:pPr>
              <w:spacing w:after="0"/>
              <w:rPr>
                <w:sz w:val="1"/>
                <w:szCs w:val="1"/>
                <w:color w:val="auto"/>
              </w:rPr>
            </w:pPr>
          </w:p>
        </w:tc>
      </w:tr>
      <w:tr>
        <w:trPr>
          <w:trHeight w:val="194"/>
        </w:trPr>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Chicken Operations:</w:t>
            </w: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Fresh processing facilities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 million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Birds per day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94.7 %</w:t>
            </w:r>
          </w:p>
        </w:tc>
        <w:tc>
          <w:tcPr>
            <w:tcW w:w="0" w:type="dxa"/>
            <w:vAlign w:val="bottom"/>
          </w:tcPr>
          <w:p>
            <w:pPr>
              <w:spacing w:after="0"/>
              <w:rPr>
                <w:sz w:val="1"/>
                <w:szCs w:val="1"/>
                <w:color w:val="auto"/>
              </w:rPr>
            </w:pPr>
          </w:p>
        </w:tc>
      </w:tr>
      <w:tr>
        <w:trPr>
          <w:trHeight w:val="213"/>
        </w:trPr>
        <w:tc>
          <w:tcPr>
            <w:tcW w:w="4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Prepared foods facilities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536,934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Tons per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84.6 %</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Hatcheries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 billion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Eggs per year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91.7 %</w:t>
            </w:r>
          </w:p>
        </w:tc>
        <w:tc>
          <w:tcPr>
            <w:tcW w:w="0" w:type="dxa"/>
            <w:vAlign w:val="bottom"/>
          </w:tcPr>
          <w:p>
            <w:pPr>
              <w:spacing w:after="0"/>
              <w:rPr>
                <w:sz w:val="1"/>
                <w:szCs w:val="1"/>
                <w:color w:val="auto"/>
              </w:rPr>
            </w:pPr>
          </w:p>
        </w:tc>
      </w:tr>
      <w:tr>
        <w:trPr>
          <w:trHeight w:val="216"/>
        </w:trPr>
        <w:tc>
          <w:tcPr>
            <w:tcW w:w="408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operation facilities</w:t>
            </w:r>
            <w:r>
              <w:rPr>
                <w:rFonts w:ascii="Times New Roman" w:cs="Times New Roman" w:eastAsia="Times New Roman" w:hAnsi="Times New Roman"/>
                <w:sz w:val="21"/>
                <w:szCs w:val="21"/>
                <w:color w:val="auto"/>
                <w:vertAlign w:val="superscript"/>
              </w:rPr>
              <w:t>(b)</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Tons per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Grain elevator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 million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Bushels per year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0" w:type="dxa"/>
            <w:vAlign w:val="bottom"/>
          </w:tcPr>
          <w:p>
            <w:pPr>
              <w:spacing w:after="0"/>
              <w:rPr>
                <w:sz w:val="1"/>
                <w:szCs w:val="1"/>
                <w:color w:val="auto"/>
              </w:rPr>
            </w:pPr>
          </w:p>
        </w:tc>
      </w:tr>
      <w:tr>
        <w:trPr>
          <w:trHeight w:val="214"/>
        </w:trPr>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Pork Operations: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Fresh processing facilities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Pigs per day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95.3 %</w:t>
            </w:r>
          </w:p>
        </w:tc>
        <w:tc>
          <w:tcPr>
            <w:tcW w:w="0" w:type="dxa"/>
            <w:vAlign w:val="bottom"/>
          </w:tcPr>
          <w:p>
            <w:pPr>
              <w:spacing w:after="0"/>
              <w:rPr>
                <w:sz w:val="1"/>
                <w:szCs w:val="1"/>
                <w:color w:val="auto"/>
              </w:rPr>
            </w:pPr>
          </w:p>
        </w:tc>
      </w:tr>
      <w:tr>
        <w:trPr>
          <w:trHeight w:val="213"/>
        </w:trPr>
        <w:tc>
          <w:tcPr>
            <w:tcW w:w="4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Prepared foods facilities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203,742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Tons per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64.2 %</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160"/>
              <w:spacing w:after="0" w:line="219" w:lineRule="exact"/>
              <w:rPr>
                <w:sz w:val="20"/>
                <w:szCs w:val="20"/>
                <w:color w:val="auto"/>
              </w:rPr>
            </w:pPr>
            <w:r>
              <w:rPr>
                <w:rFonts w:ascii="Times New Roman" w:cs="Times New Roman" w:eastAsia="Times New Roman" w:hAnsi="Times New Roman"/>
                <w:sz w:val="16"/>
                <w:szCs w:val="16"/>
                <w:color w:val="auto"/>
              </w:rPr>
              <w:t>Other operation facilities</w:t>
            </w:r>
            <w:r>
              <w:rPr>
                <w:rFonts w:ascii="Times New Roman" w:cs="Times New Roman" w:eastAsia="Times New Roman" w:hAnsi="Times New Roman"/>
                <w:sz w:val="21"/>
                <w:szCs w:val="21"/>
                <w:color w:val="auto"/>
                <w:vertAlign w:val="superscript"/>
              </w:rPr>
              <w:t>(c)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Pigs per year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79.9 %</w:t>
            </w: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Lamb Operations</w:t>
            </w:r>
            <w:r>
              <w:rPr>
                <w:rFonts w:ascii="Times New Roman" w:cs="Times New Roman" w:eastAsia="Times New Roman" w:hAnsi="Times New Roman"/>
                <w:sz w:val="21"/>
                <w:szCs w:val="21"/>
                <w:b w:val="1"/>
                <w:bCs w:val="1"/>
                <w:color w:val="auto"/>
                <w:vertAlign w:val="superscript"/>
              </w:rPr>
              <w:t>(d)</w:t>
            </w:r>
            <w:r>
              <w:rPr>
                <w:rFonts w:ascii="Times New Roman" w:cs="Times New Roman" w:eastAsia="Times New Roman" w:hAnsi="Times New Roman"/>
                <w:sz w:val="16"/>
                <w:szCs w:val="16"/>
                <w:b w:val="1"/>
                <w:bCs w:val="1"/>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Fresh processing facilities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Lambs per day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0" w:type="dxa"/>
            <w:vAlign w:val="bottom"/>
          </w:tcPr>
          <w:p>
            <w:pPr>
              <w:spacing w:after="0"/>
              <w:rPr>
                <w:sz w:val="1"/>
                <w:szCs w:val="1"/>
                <w:color w:val="auto"/>
              </w:rPr>
            </w:pPr>
          </w:p>
        </w:tc>
      </w:tr>
      <w:tr>
        <w:trPr>
          <w:trHeight w:val="213"/>
        </w:trPr>
        <w:tc>
          <w:tcPr>
            <w:tcW w:w="4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Prepared foods facilities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Tons per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79.1 %</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Prepared Meals Operations: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Prepared meals facilities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265,732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Tons per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66.4 %</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Distribution Centers and Other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and utilization numbers do not include idled facilities.</w:t>
      </w:r>
    </w:p>
    <w:p>
      <w:pPr>
        <w:spacing w:after="0" w:line="2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facilities in the chicken operations include feed mills, protein conversion and rendering facilities, and pet food facilities in the U.S.</w:t>
      </w:r>
    </w:p>
    <w:p>
      <w:pPr>
        <w:spacing w:after="0" w:line="2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facilities in the pork operations include company-owned pig farms in the U.K.</w:t>
      </w:r>
    </w:p>
    <w:p>
      <w:pPr>
        <w:spacing w:after="0" w:line="2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in lamb operations are from the acquisition of Randall Parker Foods (renamed to “Pilgrim’s UK Lamb Ltd.”) and are in the U.K.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with respect to this item can be found in Part II, Item 8, Notes to Consolidated Financial Statements, “Note 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in this annual report and is incorporated by reference into this Item 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“PPC.”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February 10, 2026, the Company estimates that there were approximately 99,000 holders (including individual participants in security position listings) of the Company’s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have a policy of paying dividends to its stockholders. In 2025, the Board of Directors authorized to pay approximately $2 billion of special dividends due to the significant cash generation. Any change in dividend policy will depend upon future conditions, including earnings and financial condition, general business conditions, any applicable contractual limitations and other factors deemed relevant by our Board of Directors in its discretion.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Both the U.S. Credit Facility and the indentures governing the Company’s senior notes restrict, but do not prohibit, the Company from declaring dividends. In addition, the terms of the Europe Revolver Facility Agreement restrict the Europe’s ability and the ability of certain of Europe’s subsidiaries to, among other things, make payments and distributions to us, which could in turn impair our ability to pay dividends to our stockholders. See “Note 13. Debt” of our Consolidated Financial Statements included in this annual report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graph below shows a comparison from December 27, 2020 through December 28, 2025 of the cumulative 5-year total stockholder return of holders of the Company’s common stock with the cumulative total returns of the Russell 2000 index and a customized peer group of two companies: Tyson Foods Inc and Hormel Foods Corp. The graph assumes that the value of the investment in our common stock, in each index, and in the peer group (including reinvestment of dividends) was $100 on December 27, 2020 and tracks it through December 28, 2025.</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graph covers the period from December 27, 2020 to December 28, 2025, and reflects the performance of the Company’s single class of common stock. The stock price performance represented by this graph is not necessarily indicative of future stock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25195"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471805</wp:posOffset>
            </wp:positionV>
            <wp:extent cx="5452110"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12/27/20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06/30/21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12/26/21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06/30/22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12/25/22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06/30/23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12/31/23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06/30/24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12/29/24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06/30/25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12/28/25</w:t>
            </w:r>
          </w:p>
        </w:tc>
      </w:tr>
      <w:tr>
        <w:trPr>
          <w:trHeight w:val="17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Pilgrim's Pride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241.47</w:t>
            </w:r>
          </w:p>
        </w:tc>
      </w:tr>
      <w:tr>
        <w:trPr>
          <w:trHeight w:val="170"/>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Russell 2000</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134.40</w:t>
            </w:r>
          </w:p>
        </w:tc>
      </w:tr>
      <w:tr>
        <w:trPr>
          <w:trHeight w:val="181"/>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Peer Group</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one of the largest protein companies in the world, and as a vertically integrated company, we are able to control nearly every phase of the production process, which helps us manage food safety and quality, control margins, and improve customer service. This gives us the opportunity to continue to create growth and development opportunities, further increasing our position as a leading domestic and global protein company.</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reported net income attributable to Pilgrim’s Pride Corporation of $1.1 billion, or $4.54 per diluted common share, and profit before tax totaling $1.5 billion, for 2025. These operating results included gross profit of $2.4 billion and generated $1.4 billion of cash from operations. We generated consolidated operating margins of 8.7% with operating margins of 10.7%, 5.1%, and 7.9% in our U.S., Europe, and Mexico reportable segments, respectively. During 2025, we generated EBITDA and Adjusted EBITDA of $2.1 billion and $2.3 billion, respectively. A reconciliation of net income to EBITDA and Adjusted EBITDA is included later in “Item 7. Management’s Discussion and Analysis of Financial Condition and Results of Operations” in this annual report.</w:t>
      </w:r>
    </w:p>
    <w:p>
      <w:pPr>
        <w:spacing w:after="0" w:line="1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operate on the basis of a 52/53-week fiscal year that ends on the Sunday falling on or before December 31. Any reference we make to a particular year applies to our fiscal year and not the calendar year. Fiscal years 2025 and 2024 were both 52-week fiscal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global inflationary trends. U.S. consumer price index inflation rose 2.7% in the twelve months ended December 2025. The fluctuations were driven by policy changes, supply chain dynamics, and consumer spending behavior. U.K. consumer price index inflation rose 3.6% in the twelve months ended December 2025, driven by increases in alcohol and tobacco and transportation costs, as well as smaller increases in food and restaurant prices. The E.U. region saw a slight decrease in the year-over-year inflation rate to 2.0% for the twelve months ended December 2025, primarily driven by decreased energy prices, offset by rising food prices. The Russia-Ukraine war's impact on the global feed ingredient and energy markets continues to be less pronounced than during the initial onset of the war, but there remain many risks and uncertainties that may impact global markets. Mexico consumer price index inflation declined to 3.7% in the twelve months ended December 2025 partially driven by decreases in fresh agricultural prices and energy, partially offset by increases in services, such as restaurants and food services, as well as, prepared food prices and food, beverages, and tobacco prices.</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British pound strengthened against the U.S. dollar during 2025. The Mexican peso weakened against the U.S. dollar during 2025, but future trends will be impacted by economic uncertainties in Mexico and with their primary trading partners, such as the U.S.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monitoring changes in tariffs and trade policies both in the U.S. and throughout other countries where we operate and do business. Changes to these policies may impact our export sales and international operations. Our U.S. business is primarily characterized with inputs being made in country and our products being sold in country, demonstrated by our export sales from the U.S. accounting for less than 3% of our total net sales. The impact of trade policy changes is uncertain and evolving; however, we do not anticipate material impacts to our results of operations. We will continue to monitor potential impacts and take mitigation actions as necessary.</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generally respond to these challenges in global economic conditions through discussions with customers to mitigate the impact of extraordinary costs we experience. We also continue to focus on operational initiatives that aim to deliver labor efficiencies, better agricultural performance and improved yields.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Input Costs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U.S. and Mexico segments use corn and soybean meal as the main ingredients for feed production, while our Europe segment uses wheat, soybean meal and barley as the main ingredients for feed production.</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the global prices of corn, soybean, and wheat decreased modestly relative to 2024 prices, reflecting an increase in production and elevated stocks. Demand for these grains increased in 2025 compared to 2024 levels, however supply outpaced demand resulting in slightly lower prices and higher ending stocks.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Corn</w:t>
            </w:r>
            <w:r>
              <w:rPr>
                <w:rFonts w:ascii="Times New Roman" w:cs="Times New Roman" w:eastAsia="Times New Roman" w:hAnsi="Times New Roman"/>
                <w:sz w:val="21"/>
                <w:szCs w:val="21"/>
                <w:b w:val="1"/>
                <w:bCs w:val="1"/>
                <w:color w:val="auto"/>
                <w:vertAlign w:val="superscript"/>
              </w:rPr>
              <w:t>(a)</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6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Soybean Meal</w:t>
            </w:r>
            <w:r>
              <w:rPr>
                <w:rFonts w:ascii="Times New Roman" w:cs="Times New Roman" w:eastAsia="Times New Roman" w:hAnsi="Times New Roman"/>
                <w:sz w:val="21"/>
                <w:szCs w:val="21"/>
                <w:b w:val="1"/>
                <w:bCs w:val="1"/>
                <w:color w:val="auto"/>
                <w:vertAlign w:val="superscript"/>
              </w:rPr>
              <w:t>(a)</w:t>
            </w:r>
          </w:p>
        </w:tc>
        <w:tc>
          <w:tcPr>
            <w:tcW w:w="2720" w:type="dxa"/>
            <w:vAlign w:val="bottom"/>
            <w:gridSpan w:val="2"/>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Wheat</w:t>
            </w:r>
            <w:r>
              <w:rPr>
                <w:rFonts w:ascii="Times New Roman" w:cs="Times New Roman" w:eastAsia="Times New Roman" w:hAnsi="Times New Roman"/>
                <w:sz w:val="21"/>
                <w:szCs w:val="21"/>
                <w:b w:val="1"/>
                <w:bCs w:val="1"/>
                <w:color w:val="auto"/>
                <w:vertAlign w:val="superscript"/>
              </w:rPr>
              <w:t>(a)</w:t>
            </w:r>
          </w:p>
        </w:tc>
      </w:tr>
      <w:tr>
        <w:trPr>
          <w:trHeight w:val="208"/>
        </w:trPr>
        <w:tc>
          <w:tcPr>
            <w:tcW w:w="266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Highest Price</w:t>
            </w:r>
          </w:p>
        </w:tc>
        <w:tc>
          <w:tcPr>
            <w:tcW w:w="11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Lowest Price</w:t>
            </w:r>
          </w:p>
        </w:tc>
        <w:tc>
          <w:tcPr>
            <w:tcW w:w="140" w:type="dxa"/>
            <w:vAlign w:val="bottom"/>
            <w:tcBorders>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Highest Price</w:t>
            </w:r>
          </w:p>
        </w:tc>
        <w:tc>
          <w:tcPr>
            <w:tcW w:w="1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Lowest Price</w:t>
            </w:r>
          </w:p>
        </w:tc>
        <w:tc>
          <w:tcPr>
            <w:tcW w:w="14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Highest Price</w:t>
            </w:r>
          </w:p>
        </w:tc>
        <w:tc>
          <w:tcPr>
            <w:tcW w:w="1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Lowest Price</w:t>
            </w:r>
          </w:p>
        </w:tc>
      </w:tr>
      <w:tr>
        <w:trPr>
          <w:trHeight w:val="192"/>
        </w:trPr>
        <w:tc>
          <w:tcPr>
            <w:tcW w:w="2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60" w:type="dxa"/>
            <w:vAlign w:val="bottom"/>
            <w:gridSpan w:val="3"/>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(In whole dollars)</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2"/>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(In whole pounds sterling)</w:t>
            </w:r>
          </w:p>
        </w:tc>
      </w:tr>
      <w:tr>
        <w:trPr>
          <w:trHeight w:val="22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Fourth Quarter</w:t>
            </w: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4.51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330.8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4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166.8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Third Quarter</w:t>
            </w:r>
          </w:p>
        </w:tc>
        <w:tc>
          <w:tcPr>
            <w:tcW w:w="16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4.32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297.2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Second Quarter</w:t>
            </w: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4.90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4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173.6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First Quarter</w:t>
            </w:r>
          </w:p>
        </w:tc>
        <w:tc>
          <w:tcPr>
            <w:tcW w:w="16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5.02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315.8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Fourth Quarter</w:t>
            </w:r>
          </w:p>
        </w:tc>
        <w:tc>
          <w:tcPr>
            <w:tcW w:w="16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4.54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Third Quarter</w:t>
            </w: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4.18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4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196.9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Second Quarter</w:t>
            </w:r>
          </w:p>
        </w:tc>
        <w:tc>
          <w:tcPr>
            <w:tcW w:w="16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4.65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386.5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10"/>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First Quarter</w:t>
            </w: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4.67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381.2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14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184.5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r>
    </w:tbl>
    <w:p>
      <w:pPr>
        <w:spacing w:after="0" w:line="13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 corn and soybean meal prices from the Chicago Board of Trade, and we obtain wheat prices from the London International Financial Futures and Options Exchange.</w:t>
      </w:r>
    </w:p>
    <w:p>
      <w:pPr>
        <w:spacing w:after="0" w:line="1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2025, U.S. commodity market prices for chicken products moderated slightly compared to elevated levels in 2024, reflecting a combination of factors, such as increased broiler production, improved supply chain stability, and normalization of consumer demand following inflation-driven protein substitution in prior periods. The USDA’s January 2026 World Agriculture Supply and Demand Estimate (“WASDE”) report indicates broiler production growth in 2025, supported by increased placements and improved feed conversion ratios, which increased available supply relative to demand. The incremental supply reduced pricing pressure seen in 2024, when supply was tighter and feed costs were slightly elevated.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commodity market prices throughout 2026 will be impacted by the evolution of foodservice, retail, and export meat demand, influenced by factors such as government regulation, spread of avian influenza cases both domestically and abroad, evolution of the general economy, and overall protein supply.</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2025, the U.K. chicken market prices remained elevated compared to 2024 levels, yet stable, reflecting a balance between strong domestic consumption, increased domestic production, and easing input cost pressures. Supply increased in 2025 due to higher average live weights and higher slaughter numbers, but pricing remained firm due to increased labor costs and animal welfare costs. Through customer contracts and additional negotiations, we have offset the majority of these cost increases. Partially offsetting the labor and animal welfare costs was an easing of feed costs in 2025 relative to 2024. Due to increased competition with the U.K. egg market, there continues to be an increase in costs to retain growers. We continue to focus on managing costs, including labor and yield efficiencies, agricultural performance and increasing operational efficiencies through investments in capital projects.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Commodity prices for chicken in Mexico in 2025 averaged above prior-year prices, driven by strong consumer demand and the viability of chicken as the most affordable animal protein option. While Mexico’s poultry production increased in 2025 relative to 2024 levels, demand outpaced supply. Feed costs decreased in 2025 relative to 2024, but these cost savings were partially offset by increases in supply chain and labor costs.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U.K. market prices for pork products in 2025 remained elevated relative to historical averages, continuing an upward trend from 2022, despite higher production volumes and easing of market pressures from EU price movements. Production increases in 2025 were driven by heavier carcass weights and higher slaughter numbers, while breeding herd constraints and increased exports limited oversupply in the U.K.</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U.K. prices for prepared foods have increased due to inflationary pressures. We continue to focus on partnering with our Key Customers and increasing operational efficiency.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sustainability involves continuously improving social responsibility, economic viability, and environmental stewardship. We are committed to helping society meet the global challenge of feeding a growing population in a responsible manner.</w:t>
      </w:r>
    </w:p>
    <w:p>
      <w:pPr>
        <w:spacing w:after="0" w:line="10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Environmental Stewardship</w:t>
      </w:r>
      <w:r>
        <w:rPr>
          <w:rFonts w:ascii="Times New Roman" w:cs="Times New Roman" w:eastAsia="Times New Roman" w:hAnsi="Times New Roman"/>
          <w:sz w:val="18"/>
          <w:szCs w:val="18"/>
          <w:color w:val="auto"/>
        </w:rPr>
        <w:t>. We are focused on improving the efficiency of our operations and supporting producers to reduce our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footprint. In support of this initiative, in April 2021, we issued $1.0 billion of sustainability-linked bonds, which require us to reduce our Scope 1 and Scope 2 global greenhouse gas emissions intensity of 17.7% by 2025 and by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30.0% by 2030 from our 2019 baseline. To that end, we have invested in a variety of equipment, implemented operating procedures, and enhanced reporting systems to identify opportunities and drive further emission reduction opportunities.</w:t>
      </w:r>
    </w:p>
    <w:p>
      <w:pPr>
        <w:spacing w:after="0" w:line="1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Social Responsibility</w:t>
      </w:r>
      <w:r>
        <w:rPr>
          <w:rFonts w:ascii="Times New Roman" w:cs="Times New Roman" w:eastAsia="Times New Roman" w:hAnsi="Times New Roman"/>
          <w:sz w:val="18"/>
          <w:szCs w:val="18"/>
          <w:color w:val="auto"/>
        </w:rPr>
        <w:t>. Safety of our team members is a core value at Pilgrim’s. The physical health and mental well-being of our workforce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continues to be a top priority for our business. As such, we implemented hundreds of safety measures within our facilities and continue to evolve our operations as needed. To support the communities where our team members live and work, we have committed $20 million in funding for local projects focused on alleviating food insecurity and strengthening long-term community infrastructure through our Hometown Strong initiative. To date, we have approved over $15 million for these areas. We also continue to build on Hometown Strong through our Better Futures program, which provides team</w:t>
      </w:r>
    </w:p>
    <w:p>
      <w:pPr>
        <w:spacing w:after="0" w:line="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and their dependents in tuition free, higher education program, to improve their skills and career opportunities. The program has been exceptionally well received, as we have over 2,200 participants since its inception. Finally, ensuring the well-being of animals under our care is an uncompromising commitment at Pilgrim’s. We continually strive to improve our welfare efforts through the use of new technologies and the implementation of standards that meet and exceed regulatory requirements and industry guidelines.</w:t>
      </w:r>
    </w:p>
    <w:p>
      <w:pPr>
        <w:spacing w:after="0" w:line="1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To cultivate discipline and drive accountability for sustainability-related matters, we use our annual budgeting process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plans, and risk mitigation tactics. This process is further reinforced by a series of key performance indicators to evaluate and monitor progress. These performance indicators are linked to compensation for both senior executives and plant-level personnel. As part of our business management processes, progress against these metrics is reviewed at least monthly and evaluated by external agencies to assess progress relative to industry peers. In addition, the Board of Directors formed a Sustainability Committee to provide oversight and counsel on strategies, policies, and investments to reduce the impact of climate change. The Sustainability Committee meets on a quarterly basis to monitor progress, provide feedback, and evaluate the impact of trends.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three reportable segments: the U.S., Europe, and Mexico. We measure segment profit as operating income. Certain corporate expenses are allocated to the Mexico and Europe reportable segments based upon various apportionment methods for specific expenditures incurred related thereto with the remaining amounts allocated to the U.S. For additional information, see “Note 20. Reportable Segments” of our Consolidated Financial Statements included in this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2025 increased $0.6 billion, or 3.5%, from $17.9 billion generated in 2024 to $18.5 billion generated in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table provides additional information regarding net sales: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 from 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gridSpan w:val="3"/>
          </w:tcPr>
          <w:p>
            <w:pPr>
              <w:jc w:val="right"/>
              <w:ind w:right="1263"/>
              <w:spacing w:after="0"/>
              <w:rPr>
                <w:sz w:val="20"/>
                <w:szCs w:val="20"/>
                <w:color w:val="auto"/>
              </w:rPr>
            </w:pPr>
            <w:r>
              <w:rPr>
                <w:rFonts w:ascii="Times New Roman" w:cs="Times New Roman" w:eastAsia="Times New Roman" w:hAnsi="Times New Roman"/>
                <w:sz w:val="14"/>
                <w:szCs w:val="14"/>
                <w:b w:val="1"/>
                <w:bCs w:val="1"/>
                <w:color w:val="auto"/>
              </w:rPr>
              <w:t>Impact on Change from 2024</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Sources of net sales</w:t>
            </w:r>
          </w:p>
        </w:tc>
        <w:tc>
          <w:tcPr>
            <w:tcW w:w="340" w:type="dxa"/>
            <w:vAlign w:val="bottom"/>
          </w:tcPr>
          <w:p>
            <w:pPr>
              <w:spacing w:after="0"/>
              <w:rPr>
                <w:sz w:val="11"/>
                <w:szCs w:val="11"/>
                <w:color w:val="auto"/>
              </w:rPr>
            </w:pPr>
          </w:p>
        </w:tc>
        <w:tc>
          <w:tcPr>
            <w:tcW w:w="1040" w:type="dxa"/>
            <w:vAlign w:val="bottom"/>
            <w:vMerge w:val="restart"/>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Sales Volume</w:t>
            </w:r>
          </w:p>
        </w:tc>
        <w:tc>
          <w:tcPr>
            <w:tcW w:w="13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Sales Prices</w:t>
            </w:r>
          </w:p>
        </w:tc>
        <w:tc>
          <w:tcPr>
            <w:tcW w:w="1440" w:type="dxa"/>
            <w:vAlign w:val="bottom"/>
          </w:tcPr>
          <w:p>
            <w:pPr>
              <w:jc w:val="right"/>
              <w:ind w:right="143"/>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0" w:type="dxa"/>
            <w:vAlign w:val="bottom"/>
          </w:tcPr>
          <w:p>
            <w:pPr>
              <w:spacing w:after="0"/>
              <w:rPr>
                <w:sz w:val="1"/>
                <w:szCs w:val="1"/>
                <w:color w:val="auto"/>
              </w:rPr>
            </w:pPr>
          </w:p>
        </w:tc>
      </w:tr>
      <w:tr>
        <w:trPr>
          <w:trHeight w:val="195"/>
        </w:trPr>
        <w:tc>
          <w:tcPr>
            <w:tcW w:w="21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Translation Impact</w:t>
            </w:r>
          </w:p>
        </w:tc>
        <w:tc>
          <w:tcPr>
            <w:tcW w:w="0" w:type="dxa"/>
            <w:vAlign w:val="bottom"/>
          </w:tcPr>
          <w:p>
            <w:pPr>
              <w:spacing w:after="0"/>
              <w:rPr>
                <w:sz w:val="1"/>
                <w:szCs w:val="1"/>
                <w:color w:val="auto"/>
              </w:rPr>
            </w:pPr>
          </w:p>
        </w:tc>
      </w:tr>
      <w:tr>
        <w:trPr>
          <w:trHeight w:val="193"/>
        </w:trPr>
        <w:tc>
          <w:tcPr>
            <w:tcW w:w="2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5"/>
          </w:tcPr>
          <w:p>
            <w:pPr>
              <w:ind w:left="940"/>
              <w:spacing w:after="0"/>
              <w:rPr>
                <w:sz w:val="20"/>
                <w:szCs w:val="20"/>
                <w:color w:val="auto"/>
              </w:rPr>
            </w:pPr>
            <w:r>
              <w:rPr>
                <w:rFonts w:ascii="Times New Roman" w:cs="Times New Roman" w:eastAsia="Times New Roman" w:hAnsi="Times New Roman"/>
                <w:sz w:val="13"/>
                <w:szCs w:val="13"/>
                <w:b w:val="1"/>
                <w:bCs w:val="1"/>
                <w:color w:val="auto"/>
              </w:rPr>
              <w:t>(In thousands, except percent data)</w:t>
            </w:r>
          </w:p>
        </w:tc>
        <w:tc>
          <w:tcPr>
            <w:tcW w:w="6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10,998,732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368,803</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3.4 %</w:t>
            </w: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0.1 %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5,378,865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242,118</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8"/>
                <w:szCs w:val="18"/>
                <w:color w:val="auto"/>
              </w:rPr>
            </w:pPr>
          </w:p>
        </w:tc>
        <w:tc>
          <w:tcPr>
            <w:tcW w:w="16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2.5 %</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(0.9)%</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2,119,956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2.2 %</w:t>
            </w: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9"/>
        </w:trPr>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net sales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18,497,553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619,262</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 Reportable Segment. </w:t>
      </w:r>
      <w:r>
        <w:rPr>
          <w:rFonts w:ascii="Times New Roman" w:cs="Times New Roman" w:eastAsia="Times New Roman" w:hAnsi="Times New Roman"/>
          <w:sz w:val="18"/>
          <w:szCs w:val="18"/>
          <w:color w:val="auto"/>
        </w:rPr>
        <w:t>U.S. net sales generated in 2025 increased $368.8 million, or 3.5%, from U.S. net sales generated in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of an increase in sales volume of $365.2 million, or 3.4 percentage points, and a slight increase in net sales per pound of $3.6 million, or 0.1 percentage points. The increase in sales volume was primarily driven by increased demand for fresh products.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Europe Reportable Segment. </w:t>
      </w:r>
      <w:r>
        <w:rPr>
          <w:rFonts w:ascii="Times New Roman" w:cs="Times New Roman" w:eastAsia="Times New Roman" w:hAnsi="Times New Roman"/>
          <w:sz w:val="18"/>
          <w:szCs w:val="18"/>
          <w:color w:val="auto"/>
        </w:rPr>
        <w:t>Europe sales generated in 2025 increased $242.1 million, or 4.7%, from sales generated in 2024 primarily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impact of foreign currency translation and an increase in sales volume of $160.1 million, or 3.1 percentage points, and $130.3 million, or 2.5 percentage points, respectively. These increases were partially offset by a decrease in net sales per pound of $48.3 million, or 0.9 percentage points. The favorable impact of foreign currency translation was the result of a 3% strengthening of the British pound against the U.S. dollar. The increase in sales volume was primarily driven by increased domestic demand for fresh products.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Mexico Reportable Segment. </w:t>
      </w:r>
      <w:r>
        <w:rPr>
          <w:rFonts w:ascii="Times New Roman" w:cs="Times New Roman" w:eastAsia="Times New Roman" w:hAnsi="Times New Roman"/>
          <w:sz w:val="18"/>
          <w:szCs w:val="18"/>
          <w:color w:val="auto"/>
        </w:rPr>
        <w:t>Mexico sales generated in 2025 increased $8.3 million, or 0.4%, from sales generated in 2024 primarily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net sales per pound and an increase in sales volume of $68.7 million, or 3.3 percentage points, and $46.1 million, or 2.2 percentage points, respectively. These increases in net sales were partially offset by a decrease due to the unfavorable impact of foreign currency translation of $106.5 million, or 5.1 percentage points. The increases in net sales per pound and sales volume were driven by improved product mix and increased commodity chicken prices. Sales volumes increased across all sales channels, except live chicken which slightly decreased. The unfavorable impact of foreign currency translation was due to a 5% weakening of the Mexican peso against the U.S. dollar.</w:t>
      </w:r>
    </w:p>
    <w:p>
      <w:pPr>
        <w:spacing w:after="0" w:line="12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$45.4 million, or 2.0%, from $2.31 billion generated in 2024 to $2.36 billion generated in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tables provide gross profit information: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10"/>
          </w:tcPr>
          <w:p>
            <w:pPr>
              <w:ind w:left="540"/>
              <w:spacing w:after="0"/>
              <w:rPr>
                <w:sz w:val="20"/>
                <w:szCs w:val="20"/>
                <w:color w:val="auto"/>
              </w:rPr>
            </w:pPr>
            <w:r>
              <w:rPr>
                <w:rFonts w:ascii="Times New Roman" w:cs="Times New Roman" w:eastAsia="Times New Roman" w:hAnsi="Times New Roman"/>
                <w:sz w:val="14"/>
                <w:szCs w:val="14"/>
                <w:b w:val="1"/>
                <w:bCs w:val="1"/>
                <w:color w:val="auto"/>
              </w:rPr>
              <w:t>Change from 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Percent of Net Sales</w:t>
            </w:r>
          </w:p>
        </w:tc>
        <w:tc>
          <w:tcPr>
            <w:tcW w:w="0" w:type="dxa"/>
            <w:vAlign w:val="bottom"/>
          </w:tcPr>
          <w:p>
            <w:pPr>
              <w:spacing w:after="0"/>
              <w:rPr>
                <w:sz w:val="1"/>
                <w:szCs w:val="1"/>
                <w:color w:val="auto"/>
              </w:rPr>
            </w:pPr>
          </w:p>
        </w:tc>
      </w:tr>
      <w:tr>
        <w:trPr>
          <w:trHeight w:val="23"/>
        </w:trPr>
        <w:tc>
          <w:tcPr>
            <w:tcW w:w="4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gross profit</w:t>
            </w:r>
          </w:p>
        </w:tc>
        <w:tc>
          <w:tcPr>
            <w:tcW w:w="260" w:type="dxa"/>
            <w:vAlign w:val="bottom"/>
          </w:tcPr>
          <w:p>
            <w:pPr>
              <w:spacing w:after="0"/>
              <w:rPr>
                <w:sz w:val="2"/>
                <w:szCs w:val="2"/>
                <w:color w:val="auto"/>
              </w:rPr>
            </w:pPr>
          </w:p>
        </w:tc>
        <w:tc>
          <w:tcPr>
            <w:tcW w:w="9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6"/>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top w:val="single" w:sz="8" w:color="auto"/>
            </w:tcBorders>
          </w:tcPr>
          <w:p>
            <w:pPr>
              <w:spacing w:after="0"/>
              <w:rPr>
                <w:sz w:val="16"/>
                <w:szCs w:val="16"/>
                <w:color w:val="auto"/>
              </w:rPr>
            </w:pPr>
          </w:p>
        </w:tc>
        <w:tc>
          <w:tcPr>
            <w:tcW w:w="4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1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except percent data)</w:t>
            </w: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619,262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100.0 %</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16,139,410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573,886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6"/>
                <w:szCs w:val="16"/>
                <w:color w:val="auto"/>
              </w:rPr>
              <w:t>87.3 %</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87.1 %</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2,358,143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12.7 %</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gridSpan w:val="7"/>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 from 2024</w:t>
            </w:r>
          </w:p>
        </w:tc>
        <w:tc>
          <w:tcPr>
            <w:tcW w:w="0" w:type="dxa"/>
            <w:vAlign w:val="bottom"/>
          </w:tcPr>
          <w:p>
            <w:pPr>
              <w:spacing w:after="0" w:line="20" w:lineRule="exact"/>
              <w:rPr>
                <w:sz w:val="1"/>
                <w:szCs w:val="1"/>
                <w:color w:val="auto"/>
              </w:rPr>
            </w:pPr>
          </w:p>
        </w:tc>
      </w:tr>
      <w:tr>
        <w:trPr>
          <w:trHeight w:val="288"/>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Sources of gross profit</w:t>
            </w: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gridSpan w:val="2"/>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9"/>
          </w:tcPr>
          <w:p>
            <w:pPr>
              <w:ind w:left="820"/>
              <w:spacing w:after="0"/>
              <w:rPr>
                <w:sz w:val="20"/>
                <w:szCs w:val="20"/>
                <w:color w:val="auto"/>
              </w:rPr>
            </w:pPr>
            <w:r>
              <w:rPr>
                <w:rFonts w:ascii="Times New Roman" w:cs="Times New Roman" w:eastAsia="Times New Roman" w:hAnsi="Times New Roman"/>
                <w:sz w:val="13"/>
                <w:szCs w:val="13"/>
                <w:b w:val="1"/>
                <w:bCs w:val="1"/>
                <w:color w:val="auto"/>
                <w:w w:val="94"/>
              </w:rPr>
              <w:t>(In thousands, except percent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data)</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1,634,099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70,007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492,760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31,093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231,284</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gross profit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2,358,143</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45,376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Change from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Sources of cost of sales</w:t>
            </w: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5"/>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gridSpan w:val="2"/>
          </w:tcPr>
          <w:p>
            <w:pPr>
              <w:spacing w:after="0"/>
              <w:rPr>
                <w:sz w:val="16"/>
                <w:szCs w:val="16"/>
                <w:color w:val="auto"/>
              </w:rPr>
            </w:pPr>
          </w:p>
        </w:tc>
        <w:tc>
          <w:tcPr>
            <w:tcW w:w="340" w:type="dxa"/>
            <w:vAlign w:val="bottom"/>
            <w:tcBorders>
              <w:top w:val="single" w:sz="8" w:color="auto"/>
              <w:bottom w:val="single" w:sz="8" w:color="auto"/>
            </w:tcBorders>
            <w:gridSpan w:val="2"/>
          </w:tcPr>
          <w:p>
            <w:pPr>
              <w:spacing w:after="0"/>
              <w:rPr>
                <w:sz w:val="16"/>
                <w:szCs w:val="16"/>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12"/>
          </w:tcPr>
          <w:p>
            <w:pPr>
              <w:jc w:val="center"/>
              <w:ind w:left="603"/>
              <w:spacing w:after="0"/>
              <w:rPr>
                <w:sz w:val="20"/>
                <w:szCs w:val="20"/>
                <w:color w:val="auto"/>
              </w:rPr>
            </w:pPr>
            <w:r>
              <w:rPr>
                <w:rFonts w:ascii="Times New Roman" w:cs="Times New Roman" w:eastAsia="Times New Roman" w:hAnsi="Times New Roman"/>
                <w:sz w:val="13"/>
                <w:szCs w:val="13"/>
                <w:b w:val="1"/>
                <w:bCs w:val="1"/>
                <w:color w:val="auto"/>
                <w:w w:val="96"/>
              </w:rPr>
              <w:t>(In thousands, except percent data)</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6"/>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9,364,633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298,796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4,886,105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211,025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Mexico</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1,888,672</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64,065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cost of sales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2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16,139,410</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573,886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Reportable Segment. </w:t>
      </w:r>
      <w:r>
        <w:rPr>
          <w:rFonts w:ascii="Times New Roman" w:cs="Times New Roman" w:eastAsia="Times New Roman" w:hAnsi="Times New Roman"/>
          <w:sz w:val="18"/>
          <w:szCs w:val="18"/>
          <w:color w:val="auto"/>
        </w:rPr>
        <w:t>Cost of sales incurred by our U.S. operations in 2025 increased $298.8 million, or 3.3%, from cost of sales incurred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U.S. operations in 2024. Cost of sales increased primarily due to an increase in sales volume of $311.5 million, or 3.4 percentage points, partially offset by a slight decrease in cost per pound sold of $12.7 million, or 0.1 percentage points. The increase in sales volume was primarily driven by increased demand of fresh products. The decrease in cost per pound sold was driven by a reduction in feed ingredients, such as corn and soy, costs in our live operations. The reduction in live operations costs was partially offset by increases in labor, incentive compensation, and grower costs.</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Europe Reportable Segment. </w:t>
      </w:r>
      <w:r>
        <w:rPr>
          <w:rFonts w:ascii="Times New Roman" w:cs="Times New Roman" w:eastAsia="Times New Roman" w:hAnsi="Times New Roman"/>
          <w:sz w:val="18"/>
          <w:szCs w:val="18"/>
          <w:color w:val="auto"/>
        </w:rPr>
        <w:t>Cost of sales incurred by the Europe operations during 2025 increased $211.0 million, or 4.5%, from cost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by the Europe operations during 2024 primarily due to the impact of foreign currency translation and an increase in sales volume of $143.5 million, or 3.1 percentage points, and $118.6 million, or 2.5 percentage points, respectively. These increases were partially offset by a decrease in cost per pound sold of $51.2 million, or 1.1 percentage points. The increase in sales volume was partially offset by the unfavorable impact of foreign currency translation of $140.1 million, or 2.9 percentage points. The decrease in cost per pound was driven by decreased feed ingredients, labor, utilities and other operating costs and from production efficiencies as a result of our restructuring initiatives.</w:t>
      </w:r>
    </w:p>
    <w:p>
      <w:pPr>
        <w:spacing w:after="0" w:line="12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Mexico Reportable Segment. </w:t>
      </w:r>
      <w:r>
        <w:rPr>
          <w:rFonts w:ascii="Times New Roman" w:cs="Times New Roman" w:eastAsia="Times New Roman" w:hAnsi="Times New Roman"/>
          <w:sz w:val="18"/>
          <w:szCs w:val="18"/>
          <w:color w:val="auto"/>
        </w:rPr>
        <w:t>Cost of sales incurred by the Mexico operations during 2025 increased $64.1 million, or 3.5%, from cost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by the Mexico operations during 2024 primarily because of an increase in cost per pound sold and an increase in sales volume of $119.2 million, or 6.4 percentage points, and $39.8 million, or 2.2 percentage points, respectively. These increases were partially offset by the favorable impact of foreign currency translation of $94.9 million, or 5.1 percentage points. The increase in sales volume was driven by market requirements and product mix and the increase in cost per pound sold was driven by a shift in mix to higher value products, such as prepared foods. The favorable impact of foreign currency translation was due to a 5% weakening of the Mexican peso against the U.S. dollar.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increased $107.5 million, or 7.1%, from $1.5 billion generated for 2024 to $1.6 billion generated for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operating income information:</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6"/>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Change from 2024</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Percent of Net Sales</w:t>
            </w:r>
          </w:p>
        </w:tc>
        <w:tc>
          <w:tcPr>
            <w:tcW w:w="0" w:type="dxa"/>
            <w:vAlign w:val="bottom"/>
          </w:tcPr>
          <w:p>
            <w:pPr>
              <w:spacing w:after="0"/>
              <w:rPr>
                <w:sz w:val="1"/>
                <w:szCs w:val="1"/>
                <w:color w:val="auto"/>
              </w:rPr>
            </w:pPr>
          </w:p>
        </w:tc>
      </w:tr>
      <w:tr>
        <w:trPr>
          <w:trHeight w:val="23"/>
        </w:trPr>
        <w:tc>
          <w:tcPr>
            <w:tcW w:w="4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operating income</w:t>
            </w:r>
          </w:p>
        </w:tc>
        <w:tc>
          <w:tcPr>
            <w:tcW w:w="260" w:type="dxa"/>
            <w:vAlign w:val="bottom"/>
          </w:tcPr>
          <w:p>
            <w:pPr>
              <w:spacing w:after="0"/>
              <w:rPr>
                <w:sz w:val="2"/>
                <w:szCs w:val="2"/>
                <w:color w:val="auto"/>
              </w:rPr>
            </w:pP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11"/>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percent data)</w:t>
            </w: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2,358,143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213"/>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713,250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1,613,539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107,470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 from 2024</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Sources of operating income</w:t>
            </w: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8"/>
          </w:tcPr>
          <w:p>
            <w:pPr>
              <w:ind w:left="640"/>
              <w:spacing w:after="0"/>
              <w:rPr>
                <w:sz w:val="20"/>
                <w:szCs w:val="20"/>
                <w:color w:val="auto"/>
              </w:rPr>
            </w:pPr>
            <w:r>
              <w:rPr>
                <w:rFonts w:ascii="Times New Roman" w:cs="Times New Roman" w:eastAsia="Times New Roman" w:hAnsi="Times New Roman"/>
                <w:sz w:val="13"/>
                <w:szCs w:val="13"/>
                <w:b w:val="1"/>
                <w:bCs w:val="1"/>
                <w:color w:val="auto"/>
                <w:w w:val="98"/>
              </w:rPr>
              <w:t>(In thousands, except percent data)</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gridSpan w:val="5"/>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1,173,404</w:t>
            </w:r>
          </w:p>
        </w:tc>
        <w:tc>
          <w:tcPr>
            <w:tcW w:w="4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272,397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102,704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167,738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operating income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1,613,539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107,470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 from 2024</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Sources of SG&amp;A expenses (defined below)</w:t>
            </w: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8"/>
          </w:tcPr>
          <w:p>
            <w:pPr>
              <w:ind w:left="640"/>
              <w:spacing w:after="0"/>
              <w:rPr>
                <w:sz w:val="20"/>
                <w:szCs w:val="20"/>
                <w:color w:val="auto"/>
              </w:rPr>
            </w:pPr>
            <w:r>
              <w:rPr>
                <w:rFonts w:ascii="Times New Roman" w:cs="Times New Roman" w:eastAsia="Times New Roman" w:hAnsi="Times New Roman"/>
                <w:sz w:val="13"/>
                <w:szCs w:val="13"/>
                <w:b w:val="1"/>
                <w:bCs w:val="1"/>
                <w:color w:val="auto"/>
                <w:w w:val="98"/>
              </w:rPr>
              <w:t>(In thousands, except percent data)</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gridSpan w:val="5"/>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460,695</w:t>
            </w:r>
          </w:p>
        </w:tc>
        <w:tc>
          <w:tcPr>
            <w:tcW w:w="4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189,009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SG&amp;A expense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713,250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 from 2024</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Sources of restructuring activities charges</w:t>
            </w: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8"/>
          </w:tcPr>
          <w:p>
            <w:pPr>
              <w:ind w:left="640"/>
              <w:spacing w:after="0"/>
              <w:rPr>
                <w:sz w:val="20"/>
                <w:szCs w:val="20"/>
                <w:color w:val="auto"/>
              </w:rPr>
            </w:pPr>
            <w:r>
              <w:rPr>
                <w:rFonts w:ascii="Times New Roman" w:cs="Times New Roman" w:eastAsia="Times New Roman" w:hAnsi="Times New Roman"/>
                <w:sz w:val="13"/>
                <w:szCs w:val="13"/>
                <w:b w:val="1"/>
                <w:bCs w:val="1"/>
                <w:color w:val="auto"/>
                <w:w w:val="98"/>
              </w:rPr>
              <w:t>(In thousands, except percent data)</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gridSpan w:val="5"/>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31,354</w:t>
            </w:r>
          </w:p>
        </w:tc>
        <w:tc>
          <w:tcPr>
            <w:tcW w:w="4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20" w:hanging="652"/>
        <w:spacing w:after="0" w:line="282" w:lineRule="auto"/>
        <w:tabs>
          <w:tab w:leader="none" w:pos="6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Consolidated Financial Statements include the accounts of our company and our majority owned subsidiaries. We eliminate all significant affiliate accounts and transactions upon consolidation.</w:t>
      </w:r>
    </w:p>
    <w:p>
      <w:pPr>
        <w:spacing w:after="0" w:line="12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 Reportable Segment. </w:t>
      </w:r>
      <w:r>
        <w:rPr>
          <w:rFonts w:ascii="Times New Roman" w:cs="Times New Roman" w:eastAsia="Times New Roman" w:hAnsi="Times New Roman"/>
          <w:sz w:val="18"/>
          <w:szCs w:val="18"/>
          <w:color w:val="auto"/>
        </w:rPr>
        <w:t>Selling, general and administrative (“SG&amp;A”) expense incurred by the U.S. operations during 2025 increased $9.6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2.1%, from SG&amp;A expense incurred by the U.S. operations during 2024 primarily from increases in incentive compensation costs, marketing costs, and professional fees, such as legal defense costs, partially offset by a decrease in litigation settlement costs.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Europe Reportable Segment. </w:t>
      </w:r>
      <w:r>
        <w:rPr>
          <w:rFonts w:ascii="Times New Roman" w:cs="Times New Roman" w:eastAsia="Times New Roman" w:hAnsi="Times New Roman"/>
          <w:sz w:val="18"/>
          <w:szCs w:val="18"/>
          <w:color w:val="auto"/>
        </w:rPr>
        <w:t>SG&amp;A expense incurred by the Europe operations during 2025 decreased $9.6 million, or 4.8%, from SG&amp;A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incurred by the Europe operations during 2024 primarily due to decreased labor and employee-related costs as a result of the restructuring initiatives consolidating backoffice support. The decreased labor costs were partially offset by an increase from the unfavorable impact of foreign currency translation.</w:t>
      </w:r>
    </w:p>
    <w:p>
      <w:pPr>
        <w:spacing w:after="0" w:line="12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Mexico Reportable Segment. </w:t>
      </w:r>
      <w:r>
        <w:rPr>
          <w:rFonts w:ascii="Times New Roman" w:cs="Times New Roman" w:eastAsia="Times New Roman" w:hAnsi="Times New Roman"/>
          <w:sz w:val="18"/>
          <w:szCs w:val="18"/>
          <w:color w:val="auto"/>
        </w:rPr>
        <w:t>SG&amp;A expense incurred by the Mexico operations during 2025 decreased $0.1 million, or 0.1%, from SG&amp;A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incurred by the Mexico operations during 2024. SG&amp;A expense decreased primarily from the favorable impact of foreign currency translation due to the weakening of the Mexican peso against the U.S. dollar, partially offset by increased wages and employee profit share costs.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Consolidated interest expense increased 24.6% to $110.3 million in 2025 from $88.5 million in 2024.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resulted primarily from a decrease in interest income earned on lower cash balances, an increase from early extinguishment of debt from a gain recognized in the prior year, partially offset by a decrease in interest expense on outstanding borrowings due to debt repurchases reducing the outstanding borrowings. As a percent of net sales, net interest expense in 2025 and 2024 was 0.6% and 0.5%, respectively.</w:t>
      </w:r>
    </w:p>
    <w:p>
      <w:pPr>
        <w:spacing w:after="0" w:line="1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consolidated income tax expense in 2025 was $418.8 million, compared to income tax expense of $325.0 million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income tax expense in 2025 resulted primarily from an increase in pre-tax income and higher state income tax expense recognized during 2025.</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discussion of 2024 results of operations in comparison to 2023 results of operations, see Item 7. Management’s Discussion and Analysis of Financial Condition and Results of Operations in Part II of the 2024 Annual Report on Form 10-K filed on February 13,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operations, funds from borrowings, and existing cash on hand. The following table presents our available sources of liquidity as of December 28, 2025:</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Sources of Liquidity</w:t>
            </w:r>
          </w:p>
        </w:tc>
        <w:tc>
          <w:tcPr>
            <w:tcW w:w="240" w:type="dxa"/>
            <w:vAlign w:val="bottom"/>
          </w:tcPr>
          <w:p>
            <w:pPr>
              <w:spacing w:after="0"/>
              <w:rPr>
                <w:sz w:val="13"/>
                <w:szCs w:val="13"/>
                <w:color w:val="auto"/>
              </w:rPr>
            </w:pPr>
          </w:p>
        </w:tc>
        <w:tc>
          <w:tcPr>
            <w:tcW w:w="138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80" w:type="dxa"/>
            <w:vAlign w:val="bottom"/>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95"/>
        </w:trPr>
        <w:tc>
          <w:tcPr>
            <w:tcW w:w="7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ind w:right="464"/>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0" w:type="dxa"/>
            <w:vAlign w:val="bottom"/>
          </w:tcPr>
          <w:p>
            <w:pPr>
              <w:spacing w:after="0"/>
              <w:rPr>
                <w:sz w:val="1"/>
                <w:szCs w:val="1"/>
                <w:color w:val="auto"/>
              </w:rPr>
            </w:pPr>
          </w:p>
        </w:tc>
      </w:tr>
      <w:tr>
        <w:trPr>
          <w:trHeight w:val="213"/>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Borrowing arrangements: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U.S. Credit Facility</w:t>
            </w:r>
            <w:r>
              <w:rPr>
                <w:rFonts w:ascii="Times New Roman" w:cs="Times New Roman" w:eastAsia="Times New Roman" w:hAnsi="Times New Roman"/>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850.0</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w:t>
            </w:r>
          </w:p>
        </w:tc>
        <w:tc>
          <w:tcPr>
            <w:tcW w:w="0" w:type="dxa"/>
            <w:vAlign w:val="bottom"/>
          </w:tcPr>
          <w:p>
            <w:pPr>
              <w:spacing w:after="0"/>
              <w:rPr>
                <w:sz w:val="1"/>
                <w:szCs w:val="1"/>
                <w:color w:val="auto"/>
              </w:rPr>
            </w:pPr>
          </w:p>
        </w:tc>
      </w:tr>
      <w:tr>
        <w:trPr>
          <w:trHeight w:val="216"/>
        </w:trPr>
        <w:tc>
          <w:tcPr>
            <w:tcW w:w="70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6"/>
                <w:szCs w:val="16"/>
                <w:color w:val="auto"/>
              </w:rPr>
              <w:t>Mexico BBVA Credit Facility</w:t>
            </w:r>
            <w:r>
              <w:rPr>
                <w:rFonts w:ascii="Times New Roman" w:cs="Times New Roman" w:eastAsia="Times New Roman" w:hAnsi="Times New Roman"/>
                <w:sz w:val="21"/>
                <w:szCs w:val="21"/>
                <w:color w:val="auto"/>
                <w:vertAlign w:val="superscript"/>
              </w:rPr>
              <w:t>(b)</w:t>
            </w:r>
          </w:p>
        </w:tc>
        <w:tc>
          <w:tcPr>
            <w:tcW w:w="240" w:type="dxa"/>
            <w:vAlign w:val="bottom"/>
          </w:tcPr>
          <w:p>
            <w:pPr>
              <w:spacing w:after="0"/>
              <w:rPr>
                <w:sz w:val="18"/>
                <w:szCs w:val="18"/>
                <w:color w:val="auto"/>
              </w:rPr>
            </w:pPr>
          </w:p>
        </w:tc>
        <w:tc>
          <w:tcPr>
            <w:tcW w:w="13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71.2</w:t>
            </w:r>
          </w:p>
        </w:tc>
        <w:tc>
          <w:tcPr>
            <w:tcW w:w="14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Mexico Bajio Credit Facility</w:t>
            </w:r>
            <w:r>
              <w:rPr>
                <w:rFonts w:ascii="Times New Roman" w:cs="Times New Roman" w:eastAsia="Times New Roman" w:hAnsi="Times New Roman"/>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83.8</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81"/>
        </w:trPr>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Europe Credit Facility</w:t>
            </w:r>
            <w:r>
              <w:rPr>
                <w:rFonts w:ascii="Times New Roman" w:cs="Times New Roman" w:eastAsia="Times New Roman" w:hAnsi="Times New Roman"/>
                <w:sz w:val="21"/>
                <w:szCs w:val="21"/>
                <w:color w:val="auto"/>
                <w:vertAlign w:val="superscript"/>
              </w:rPr>
              <w:t>(d)</w:t>
            </w:r>
          </w:p>
        </w:tc>
        <w:tc>
          <w:tcPr>
            <w:tcW w:w="240" w:type="dxa"/>
            <w:vAlign w:val="bottom"/>
          </w:tcPr>
          <w:p>
            <w:pPr>
              <w:spacing w:after="0"/>
              <w:rPr>
                <w:sz w:val="24"/>
                <w:szCs w:val="24"/>
                <w:color w:val="auto"/>
              </w:rPr>
            </w:pPr>
          </w:p>
        </w:tc>
        <w:tc>
          <w:tcPr>
            <w:tcW w:w="13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202.5</w:t>
            </w:r>
          </w:p>
        </w:tc>
        <w:tc>
          <w:tcPr>
            <w:tcW w:w="14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under the U.S. Credit Facility is also reduced by our outstanding standby letters of credit. Standby letters of credit outstanding at December 28, 2025 totaled $4.0 million.</w:t>
      </w:r>
    </w:p>
    <w:p>
      <w:pPr>
        <w:spacing w:after="0" w:line="1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28, 2025, the U.S. dollar-equivalent of the amount available under the Mexico BBVA Credit Facility was $71.2 million ($1.3 billion Mexican pesos).</w:t>
      </w:r>
    </w:p>
    <w:p>
      <w:pPr>
        <w:spacing w:after="0" w:line="1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28, 2025, the U.S. dollar-equivalent of the amount available under the Mexico Bajio Credit Facility was $83.8 million ($1.5 billion Mexican pesos).</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28, 2025, the U.S. dollar-equivalent of the amount available under the Europe Credit Facility was $202.5 million (£150.0 million).</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13, 2025, the Company declared a special dividend of $6.30 per share, to stockholders of record as of April 3, 2025. On April 17, 2025, the Company paid that special dividend from retained earnings of approximately $1.5 billion. The Company used cash on hand to fund the special cash dividend.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30, 2025, the Company declared a special dividend of $2.10 per share, to stockholders of record as of August 20, 2025. The Company paid that special dividend from retained earnings of approximately $500.0 million on September 3, 2025. The Company used cash on hand to fund the special cash dividend.</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30, 2025, we entered into an unsecured credit agreement (the “Mexico Bajio Credit Facility”) with Banco del Bajio as lender. The loan commitment under the Mexico Bajio Credit Facility is Mex$1.5 billion and can be borrowed on a revolving basis. Outstanding borrowings under the Mexico Bajio Credit Facility accrue interest at a rate equal to TIIE plus 1.41%. The Mexico Bajio Credit Facility will be used for general corporate and working capital purposes. The Mexico Bajio Credit Facility will mature on October 30, 2028.</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18, 2025, we extended an unsecured credit agreement (the “Mexico BBVA Credit Facility”) with BBVA as lender. The loan commitment under the Mexico BBVA Credit Facility is Mex$1.3 billion and can be borrowed on a revolving basis. Outstanding borrowings under the Mexico BBVA Credit Facility accrue interest at a rate equal to TIIE plus 1.35%. The Mexico BBVA Credit Facility will be used for general corporate and working capital purposes. The Mexico BBVA Credit Facility will mature on December 18, 2030.</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cash flows from operations, combined with availability under our credit facilities, to provide sufficient liquidity to fund current obligations, projected working capital requirements, maturities of long-term debt and capital spending for at least the next twelve months.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Flow of Funds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3"/>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181"/>
        </w:trPr>
        <w:tc>
          <w:tcPr>
            <w:tcW w:w="7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gridSpan w:val="4"/>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24"/>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w:t>
            </w:r>
          </w:p>
        </w:tc>
        <w:tc>
          <w:tcPr>
            <w:tcW w:w="0" w:type="dxa"/>
            <w:vAlign w:val="bottom"/>
          </w:tcPr>
          <w:p>
            <w:pPr>
              <w:spacing w:after="0"/>
              <w:rPr>
                <w:sz w:val="1"/>
                <w:szCs w:val="1"/>
                <w:color w:val="auto"/>
              </w:rPr>
            </w:pP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noncash expenses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0" w:type="dxa"/>
            <w:vAlign w:val="bottom"/>
          </w:tcPr>
          <w:p>
            <w:pPr>
              <w:spacing w:after="0"/>
              <w:rPr>
                <w:sz w:val="1"/>
                <w:szCs w:val="1"/>
                <w:color w:val="auto"/>
              </w:rPr>
            </w:pP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Trade accounts and other receivables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0" w:type="dxa"/>
            <w:vAlign w:val="bottom"/>
          </w:tcPr>
          <w:p>
            <w:pPr>
              <w:spacing w:after="0"/>
              <w:rPr>
                <w:sz w:val="1"/>
                <w:szCs w:val="1"/>
                <w:color w:val="auto"/>
              </w:rPr>
            </w:pPr>
          </w:p>
        </w:tc>
      </w:tr>
      <w:tr>
        <w:trPr>
          <w:trHeight w:val="219"/>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13"/>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9"/>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13"/>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219"/>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pension and other postretirement obligations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operating assets and liabilities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Noncash Expenses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Items necessary to reconcile from net income to cash flow provided by operating activities included net noncash expenses of $507.8 million for the year ended December 28, 2025. Net noncash expense items included $456.2 million of depreciation and amortization, stock-based compensation expense of $29.4 million, deferred income tax expense of $10.0 million, loan cost amortization of $4.9 million, a $3.9 million loss on property disposals, accretion of bond discount of $2.4 million, loss on early extinguishment of debt recognized as a component of interest expense of $0.6 million, and asset impairment of $0.5 million.</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Items necessary to reconcile from net income to cash flow provided by operating activities included net noncash expenses of $480.0 million for the year ended December 29, 2024. Net noncash expense items included $433.6 million of depreciation and amortization, deferred income tax expense of $4.8 million, asset impairment of $28.6 million, stock-based compensation expense of $14.9 million, gain on early extinguishment of debt recognized as a component of interest expense of $11.2 million, loan cost amortization of $5.0 million, accretion of bond discount of $2.5 million, and a $1.8 million gain on property disposals.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change in trade accounts and other receivables, including accounts receivable from related parties, represented a $113.1 million use of cash in 2025. The change in cash was primarily due to an increase in sales volume. The change in trade accounts and other receivables, including accounts receivable from related parties, represented an $88.3 million source of cash in 2024. The change in cash was primarily due to the timing of customer payments, and collections of insurance proceeds.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inventories represented a $193.5 million use of cash in 2025. The change in cash resulted from an increase in our finished goods inventories to meet increased demand. The change in inventories represented a $134.5 million source of cash in 2024. The change in cash resulted from a decrease in our finished goods inventories and lower input costs included in inventory values.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change in prepaid expenses and other current assets represented a $44.5 million use of cash in 2025. This change resulted primarily from an increase in prepaid indirect taxes in our Mexico and Europe reportable segments, and an increase in prepaid grower housing incentives. The change in prepaid expenses and other current assets represented a $33.3 million use of cash in 2024. This change resulted primarily from a net increase in the commodity derivatives assets from favorable fair value positions, an increase from short-term available-for-sale investments, and the impact of foreign currency translation.</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payable and accrued expenses, including accounts payable to related parties, represented a $155.8 million source of cash in 2025. This change resulted primarily from the increases in litigation settlement and payroll accruals. Accounts payable and accrued expenses, including accounts payable to related parties, represented a $126.7 million source of cash in 2024. This change resulted primarily from increases in litigation settlement and incentive compensation accruals.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 in income taxes, which includes income taxes receivable, income taxes payable, deferred tax assets, deferred tax liabilities, reserves for uncertain tax positions, and the tax components within accumulated other comprehensive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represented a $35.4 million source of cash in 2025. This change resulted primarily from the timing of estimated tax payments. The change in income taxes, which includes income taxes receivable, income taxes payable, deferred tax assets, deferred tax liabilities, reserves for uncertain tax positions, and the tax components within accumulated other comprehensive loss, represented a $109.4 million source of cash in 2024. This change resulted primarily from the timing of estimated tax payments and higher profitability in 2024 which increased our income tax payables and reduced income tax receivable.</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9720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72050" cy="8890"/>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Proceeds from property disposals</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Cash used in investing activities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3"/>
        </w:trPr>
        <w:tc>
          <w:tcPr>
            <w:tcW w:w="160" w:type="dxa"/>
            <w:vAlign w:val="bottom"/>
          </w:tcPr>
          <w:p>
            <w:pPr>
              <w:spacing w:after="0"/>
              <w:rPr>
                <w:sz w:val="18"/>
                <w:szCs w:val="18"/>
                <w:color w:val="auto"/>
              </w:rPr>
            </w:pPr>
          </w:p>
        </w:tc>
        <w:tc>
          <w:tcPr>
            <w:tcW w:w="3140" w:type="dxa"/>
            <w:vAlign w:val="bottom"/>
            <w:gridSpan w:val="4"/>
          </w:tcPr>
          <w:p>
            <w:pPr>
              <w:ind w:left="116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26"/>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w:t>
            </w:r>
          </w:p>
        </w:tc>
      </w:tr>
      <w:tr>
        <w:trPr>
          <w:trHeight w:val="219"/>
        </w:trPr>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(460.8)</w:t>
            </w:r>
          </w:p>
        </w:tc>
      </w:tr>
      <w:tr>
        <w:trPr>
          <w:trHeight w:val="23"/>
        </w:trPr>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-454025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-179705</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7220" w:space="720"/>
            <w:col w:w="3300"/>
          </w:cols>
          <w:pgMar w:left="320" w:top="121"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Capital expenditures were incurred primarily for growth projects, projects to improve operational efficiencies, portfolio enhancement projects, such as the conversion of a commodity plant to a plant supporting our U.S. retail customers, and projects to reduce costs during the year ended December 28, 2025. Proceeds from property disposals were primarily for a feed mill in the U.S., breeder farm equipment in Mexico, and other miscellaneous equipment.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3"/>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181"/>
        </w:trPr>
        <w:tc>
          <w:tcPr>
            <w:tcW w:w="7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gridSpan w:val="4"/>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24"/>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dividends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Payments on revolving line of credit, long-term borrowings, and finance lease obligations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early extinguishment of debt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contribution of capital under Tax Sharing Agreement with JBS USA Holdings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Payments for dividends during 2025 are related to the special cash dividends that were paid in April and September 2025. Payments on revolving line of credit, long-term borrowings, and finance lease obligations and payments on early extinguishment of debt during 2025, are primarily related to open market repurchases of outstanding senior notes. The repurchase of noncontrolling interest represents cash paid in exchange for equity of a subsidiary that was previously owned by a noncontrolling interest partner.</w:t>
      </w:r>
    </w:p>
    <w:p>
      <w:pPr>
        <w:spacing w:after="0" w:line="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Payments on revolving line of credit, long-term borrowings and finance lease obligations during 2024 are primarily related to open market repurchases of outstanding senior notes. The proceeds from contribution of capital under the Tax Sharing Agreement with JBS USA Holdings during 2024 were an allocation made during tax year 2023 for payment of historical tax adjustments. Payments on early extinguishment of debt during 2024 are transaction fees related to the bond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Other Borrowing Arrangements</w:t>
      </w:r>
    </w:p>
    <w:p>
      <w:pPr>
        <w:spacing w:after="0" w:line="17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long-term debt and other borrowing arrangements consist of senior notes, revolving credit facilities and other term loan agreements. For a description, refer to Part II, Item 8, Notes to Consolidated Financial Statements, “Note 13.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spending between $900 million and $950 million on the acquisition of property, plant and equipment in 2026. Capital expenditures will primarily be incurred to grow our operations, to improve efficiencies, to reduce costs, and to sustain our operations. We expect to fund these capital expenditures with cash flow from operations and cash on hand.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debt commitments at December 28, 2025, we had other commitments and contractual obligations that require us to make specified payments in the future. The following table summarizes the total amounts due as of December 28, 2025, under all debt agreements, commitments and other contractual obligations. The table indicates the years in which payments are due under the contractual obligations.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060" w:type="dxa"/>
            <w:vAlign w:val="bottom"/>
          </w:tcPr>
          <w:p>
            <w:pPr>
              <w:jc w:val="right"/>
              <w:ind w:right="261"/>
              <w:spacing w:after="0" w:line="12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One to</w:t>
            </w:r>
          </w:p>
        </w:tc>
        <w:tc>
          <w:tcPr>
            <w:tcW w:w="22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Three to</w:t>
            </w:r>
          </w:p>
        </w:tc>
        <w:tc>
          <w:tcPr>
            <w:tcW w:w="180" w:type="dxa"/>
            <w:vAlign w:val="bottom"/>
          </w:tcPr>
          <w:p>
            <w:pPr>
              <w:spacing w:after="0"/>
              <w:rPr>
                <w:sz w:val="11"/>
                <w:szCs w:val="11"/>
                <w:color w:val="auto"/>
              </w:rPr>
            </w:pPr>
          </w:p>
        </w:tc>
        <w:tc>
          <w:tcPr>
            <w:tcW w:w="1120" w:type="dxa"/>
            <w:vAlign w:val="bottom"/>
          </w:tcPr>
          <w:p>
            <w:pPr>
              <w:jc w:val="right"/>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Three Years</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180" w:type="dxa"/>
            <w:vAlign w:val="bottom"/>
          </w:tcPr>
          <w:p>
            <w:pPr>
              <w:spacing w:after="0"/>
              <w:rPr>
                <w:sz w:val="17"/>
                <w:szCs w:val="17"/>
                <w:color w:val="auto"/>
              </w:rPr>
            </w:pPr>
          </w:p>
        </w:tc>
        <w:tc>
          <w:tcPr>
            <w:tcW w:w="11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94"/>
        </w:trPr>
        <w:tc>
          <w:tcPr>
            <w:tcW w:w="3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r>
              <w:rPr>
                <w:rFonts w:ascii="Times New Roman" w:cs="Times New Roman" w:eastAsia="Times New Roman" w:hAnsi="Times New Roman"/>
                <w:sz w:val="21"/>
                <w:szCs w:val="21"/>
                <w:color w:val="auto"/>
                <w:vertAlign w:val="superscript"/>
              </w:rPr>
              <w:t>(a)</w:t>
            </w: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3,137,442</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shd w:val="clear" w:color="auto" w:fill="CCEEFF"/>
          </w:tcPr>
          <w:p>
            <w:pPr>
              <w:spacing w:after="0"/>
              <w:rPr>
                <w:sz w:val="24"/>
                <w:szCs w:val="2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3,135,563</w:t>
            </w:r>
          </w:p>
        </w:tc>
        <w:tc>
          <w:tcPr>
            <w:tcW w:w="0" w:type="dxa"/>
            <w:vAlign w:val="bottom"/>
          </w:tcPr>
          <w:p>
            <w:pPr>
              <w:spacing w:after="0"/>
              <w:rPr>
                <w:sz w:val="1"/>
                <w:szCs w:val="1"/>
                <w:color w:val="auto"/>
              </w:rPr>
            </w:pPr>
          </w:p>
        </w:tc>
      </w:tr>
      <w:tr>
        <w:trPr>
          <w:trHeight w:val="84"/>
        </w:trPr>
        <w:tc>
          <w:tcPr>
            <w:tcW w:w="3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320" w:type="dxa"/>
            <w:vAlign w:val="bottom"/>
            <w:gridSpan w:val="3"/>
            <w:vMerge w:val="continue"/>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w:t>
            </w:r>
            <w:r>
              <w:rPr>
                <w:rFonts w:ascii="Times New Roman" w:cs="Times New Roman" w:eastAsia="Times New Roman" w:hAnsi="Times New Roman"/>
                <w:sz w:val="21"/>
                <w:szCs w:val="21"/>
                <w:color w:val="auto"/>
                <w:vertAlign w:val="superscript"/>
              </w:rPr>
              <w:t>(b)</w:t>
            </w:r>
          </w:p>
        </w:tc>
        <w:tc>
          <w:tcPr>
            <w:tcW w:w="3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1,133,834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158,399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316,746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316,668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342,021</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104,084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61,848</w:t>
            </w:r>
          </w:p>
        </w:tc>
        <w:tc>
          <w:tcPr>
            <w:tcW w:w="0" w:type="dxa"/>
            <w:vAlign w:val="bottom"/>
          </w:tcPr>
          <w:p>
            <w:pPr>
              <w:spacing w:after="0"/>
              <w:rPr>
                <w:sz w:val="1"/>
                <w:szCs w:val="1"/>
                <w:color w:val="auto"/>
              </w:rPr>
            </w:pPr>
          </w:p>
        </w:tc>
      </w:tr>
      <w:tr>
        <w:trPr>
          <w:trHeight w:val="21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obligations</w:t>
            </w:r>
            <w:r>
              <w:rPr>
                <w:rFonts w:ascii="Times New Roman" w:cs="Times New Roman" w:eastAsia="Times New Roman" w:hAnsi="Times New Roman"/>
                <w:sz w:val="21"/>
                <w:szCs w:val="21"/>
                <w:color w:val="auto"/>
                <w:vertAlign w:val="superscript"/>
              </w:rPr>
              <w:t>(c)</w:t>
            </w:r>
          </w:p>
        </w:tc>
        <w:tc>
          <w:tcPr>
            <w:tcW w:w="3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777,760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483,703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283,347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0" w:type="dxa"/>
            <w:vAlign w:val="bottom"/>
          </w:tcPr>
          <w:p>
            <w:pPr>
              <w:spacing w:after="0"/>
              <w:rPr>
                <w:sz w:val="1"/>
                <w:szCs w:val="1"/>
                <w:color w:val="auto"/>
              </w:rPr>
            </w:pPr>
          </w:p>
        </w:tc>
      </w:tr>
      <w:tr>
        <w:trPr>
          <w:trHeight w:val="81"/>
        </w:trPr>
        <w:tc>
          <w:tcPr>
            <w:tcW w:w="39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5,357,778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729,566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705,731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3,546,849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60" w:hanging="652"/>
        <w:spacing w:after="0" w:line="271" w:lineRule="auto"/>
        <w:tabs>
          <w:tab w:leader="none" w:pos="6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debt is presented at face value and excludes $4.0 million in letters of credit outstanding related to normal business transactions. Long-term debt includes the Live Oak CHP Project PACE Loan. For a description, refer to Part II, Item 8, Notes to Consolidated Financial Statements, “Note 13. Debt.”</w:t>
      </w:r>
    </w:p>
    <w:p>
      <w:pPr>
        <w:ind w:left="640" w:hanging="632"/>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in the table above assumes the continuation of interest rates and outstanding borrowings as of December 28, 2025.</w:t>
      </w:r>
    </w:p>
    <w:p>
      <w:pPr>
        <w:spacing w:after="0" w:line="14" w:lineRule="exact"/>
        <w:rPr>
          <w:rFonts w:ascii="Times New Roman" w:cs="Times New Roman" w:eastAsia="Times New Roman" w:hAnsi="Times New Roman"/>
          <w:sz w:val="14"/>
          <w:szCs w:val="14"/>
          <w:color w:val="auto"/>
        </w:rPr>
      </w:pPr>
    </w:p>
    <w:p>
      <w:pPr>
        <w:ind w:left="660" w:hanging="652"/>
        <w:spacing w:after="0" w:line="283" w:lineRule="auto"/>
        <w:tabs>
          <w:tab w:leader="none" w:pos="6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agreements to purchase goods or services that are enforceable and legally binding on us and that specify all significant terms, including fixed or minimum quantities to be purchased; fixed, minimum, or variable price provisions; and the approximate timing of the transaction.</w:t>
      </w:r>
    </w:p>
    <w:p>
      <w:pPr>
        <w:spacing w:after="0" w:line="10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17"/>
          <w:szCs w:val="17"/>
          <w:color w:val="auto"/>
        </w:rPr>
        <w:t>e expect cash flows from operations, combined with availability under the U.S., Mexico, and Europe Credit Facilities to provide sufficient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liquidity to fund current obligations, projected working capital requirements, maturities of long-term debt and capital spending for at least the next twelve months.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Pillar II Tax Initiative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Minimum Tax</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is an international organization composed of 38 member countries that work together to establish international standards and develop solutions for various social, economic, and environmental challenges. These solutions range from improving economic performance and job creation to promoting quality education and combating international tax evasion.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Regarding the fight against tax evasion, the Base Erosion and Profit Shifting (“BEPS”) project was launched in 2013 as a collaboration between the G20 (a group of the world’s 20 largest economies) and the OECD. The project aims to implement 15 measures to combat tax avoidance, enhance the consistency of international tax rules, and ensure a more transparent global tax environment. It seeks to prevent the misuse of tax regulations that result in the erosion of the tax base, particularly through profit shifting to jurisdictions with more favorable or no taxation.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Pillar II is part of one of the OECD’s most recent initiatives, known as BEPS 2.0, which aims to address tax challenges arising from evolving business models in a globalized economy. The goal of Pillar II is to establish a global minimum tax system for multinational enterprises (“MNEs”) with annual consolidated revenue exceeding EUR 750 million. This additional taxation seeks to balance the global allocation of corporate income taxes and ensure that multinational groups pay a minimum effective tax rate of 15% per jurisdiction where they operate.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Starting in the 2024 calendar year, the Pillar II rules came into effect in several jurisdictions, impacting multinational companies operating in these markets. However, during the first three years of implementation, transitional rules (Safe Harbor) have been introduced to simplify the calculation of the effective tax rate per jurisdiction, facilitating the adaptation of multinational groups to the new requirements. As the Group operates in multiple jurisdictions where the global minimum tax is effective, including France, Ireland, Luxembourg, Malta, the Netherlands, and the United Kingdom, the Company carried out the assessment procedures to analyze the potential impacts arising from these regulations. Based on the analyses conducted to date, no material tax exposure has been identified as a result of the application of this tax.</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Part II, Item 8, Notes to Consolidated Financial Statements, “Note 1. Business and Summary of Significant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discussion and analysis of our financial condition and results of operations are based upon our financial statements, which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in accordance with U.S. GAAP. The preparation of these financial statements requires 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make estimates and judgments that affect the reported amounts of assets, liabilities, revenues, and expenses. We continually evaluate our estimates, including those related to revenue recognition, inventory, goodwill and other intangible assets, litigation and income taxes. We base our estimates on historical experience and on various other assumptions, which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our more significant judgments and estimates used in the preparation of our financial statements.</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vast majority of our revenue is derived from contracts which are based upon a customer ordering our products.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may be master agreements, the contract is only established when the customer’s order is accepted by us. We account for a contract, which may be verbal or written, when it is approved and committed by both parties, the rights of the parties are identified along with payment terms, the contract has commercial substance and collectability is probable.</w:t>
      </w:r>
    </w:p>
    <w:p>
      <w:pPr>
        <w:spacing w:after="0" w:line="12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evaluate the transaction for distinct performance obligations, which are the sale of our products to customers. Since our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and depicts the transfer of control and recognition of revenue. There are instances of customer pick-up at our facilities, in which case control transfers to the customer at that point and we recognize revenue. Our performance obligations are typically fulfilled within days to weeks of the acceptance of the order.</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make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our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spacing w:after="0" w:line="11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Live chicken and pig inventories are stated at the lower of cost or net realizable value and breeder hen, breeder sow, and boar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inventories at the lower of cost, less accumulated amortization, or net realizable value. The costs associated with breeder hen inventories are accumulated up to the production stage and amortized over their productive lives using the unit-of-production method. The costs associated with breeder sow inventories are accumulated up to the production stage and amortized on a straight-line basis over their productive lives to the estimated residual cull value. The costs associated with finished poultry products, finished pork products, feed, eggs and other inventories are stated at the lower of cost or net realizable value. Inventory within a production facility typically transfers from one stage of production to another at a standard cost, at which point it accumulates additional cost directly incurred with the production of inventory, including overhead. The standard cost at which each type of inventory transfers is set by management to reflect the actual costs incurred in the prior steps. We monitor and adjust standard costs throughout the year to ensure that standard costs reasonably reflect the actual average cost of the inventory produced.</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allocate meat costs between our various finished chicken products based on a by-product costing technique that reduces the cost of the whole bird by estimated yields and amounts to be recovered for certain by-product parts. This primarily includes leg quarters, wings, tenders and offal, which are carried in inventory at the estimated recovery amounts, with the remaining amount being reflected as our breast meat cost. We allocate meat costs between our various finished pork products based on a by-product costing technique that allocates the cost of the whole pig into the primal cuts by estimated yields and amounts to be recovered for certain by-product parts. This primarily includes legs, shoulders, bellies, offal and fifth quarter parts, which are carried in inventory at the estimated recoverable amounts, with the remaining amount being reflected as our loin meat cost.</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prepared foods inventories, raw materials, and packaging materials are valued at the lower of weighted average cost and net realizable value, work in progress is valued at the latest production cost (raw materials, packaging), finished goods are valued at the lower of the latest actual monthly production cost (raw materials, packaging and direct labor) and attributable overheads and net realizable value, and engineering spares and consumables are valued at cost with an appropriate provision for obsolete engineering spares consistent with historical practice.</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Generally, we perform an evaluation of whether any lower of cost or net realizable value adjustments are required at the country level based on a number of factors, including: (1) pools of related inventory, (2) product continuation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discontinuation, (3) estimated market selling prices and (4) expected distribution channels. If actual market conditions or other factors are less favorable than those projected by management, additional inventory adjustments may be required. We also record valuation adjustments, when necessary, for estimated obsolescence at or equal to the difference between the cost of inventory and the estimated market value based upon known conditions affecting inventory obsolescence, including significantly aged products, discontinued product lines, or damaged or obsolete products.</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Intangibles, net. </w:t>
      </w:r>
      <w:r>
        <w:rPr>
          <w:rFonts w:ascii="Times New Roman" w:cs="Times New Roman" w:eastAsia="Times New Roman" w:hAnsi="Times New Roman"/>
          <w:sz w:val="18"/>
          <w:szCs w:val="18"/>
          <w:color w:val="auto"/>
        </w:rPr>
        <w:t>Goodwill represents the excess of the aggregate purchase price over the fair value of the net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in a business combination. Identified intangible assets represent trade names and customer relationships arising from acquisitions that are recorded at fair value as of the date acquired less accumulated amortization, if any. We use various market valuation techniques to determine the fair value of our identified intangible assets.</w:t>
      </w:r>
    </w:p>
    <w:p>
      <w:pPr>
        <w:spacing w:after="0" w:line="12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tested for impairment on an annual basis in the fourth quarter of each fiscal year or more frequently if impairment indicators arise. For goodwill, an impairment loss is recognized for any excess of the carrying amount of a reporting unit’s goodwill over the implied fair value of that goodwill. Management first reviews relevant qualitative factors to determine whether it is more likely than not (that is, a likelihood of more than 50 percent), that the fair value of a reporting unit is less than the unit’s carrying amount (including goodwill). If management determines it is more likely than not that the carrying amount of a reporting unit goodwill might be impaired, a quantitative impairment test is performed. Management has the option to bypass the qualitative assessment for any reporting unit in any period and proceed directly to performing the quantitative impairment test. Management would be able to resume performing the qualitative assessment in any subsequent period. When performing quantitative impairment tests, we estimate the fair value of our reporting units with material goodwill carrying amounts using an income approach (discounted cash flow method). We develop projections for cash flows over a 5-year period based on assumptions about revenue growth and margin changes using internally-developed economic projections and industry data obtained from government authorities such as the U.S. Department of Agriculture and other sources. We also make terminal value assumptions about revenue growth and margin changes for periods beyond the projection period. We utilize margin assumptions based on operating performance expectations, margins historically realized in the reporting units’ industries, and general macroeconomic trends. We utilize the weighted average cost of capital as a proxy for the discount rate. We consider reporting units that have 20% or less excess fair value over carrying amount to have a heightened risk of future goodwill impairment.</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2023, we experienced (1) an increase in long-term treasury rates that management determined could negatively affect discount rates and (2) continued inflationary pressures impacting primarily our Moy Park and Pilgrim’s Food Masters reporting units that management determined could negatively affect our margins. Both discount rates and margins are used in estimating the fair value of the reporting units. Therefore, management elected to bypass qualitative assessments and performed quantitative goodwill impairment tests for the Moy Park, Pilgrim’s Food Masters, Pilgrim’s Mexico, and Pilgrim’s U.S. reporting units as of December 31, 2023. Our Pilgrim’s U.K. reporting unit reported goodwill of $2.3 million at December 31, 2023. This amount was considered immaterial to warrant quantitative goodwill impairment testing. Based on the outcome of the quantitative tests, management determined that no goodwill impairment existed in the Moy Park, Pilgrim’s Food Masters, Pilgrim’s Mexico, or Pilgrim’s U.S. reporting units as of December 31, 2023.</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 2024, the Company effectively completed a reorganization within its Europe reportable segment. The previous reporting units were Moy Park, Pilgrim's UK, and Pilgrim's Food Masters. The new reporting units were Fresh Pork/Lamb, Fresh Poultry, Food Service, Meals, and Brands &amp; Snacking. As a result of this reorganization, the Company reassigned assets and liabilities to the applicable reporting units and allocated goodwill using the relative net assets approach. The Company then performed an interim impairment test on the reporting units on both a pre- and post-reorganization basis. There was no impairment recognized as a result of these tests.</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28, 2025, the Company modified its previous reorganization within its Europe reportable segment. The previous reporting units were Fresh Pork/Lamb, Fresh Poultry, Food Service, Meals, and Brands &amp; Snacking. The new 2025 reorganization resulted in one plant moving from Fresh Pork/Lamb into Fresh Poultry and combining Meals and Brands &amp; Snacking into one reporting unit called Added Value. The resulting reporting units of this reorganization are Fresh Pork/Lamb, Fresh Poultry, Food Service, and Added Value. As a result of this reorganization, the Company reassigned assets and liabilities to the applicable reporting units and allocated goodwill using the relative net assets approach which is consistent with the reallocation method using in the prior year’s reorganization. The Company then assessed if the reorganization was a triggering event that required an interim impairment test. This resulted in an interim impairment test being performed on the Fresh Pork/Lamb reporting unit on both a pre- and post-reorganization basis. There was no impairment recognized as a result of this test.</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2025, the Company assessed qualitative factors to determine if it was necessary to perform quantitative impairment tests related to the carrying amounts of its goodwill. Based on these assessments, the Company determined that it was not necessary to perform quantitative impairment tests related to the carrying amount of its goodwill at that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intangible assets with indefinite lives are not amortized but are tested for impairment on an annual basis in the fourth quarter of each fiscal year or more frequently if impairment indicators arise. An impairment loss is recognized if the carrying amount of an indefinite-life intangible asset exceeds the estimated fair value of that intangible asset. Management first reviews relevant qualitative factors to determine whether it is more likely than not (that is, a likelihood of more than 50%) that an intangible asset is impaired. If management determines there is an indication that the carrying amount of the intangible asset might be impaired, a quantitative impairment test is performed. Management has the option to bypass the qualitative assessment for any indefinite-life intangible asset in any period and proceed directly to performing the quantitative impairment test.</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our indefinite-life intangible assets is calculated principally using a relief-from-royalty valuation approach, which uses significant unobservable inputs as defined by the fair value hierarchy, and is believed to reflect market participant views which would exist in an exit transaction. Under this valuation approach, we make estimates and assumptions about brand sales growth, royalty rates and discount rates based on specific brand sales projections, general economic projections, anticipated future cash flows and marketplace data. We consider indefinite-life intangible assets that have 20% or less excess fair value over carrying amount to have a heightened risk of future impairment.</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2023, we experienced an increase in long-term treasury rates that management determined could negatively affect discount rates, which are used in estimating the fair value of the reporting units. Therefore, management elected to bypass qualitative assessments for all indefinite-life intangible assets and performed quantitative impairment tests. Based on the outcome of the quantitative tests, management determined that no material impairment existed as of December 28, 2025.</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additionally assessed if the July 1, 2024 Pilgrim’s Europe reorganization indicated that any carrying amounts of its non-goodwill intangible assets might not be recoverable. The reorganization did not result in any change in business use for any of the intangible assets and therefore, the Company determined no indicators were present that required us to test the recoverability of the asset group-level carrying amounts of its Europe intangible assets at that date.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additionally assessed if the July 28, 2025 modification to the Pilgrim’s Europe reorganization indicated that any carrying amounts of its non-goodwill intangible assets might not be recoverable. The reorganization did not result in any change in business use for any of the intangible assets and therefore, the Company determined no indicators were present that required us to test the recoverability of the asset group-level carrying amounts of its Europe intangible assets at that date.</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2025, the Company assessed qualitative factors to determine if it was necessary to perform quantitative impairment tests related to the carrying amounts of its intangible assets not subject to amortization. Based on these assessments, the Company determined that it was not necessary to perform quantitative impairment tests related to the carrying amount of its intangible assets not subject to amortization at that date.</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Identifiable intangible assets with definite lives, such as customer relationships and trade names that we expect to use for a limited amount of time, are amortized over their estimated useful lives on a straight-line basis. The useful lives range from 15 to 20 years for trade names and three to 18 years for customer relationships. Identified intangible assets with definite lives are tested for recoverability whenever events or changes in circumstances indicate that their carrying amount may not be recoverable. Management assessed if events or changes in circumstances indicated that the aggregate carrying amount of its identified intangible assets with definite lives might not be recoverable and determined that there were no impairment indicators during the years ended December 28, 2025 and December 29, 2024.</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and Contingent Liabilities. </w:t>
      </w:r>
      <w:r>
        <w:rPr>
          <w:rFonts w:ascii="Times New Roman" w:cs="Times New Roman" w:eastAsia="Times New Roman" w:hAnsi="Times New Roman"/>
          <w:sz w:val="18"/>
          <w:szCs w:val="18"/>
          <w:color w:val="auto"/>
        </w:rPr>
        <w:t>We are subject to lawsuits, investigations and other claims related to employment, environmental,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matters. We are required to assess the likelihood of any adverse judgments or outcomes, as well as potential ranges of probable losses, to these matters. We estimate the amount of reserves required for these contingencies when losses are determined to be probable and after considerable analysis of each individual issue. We expense legal costs related to such loss contingencies as they are incurred. With respect to our environmental remediation obligations, the accrual for environmental remediation liabilities is measured on an undiscounted basis. These reserves may change in the future due to changes in our assumptions, the effectiveness of strategies, or other factors beyond our control.</w:t>
      </w:r>
    </w:p>
    <w:p>
      <w:pPr>
        <w:spacing w:after="0" w:line="12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follow provisions under the Financial Accounting Standards Board (“FASB”) Accounting Standards Codification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with regard to members of a group that file a consolidated tax return but issue separate financial statements. We file certain state unitary returns with JBS USA Food Company Holdings. Our income tax expense is computed using the separate return method. The provision for income taxes has been determined using the asset and liability approach of accounting for income taxes. For the unitary states, we have an obligation to make tax payments to JBS USA Food Company Holdings for our share of the unitary taxable income, which is included in taxes payable in our Consolidated Balance Sheets. Under this approach, deferred income taxes reflect the net tax effect of temporary differences between the book and tax bases of recorded assets and liabilities, net operating losses and tax credit carry forwards. The amount of deferred tax on these temporary differences is determined using the tax rates expected to apply to the period when the asset is realized or the liability is settled, as applicable, based on the tax rates and laws in the respective tax</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jurisdiction enacted as of the balance sheet date. We recognize potential interest and penalties related to income tax positions as a part of the income tax provision.</w:t>
      </w:r>
    </w:p>
    <w:p>
      <w:pPr>
        <w:spacing w:after="0" w:line="1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Defined Benefit Pension and Other Postretirement Plans. </w:t>
      </w:r>
      <w:r>
        <w:rPr>
          <w:rFonts w:ascii="Times New Roman" w:cs="Times New Roman" w:eastAsia="Times New Roman" w:hAnsi="Times New Roman"/>
          <w:sz w:val="18"/>
          <w:szCs w:val="18"/>
          <w:color w:val="auto"/>
        </w:rPr>
        <w:t>We sponsor two qualified defined benefit pension plans, two nonqualified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retirement plans, and one defined benefit postretirement life insurance plan. Some of these plans are administered by a board of trustees made up of management within the participating companies and representatives from associated labor groups while others are administered by an investment committee made up of management from the participating company. We use independent third-party actuaries to assist in determining our pension obligations and net periodic benefit cost. We, along with the actuaries, review assumptions including estimates of the present value of projected future pension payments to participants. We accumulate and amortize the impact of actuarial gains and losses over future periods.</w:t>
      </w:r>
    </w:p>
    <w:p>
      <w:pPr>
        <w:spacing w:after="0" w:line="1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defined benefit pension and other postretirement plans contain uncertainties because it requires management to make assumptions and apply judgments. The key assumptions made in developing key estimates include discount rates, expected returns on plan assets, retirement rates, and mortality. These assumptions can have a material impact on the funded status and the net periodic benefit cost. The discount rates reflect yields on high-quality corporate bonds as of the measurement date and were compared to the effective discount rate determined by discounting plan cash flows using the 12/26/2025 Empower Above Mean Curve. All other assumptions reflect estimates of future experience and considering relevant historical information, such as credible plan experience, from representative populations and relevant plan characteristics. The mortality assumption reflects experience from representative populations, based on the Pri-2012 Private Retirement Plans Mortality Table Report issued by the Society of Actuaries (“SOA”) in October 2019 and the Mortality Improvement Scale MP-2021 Report issued by the SOA in October 2021. It is reasonable to expect that changes in external factors will result in changes to the assumptions noted above that are used to measure pension obligations and net periodic benefit cost in future periods.</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2024, we terminated our Pilgrim’s Pride Pension Plan for Legacy Gold Kist (“LGK Plan”) and our Pilgrim’s Pride Retirement Plan for Union Employees (“Union Plan”). The termination included settling all outstanding obligations through a combination of lump-sum payouts to participants who elected to receive one and through a purchase of annuities for the participants who did not elect a lump-sum payout. In order to fund the lump-sum payments and purchases of nonparticipating annuity contracts, all invested assets within each of the two plans were liquidated. The remaining assets within the two plans at the end of 2024 represented an excess of the liquidated assets over the amount of outstanding obligations at time of termination. These assets were split between an amount transferred to our qualifying 401(k) retirement plan and an amount reverted to the Company less applicable excise taxes in Q1 2025.</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evaluated the termination of our LGK and Union Plans to confirm if this transaction met the definition of a settlement as defined under ASC Topic 715 </w:t>
      </w:r>
      <w:r>
        <w:rPr>
          <w:rFonts w:ascii="Times New Roman" w:cs="Times New Roman" w:eastAsia="Times New Roman" w:hAnsi="Times New Roman"/>
          <w:sz w:val="18"/>
          <w:szCs w:val="18"/>
          <w:i w:val="1"/>
          <w:iCs w:val="1"/>
          <w:color w:val="auto"/>
        </w:rPr>
        <w:t>Compensation—Retirement Benefits</w:t>
      </w:r>
      <w:r>
        <w:rPr>
          <w:rFonts w:ascii="Times New Roman" w:cs="Times New Roman" w:eastAsia="Times New Roman" w:hAnsi="Times New Roman"/>
          <w:sz w:val="18"/>
          <w:szCs w:val="18"/>
          <w:color w:val="auto"/>
        </w:rPr>
        <w:t xml:space="preserve">, which defines a settlement as “a transaction that is an irrevocable action, relieves the employer (or the plan) of primary responsibility for a pension or postretirement obligation, and eliminates significant risks related to the obligation and the assets used to effect the settlement.” The termination of our LGK and Union Plans was an irrevocable action that relieved us from the pension obligations through the payment of lump-sum payouts and nonparticipating annuity purchases using the liquidated assets of the plans. Additionally, through the termination and settlement of all obligations, we eliminated the significant risks associated with maintaining the obligations and assets. Through this analysis, it was determined we met the criteria of a full settlement of the pension obligations, we applied settlement accounting which required us to recognize the net loss remaining in accumulated other comprehensive loss at the time of settlement as a net loss in </w:t>
      </w:r>
      <w:r>
        <w:rPr>
          <w:rFonts w:ascii="Times New Roman" w:cs="Times New Roman" w:eastAsia="Times New Roman" w:hAnsi="Times New Roman"/>
          <w:sz w:val="18"/>
          <w:szCs w:val="18"/>
          <w:i w:val="1"/>
          <w:iCs w:val="1"/>
          <w:color w:val="auto"/>
        </w:rPr>
        <w:t>Miscellaneous, net</w:t>
      </w:r>
      <w:r>
        <w:rPr>
          <w:rFonts w:ascii="Times New Roman" w:cs="Times New Roman" w:eastAsia="Times New Roman" w:hAnsi="Times New Roman"/>
          <w:sz w:val="18"/>
          <w:szCs w:val="18"/>
          <w:color w:val="auto"/>
        </w:rPr>
        <w:t xml:space="preserve"> on the Statement of Income for the year ended December 29, 2024.</w:t>
      </w:r>
    </w:p>
    <w:p>
      <w:pPr>
        <w:spacing w:after="0" w:line="11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i w:val="1"/>
          <w:iCs w:val="1"/>
          <w:color w:val="auto"/>
        </w:rPr>
        <w:t>Business Combination Accounting</w:t>
      </w:r>
      <w:r>
        <w:rPr>
          <w:rFonts w:ascii="Times New Roman" w:cs="Times New Roman" w:eastAsia="Times New Roman" w:hAnsi="Times New Roman"/>
          <w:sz w:val="18"/>
          <w:szCs w:val="18"/>
          <w:color w:val="auto"/>
        </w:rPr>
        <w:t>. We allocate the consideration of an acquired business to its identifiable assets and liabilities based on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The excess of the consideration over the amount allocated to the assets and liabilities, if any, is recorded to goodwill. We use all available information to estimate fair values. We use various models to determine the value of assets acquired and liabilities assumed such as net realizable value to value inventory, cost method and market approach to value property, relief-from-royalty and multi-period excess earnings to value intangibles and discounted cash flow to value goodwill. We typically engage third-party valuation specialists to assist in the fair value determination of tangible long-lived assets and intangible assets other than goodwill. The fair value of acquired inventories is typically determined by extending physical counts of the inventories taken at or near the acquisition date to market pricing in effect for such inventories at or near the acquisition date. The carrying values of acquired receivables and accounts payable have historically approximated their fair values as of the business combination date. As necessary, we may engage third-party specialists to assist in the estimation of fair value for certain liabilities. We adjust the preliminary acquisition accounting, as necessary, typically up to one year after the acquisition closing date for those items that existed at the acquisition date and were provisionally accounted for at that time, as we obtain more information regarding asset valuations and liabilities assumed.</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acquisition accounting methodology contains uncertainties because it requires management to make assumptions and to apply judgment to estimate the fair value of acquired assets and liabilities. Management estimates the fair value of assets and liabilities based upon quoted market prices, the carrying value of the acquired assets and widely accepted valuation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techniques, including discounted cash flows and market multiple analyses. Unanticipated events or circumstances may occur which could affect the accuracy of our fair value estimates, including changes in assumptions regarding industry economic factors and business strategies. If actual results are materially different than the assumptions used to determine fair value of the assets and liabilities acquired through a business combination, it is possible that adjustments to the carrying values of such assets and liabilities will have an impact on our net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Adjusted EBITDA and Adjusted Net Income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“EBITDA” is defined as the sum of net income (loss) plus interest, taxes, depreciation and amortization. “Adjusted EBITDA” is calculated by adding to EBITDA certain items of expense and deducting from EBITDA certain items of income that we believe are not indicative of our ongoing operating performance consisting of: (1) foreign currency transaction losses (gains), (2) costs related to litigation settlements, (3) restructuring activities losses, (4) loss on settlement of pension from plan termination, (5) inventory write-down as a result of hurricane, and (6) net income attributable to noncontrolling interest. “Adjusted Net Income” is calculated by adding to Net Income certain items of expense and deducting from Net Income certain items of income that we believe are not indicative of our ongoing performance consisting of: items (1) through (6) above and (7) gain on early extinguishment of debt. EBITDA is presented because it is used by us and we believe it is frequently used by securities analysts, investors and other interested parties, in addition to and not in lieu of results prepared in conformity with U.S. GAAP, to compare the performance of companies. We believe investors would be interested in our Adjusted EBITDA because this is how our management analyzes EBITDA applicable to continuing operations. We also believe that Adjusted EBITDA, in combination with our financial results calculated in accordance with U.S. GAAP, provides investors with additional perspective regarding the impact of certain significant items on EBITDA and facilitates a more direct comparison of our performance with our competitors. EBITDA and Adjusted EBITDA are not measurements of financial performance under U.S. GAAP. EBITDA and Adjusted EBITDA have limitations as analytical tools and should not be considered in isolation or as substitutes for an analysis of our results as reported under U.S. GAAP. Some of the limitations of these measures are:</w:t>
      </w:r>
    </w:p>
    <w:p>
      <w:pPr>
        <w:spacing w:after="0" w:line="14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our cash expenditures, future requirements for capital expenditures or contractual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significant interest expense or the cash requirements necessary to service interest or principal payments on our debt;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not adjusted for all noncash income or expense items that are reflected in our statements of cash 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of earnings or charges attributable to noncontrolling interests;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to not be indicative of our ongoing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limitations on or costs related to transferring earnings from our subsidiaries to us.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other companies in our industry may calculate these measures differently than we do, limiting their usefulness as a comparative measure. Because of these limitations, EBITDA and Adjusted EBITDA should not be considered as an alternative to net income as indicators of our operating performance or any other measures of performance derived in accordance with U.S. GAAP. You should compensate for these limitations by relying primarily on our U.S. GAAP results and using EBITDA and Adjusted EBITDA only on a supplemental basis.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189"/>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1,083,344</w:t>
            </w:r>
          </w:p>
        </w:tc>
        <w:tc>
          <w:tcPr>
            <w:tcW w:w="34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1,087,223</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110,270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88,509</w:t>
            </w: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418,794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325,046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456,157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433,622</w:t>
            </w:r>
          </w:p>
        </w:tc>
        <w:tc>
          <w:tcPr>
            <w:tcW w:w="0" w:type="dxa"/>
            <w:vAlign w:val="bottom"/>
          </w:tcPr>
          <w:p>
            <w:pPr>
              <w:spacing w:after="0"/>
              <w:rPr>
                <w:sz w:val="1"/>
                <w:szCs w:val="1"/>
                <w:color w:val="auto"/>
              </w:rPr>
            </w:pPr>
          </w:p>
        </w:tc>
      </w:tr>
      <w:tr>
        <w:trPr>
          <w:trHeight w:val="21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2,068,565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1,934,400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(10,025)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expense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162,659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167,228</w:t>
            </w:r>
          </w:p>
        </w:tc>
        <w:tc>
          <w:tcPr>
            <w:tcW w:w="0" w:type="dxa"/>
            <w:vAlign w:val="bottom"/>
          </w:tcPr>
          <w:p>
            <w:pPr>
              <w:spacing w:after="0"/>
              <w:rPr>
                <w:sz w:val="1"/>
                <w:szCs w:val="1"/>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activities losses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31,354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93,388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settlement of pension from plan termination</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21,649</w:t>
            </w:r>
          </w:p>
        </w:tc>
        <w:tc>
          <w:tcPr>
            <w:tcW w:w="0" w:type="dxa"/>
            <w:vAlign w:val="bottom"/>
          </w:tcPr>
          <w:p>
            <w:pPr>
              <w:spacing w:after="0"/>
              <w:rPr>
                <w:sz w:val="1"/>
                <w:szCs w:val="1"/>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write-down as a result of hurricane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8,075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Minus: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2,268,370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2,213,930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4100"/>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7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51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Pilgrim’s</w:t>
            </w:r>
          </w:p>
        </w:tc>
        <w:tc>
          <w:tcPr>
            <w:tcW w:w="2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1,082,359</w:t>
            </w:r>
          </w:p>
        </w:tc>
        <w:tc>
          <w:tcPr>
            <w:tcW w:w="1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 settlements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162,659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activities losses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settlement of pension from plan termination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 write-down as a result of hurricane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Gain on early extinguishment of debt recognized as a component of interest expense</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Pilgrim’s before tax impact of adjustments</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1,283,149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Net tax benefit of adjustments</w:t>
            </w:r>
            <w:r>
              <w:rPr>
                <w:rFonts w:ascii="Times New Roman" w:cs="Times New Roman" w:eastAsia="Times New Roman" w:hAnsi="Times New Roman"/>
                <w:sz w:val="23"/>
                <w:szCs w:val="23"/>
                <w:color w:val="auto"/>
                <w:vertAlign w:val="superscript"/>
              </w:rPr>
              <w:t>(b)</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(49,288)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Pilgrim’s</w:t>
            </w:r>
          </w:p>
        </w:tc>
        <w:tc>
          <w:tcPr>
            <w:tcW w:w="2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1,233,861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of common stock outstanding</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Pilgrim’s per common diluted share</w:t>
            </w:r>
          </w:p>
        </w:tc>
        <w:tc>
          <w:tcPr>
            <w:tcW w:w="26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on early extinguishment of debt recognized as a component of interest expense in 2024 was due to the bond repurchases.</w:t>
      </w:r>
    </w:p>
    <w:p>
      <w:pPr>
        <w:spacing w:after="0" w:line="2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tax impact of adjustments represents the tax impact of all adjustments shown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Risk-Sensitive Instruments and Positions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risk inherent in our market risk-sensitive instruments and positions is primarily the potential loss arising from adverse changes in commodity prices, foreign currency exchange rates, interest rates and the credit quality of available-for-sale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as discussed below. The sensitivity analyses presented do not consider the effects that such adverse changes may have on overall economic activity, nor do they consider additional actions our management may take to mitigate our exposure to such changes. Actual results may differ from those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purchase certain commodities, primarily corn, soybean meal, soybean oil, and wheat, for use as ingredients in the feed we either sell commercially or consume in our live operations. As a result, our earnings are affected by changes in the price and availability of such feed ingredients. We have from time to time attempted to minimize our exposure to the changing price and availability of such feed ingredients using various techniques, including, but not limited to, (1) executing purchase agreements with suppliers for future physical delivery of feed ingredients at established prices and (2) purchasing or selling derivative financial instruments such as futures and options.</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For this sensitivity analysis, market risk is estimated as a hypothetical 10% increase in the weighted-average cost of our primary feed ingredients as of the periods presented. The impact of this fluctuation, if realized, could be mitigated by related commodity hedging activity. However, fluctuations greater than 10% could occur.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60" w:type="dxa"/>
            <w:vAlign w:val="bottom"/>
            <w:gridSpan w:val="2"/>
          </w:tcPr>
          <w:p>
            <w:pPr>
              <w:jc w:val="center"/>
              <w:ind w:right="584"/>
              <w:spacing w:after="0"/>
              <w:rPr>
                <w:sz w:val="20"/>
                <w:szCs w:val="20"/>
                <w:color w:val="auto"/>
              </w:rPr>
            </w:pPr>
            <w:r>
              <w:rPr>
                <w:rFonts w:ascii="Times New Roman" w:cs="Times New Roman" w:eastAsia="Times New Roman" w:hAnsi="Times New Roman"/>
                <w:sz w:val="14"/>
                <w:szCs w:val="14"/>
                <w:b w:val="1"/>
                <w:bCs w:val="1"/>
                <w:color w:val="auto"/>
              </w:rPr>
              <w:t>Year Ended December 28, 2025</w:t>
            </w:r>
          </w:p>
        </w:tc>
        <w:tc>
          <w:tcPr>
            <w:tcW w:w="148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21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Impact of 10% Increase in Feed Ingredient Prices</w:t>
            </w:r>
          </w:p>
        </w:tc>
      </w:tr>
      <w:tr>
        <w:trPr>
          <w:trHeight w:val="171"/>
        </w:trPr>
        <w:tc>
          <w:tcPr>
            <w:tcW w:w="4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60" w:type="dxa"/>
            <w:vAlign w:val="bottom"/>
            <w:gridSpan w:val="2"/>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480" w:type="dxa"/>
            <w:vAlign w:val="bottom"/>
          </w:tcPr>
          <w:p>
            <w:pPr>
              <w:spacing w:after="0"/>
              <w:rPr>
                <w:sz w:val="14"/>
                <w:szCs w:val="14"/>
                <w:color w:val="auto"/>
              </w:rPr>
            </w:pPr>
          </w:p>
        </w:tc>
      </w:tr>
      <w:tr>
        <w:trPr>
          <w:trHeight w:val="221"/>
        </w:trPr>
        <w:tc>
          <w:tcPr>
            <w:tcW w:w="45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Feed ingredient purchases</w:t>
            </w:r>
            <w:r>
              <w:rPr>
                <w:rFonts w:ascii="Times New Roman" w:cs="Times New Roman" w:eastAsia="Times New Roman" w:hAnsi="Times New Roman"/>
                <w:sz w:val="21"/>
                <w:szCs w:val="21"/>
                <w:color w:val="auto"/>
                <w:vertAlign w:val="superscript"/>
              </w:rPr>
              <w:t>(a)</w:t>
            </w:r>
          </w:p>
        </w:tc>
        <w:tc>
          <w:tcPr>
            <w:tcW w:w="2120" w:type="dxa"/>
            <w:vAlign w:val="bottom"/>
            <w:shd w:val="clear" w:color="auto" w:fill="CCEEFF"/>
          </w:tcPr>
          <w:p>
            <w:pPr>
              <w:jc w:val="right"/>
              <w:ind w:right="1944"/>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3,357,311</w:t>
            </w:r>
          </w:p>
        </w:tc>
        <w:tc>
          <w:tcPr>
            <w:tcW w:w="1880" w:type="dxa"/>
            <w:vAlign w:val="bottom"/>
            <w:shd w:val="clear" w:color="auto" w:fill="CCEEFF"/>
          </w:tcPr>
          <w:p>
            <w:pPr>
              <w:jc w:val="right"/>
              <w:ind w:right="1624"/>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335,731</w:t>
            </w:r>
          </w:p>
        </w:tc>
      </w:tr>
      <w:tr>
        <w:trPr>
          <w:trHeight w:val="281"/>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Feed ingredient inventory</w:t>
            </w:r>
            <w:r>
              <w:rPr>
                <w:rFonts w:ascii="Times New Roman" w:cs="Times New Roman" w:eastAsia="Times New Roman" w:hAnsi="Times New Roman"/>
                <w:sz w:val="21"/>
                <w:szCs w:val="21"/>
                <w:color w:val="auto"/>
                <w:vertAlign w:val="superscript"/>
              </w:rPr>
              <w:t>(b)</w:t>
            </w:r>
          </w:p>
        </w:tc>
        <w:tc>
          <w:tcPr>
            <w:tcW w:w="2120" w:type="dxa"/>
            <w:vAlign w:val="bottom"/>
          </w:tcPr>
          <w:p>
            <w:pPr>
              <w:spacing w:after="0"/>
              <w:rPr>
                <w:sz w:val="24"/>
                <w:szCs w:val="24"/>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172,237</w:t>
            </w:r>
          </w:p>
        </w:tc>
        <w:tc>
          <w:tcPr>
            <w:tcW w:w="18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17,224</w:t>
            </w:r>
          </w:p>
        </w:tc>
      </w:tr>
    </w:tbl>
    <w:p>
      <w:pPr>
        <w:spacing w:after="0" w:line="2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feed consumption, a 10% increase in the price of our feed ingredient purchases would have increased cost of sales for the year ended December 28, 2025.</w:t>
      </w:r>
    </w:p>
    <w:p>
      <w:pPr>
        <w:spacing w:after="0" w:line="2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 increase in ending feed ingredient prices would have increased inventories as of December 28,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8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2320" w:type="dxa"/>
            <w:vAlign w:val="bottom"/>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spacing w:after="0"/>
              <w:rPr>
                <w:sz w:val="11"/>
                <w:szCs w:val="11"/>
                <w:color w:val="auto"/>
              </w:rPr>
            </w:pPr>
          </w:p>
        </w:tc>
        <w:tc>
          <w:tcPr>
            <w:tcW w:w="3360" w:type="dxa"/>
            <w:vAlign w:val="bottom"/>
            <w:gridSpan w:val="2"/>
          </w:tcPr>
          <w:p>
            <w:pPr>
              <w:jc w:val="center"/>
              <w:ind w:left="4"/>
              <w:spacing w:after="0" w:line="131" w:lineRule="exact"/>
              <w:rPr>
                <w:sz w:val="20"/>
                <w:szCs w:val="20"/>
                <w:color w:val="auto"/>
              </w:rPr>
            </w:pPr>
            <w:r>
              <w:rPr>
                <w:rFonts w:ascii="Times New Roman" w:cs="Times New Roman" w:eastAsia="Times New Roman" w:hAnsi="Times New Roman"/>
                <w:sz w:val="14"/>
                <w:szCs w:val="14"/>
                <w:b w:val="1"/>
                <w:bCs w:val="1"/>
                <w:color w:val="auto"/>
              </w:rPr>
              <w:t>Impact of 10% Increase to the Fair Value of</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center"/>
              <w:ind w:right="544"/>
              <w:spacing w:after="0"/>
              <w:rPr>
                <w:sz w:val="20"/>
                <w:szCs w:val="20"/>
                <w:color w:val="auto"/>
              </w:rPr>
            </w:pPr>
            <w:r>
              <w:rPr>
                <w:rFonts w:ascii="Times New Roman" w:cs="Times New Roman" w:eastAsia="Times New Roman" w:hAnsi="Times New Roman"/>
                <w:sz w:val="14"/>
                <w:szCs w:val="14"/>
                <w:b w:val="1"/>
                <w:bCs w:val="1"/>
                <w:color w:val="auto"/>
              </w:rPr>
              <w:t>Commodity Derivative Assets</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80" w:type="dxa"/>
            <w:vAlign w:val="bottom"/>
            <w:gridSpan w:val="2"/>
          </w:tcPr>
          <w:p>
            <w:pPr>
              <w:jc w:val="center"/>
              <w:ind w:left="268"/>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5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Commodity derivative assets</w:t>
            </w:r>
            <w:r>
              <w:rPr>
                <w:rFonts w:ascii="Times New Roman" w:cs="Times New Roman" w:eastAsia="Times New Roman" w:hAnsi="Times New Roman"/>
                <w:sz w:val="21"/>
                <w:szCs w:val="21"/>
                <w:color w:val="auto"/>
                <w:vertAlign w:val="superscript"/>
              </w:rPr>
              <w:t>(a)</w:t>
            </w:r>
          </w:p>
        </w:tc>
        <w:tc>
          <w:tcPr>
            <w:tcW w:w="2320" w:type="dxa"/>
            <w:vAlign w:val="bottom"/>
            <w:shd w:val="clear" w:color="auto" w:fill="CCEEFF"/>
          </w:tcPr>
          <w:p>
            <w:pPr>
              <w:jc w:val="right"/>
              <w:ind w:right="214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8,167</w:t>
            </w:r>
          </w:p>
        </w:tc>
        <w:tc>
          <w:tcPr>
            <w:tcW w:w="70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60" w:hanging="652"/>
        <w:spacing w:after="0" w:line="271" w:lineRule="auto"/>
        <w:tabs>
          <w:tab w:leader="none" w:pos="6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 commodity derivative financial instruments, specifically exchange-traded futures and options, in an attempt to mitigate price risk related to our anticipated consumption of commodity inputs for the next 12 months. A 10% increase in corn, soybean meal, soybean oil and wheat prices would have resulted in an increase in the fair value of our net commodity derivative asset position, including margin cash, as of December 28,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Fixed-rate debt</w:t>
      </w:r>
      <w:r>
        <w:rPr>
          <w:rFonts w:ascii="Times New Roman" w:cs="Times New Roman" w:eastAsia="Times New Roman" w:hAnsi="Times New Roman"/>
          <w:sz w:val="18"/>
          <w:szCs w:val="18"/>
          <w:color w:val="auto"/>
        </w:rPr>
        <w:t>. Market risk for fixed-rate debt is estimated as the potential decrease in fair value resulting from a hypothetical increase in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of 10%. Using a discounted cash flow analysis, a hypothetical 10% increase in interest rates would have decreased the fair value of our fixed-rate debt by $87.9 million as of December 28,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Foreign Investments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foreign exchange-related variability of investments and earnings from our Mexican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Mexican peso to U.S. dollars, and the effect of this change on our Mexican foreign investments.</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Assets. </w:t>
      </w:r>
      <w:r>
        <w:rPr>
          <w:rFonts w:ascii="Times New Roman" w:cs="Times New Roman" w:eastAsia="Times New Roman" w:hAnsi="Times New Roman"/>
          <w:sz w:val="18"/>
          <w:szCs w:val="18"/>
          <w:color w:val="auto"/>
        </w:rPr>
        <w:t>As of December 28, 2025, our Mexican subsidiaries that are denominated in Mexican peso had net assets of $711.2 million. A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weakening in Mexican peso against the U.S. dollar exchange rate would cause a decrease in the net assets of our Mexican subsidiaries by $(64.7) million. A 10% strengthening in the Mexican peso against the U.S dollar exchange rate would cause an increase in the net assets of our Mexican subsidiaries of $79.0 million</w:t>
      </w:r>
    </w:p>
    <w:p>
      <w:pPr>
        <w:spacing w:after="0" w:line="12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also exposed to the effect of potential currency exchange rate fluctuations to the extent that amounts are repatriated from Mexico to the U.S. The Mexican peso exchange rate can directly and indirectly impact our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 Foreign Investments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foreign exchange-related variability of investments and earnings from our Europe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British pound and euro to U.S. dollars, and the effect of this change on our Europe foreign investments.</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Assets. </w:t>
      </w:r>
      <w:r>
        <w:rPr>
          <w:rFonts w:ascii="Times New Roman" w:cs="Times New Roman" w:eastAsia="Times New Roman" w:hAnsi="Times New Roman"/>
          <w:sz w:val="18"/>
          <w:szCs w:val="18"/>
          <w:color w:val="auto"/>
        </w:rPr>
        <w:t>As of December 28, 2025, our Europe subsidiaries that are denominated in the British pound had net assets of $1.1 billion. A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weakening in the British pound against the U.S. dollar exchange rate would cause a decrease in the net assets of our Europe subsidiaries by $96.0 million. A 10% strengthening in the British pound against the U.S. dollar exchange rate would cause an increase in the net assets of our Europe subsidiaries by $117.3 million.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 hedging transactions. </w:t>
      </w:r>
      <w:r>
        <w:rPr>
          <w:rFonts w:ascii="Times New Roman" w:cs="Times New Roman" w:eastAsia="Times New Roman" w:hAnsi="Times New Roman"/>
          <w:sz w:val="18"/>
          <w:szCs w:val="18"/>
          <w:color w:val="auto"/>
        </w:rPr>
        <w:t>We periodically enter into foreign currency forward contracts, which are designated and qualify as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hedges, to hedge foreign currency risk on a portion of sales generated and purchases made by our Europe reportable segment. A 10% weakening or strengthening of the U.S. dollar against the British pound and U.S. dollar against the euro would result in immaterial changes in the fair values of these derivative instruments. No assurance can be given as to how future movements in currency rates could affect our future financial condition or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of Investments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retirement plans that we sponsor invest in a variety of financial instruments. We have analyzed our portfolios of investments and, to the best of our knowledge, none of our investments, including money market funds units, commercial paper and municipal securities, have been downgraded, and neither we nor any fund in which we participate hold significant amounts of structured investment vehicles, auction rate securities, collateralized debt obligations, credit derivatives, hedge funds investments, fund of funds investments or perpetual preferred securities. Certain postretirement funds in which we participate hold significant amounts of mortgage-backed securities. However, none of the mortgages collateralizing these securities are considered subprime.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Mexico and most of Europe continue to experience inflation at above-historical levels, though to a lesser degree than in the prior year. None of the locations in which we operate are experiencing hyperinflation. We have responded to these inflationary challenges by continuing negotiations with customers to recoup the extraordinary costs we have experienced. We also continue to focus on operational initiatives that aim to deliver labor efficiencies, better agricultural performance and improved yields.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Pilgrim's Pride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audited the accompanying consolidated balance sheets of Pilgrim's Pride Corporation and subsidiaries (the Company) as of December 28, 2025 and December 29, 2024, the related consolidated statements of income, comprehensive income, stockholders’ equity, and cash flows for each of the fiscal years in the three-year period ended December 28, 2025, and the related notes (collectively, the consolidated financial statements). We also have audited the Company’s internal control over financial reporting as of December 28, 2025, based on criteria established in Internal Control – Integrated Framework (2013) issued by the Committee of Sponsoring Organizations of the Treadway Commission.</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28, 2025 and December 29, 2024, and the results of its operations and its cash flows for each of the fiscal years in the three-year period ended December 28, 2025, in conformity with U.S. generally accepted accounting principles. Also in our opinion, the Company maintained, in all material respects, effective internal control over financial reporting as of December 28, 2025 based on criteria established in Internal Control – Integrated Framework (2013) issued by the Committee of Sponsoring Organizations of the Treadway Commission.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6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tax claims and proceedings in connection with the acquisition of Tyson de México</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discussed in Notes 1 and 21 to the consolidated financial statements, the Company is subject to various proceedings and claims. The Company is required to assess the likelihood of any adverse judgments or outcomes, as well as potential ranges of probable losses, related to these matters. The Company evaluated complex Mexican tax laws and regulations related to tax assessments from its acquisition of Tyson de México and estimated a probable loss of $88.2 million as of December 28, 2025.</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identified the evaluation of the tax assessments against the Company in connection with its acquisition of Tyson de México as a critical audit matter. Subjective auditor judgment, and specialized skills and knowledge, were required to evaluate the Company's assessment of the probability of an unfavorable outcome because of the complexity of interpreting and applying Mexican tax laws and regulations.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proceedings and claims process. This included controls over the Company’s interpretation and application of Mexican tax laws and regulations. We evaluated the Company’s assessment of the probability of the loss by reading certain written analyses from the Company. In addition, we involved tax professionals with specialized skills and knowledge, who assisted in assessing the probability of the loss by inspecting correspondence and assessments from Mexican tax authorities, interpreting complex Mexican tax laws and regulations and comparing our interpretation to the Company’s analyses.</w:t>
      </w:r>
    </w:p>
    <w:p>
      <w:pPr>
        <w:spacing w:after="0" w:line="12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PILGRIM’S PRIDE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08"/>
        </w:trPr>
        <w:tc>
          <w:tcPr>
            <w:tcW w:w="7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4"/>
          </w:tcPr>
          <w:p>
            <w:pPr>
              <w:jc w:val="right"/>
              <w:ind w:right="439"/>
              <w:spacing w:after="0"/>
              <w:rPr>
                <w:sz w:val="20"/>
                <w:szCs w:val="20"/>
                <w:color w:val="auto"/>
              </w:rPr>
            </w:pPr>
            <w:r>
              <w:rPr>
                <w:rFonts w:ascii="Times New Roman" w:cs="Times New Roman" w:eastAsia="Times New Roman" w:hAnsi="Times New Roman"/>
                <w:sz w:val="13"/>
                <w:szCs w:val="13"/>
                <w:b w:val="1"/>
                <w:bCs w:val="1"/>
                <w:color w:val="auto"/>
              </w:rPr>
              <w:t>(In thousands, except share and par value data)</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2,040,834</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available-for-sale securities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accounts and other receivables, less allowance for credit losses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1,004,334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from related parties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1,783,488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72,414</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200,879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207"/>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4,237,363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5,120,163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long-lived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255,713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1,239,073</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3,533,027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3,137,891</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10,343,530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10,650,576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1,588,569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1,411,519</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contract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48,898</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1,095,858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1,015,504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2,890,258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2,552,133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 less current maturities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195,944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3,206,113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20,038</w:t>
            </w:r>
          </w:p>
        </w:tc>
        <w:tc>
          <w:tcPr>
            <w:tcW w:w="0" w:type="dxa"/>
            <w:vAlign w:val="bottom"/>
          </w:tcPr>
          <w:p>
            <w:pPr>
              <w:spacing w:after="0"/>
              <w:rPr>
                <w:sz w:val="1"/>
                <w:szCs w:val="1"/>
                <w:color w:val="auto"/>
              </w:rPr>
            </w:pPr>
          </w:p>
        </w:tc>
      </w:tr>
      <w:tr>
        <w:trPr>
          <w:trHeight w:val="207"/>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6,649,799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6,397,180</w:t>
            </w:r>
          </w:p>
        </w:tc>
        <w:tc>
          <w:tcPr>
            <w:tcW w:w="0" w:type="dxa"/>
            <w:vAlign w:val="bottom"/>
          </w:tcPr>
          <w:p>
            <w:pPr>
              <w:spacing w:after="0"/>
              <w:rPr>
                <w:sz w:val="1"/>
                <w:szCs w:val="1"/>
                <w:color w:val="auto"/>
              </w:rPr>
            </w:pPr>
          </w:p>
        </w:tc>
      </w:tr>
      <w:tr>
        <w:trPr>
          <w:trHeight w:val="259"/>
        </w:trPr>
        <w:tc>
          <w:tcPr>
            <w:tcW w:w="7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$.01 par value, 800,000,000 shares authorized; 262,688,600 and 262,263,358 shares issued at year-</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end 2025 and year-end 2024, respectively; 237,547,447 and 237,122,205 shares outstanding at year-end 2025 and</w:t>
            </w:r>
          </w:p>
        </w:tc>
        <w:tc>
          <w:tcPr>
            <w:tcW w:w="2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0" w:type="dxa"/>
            <w:vAlign w:val="bottom"/>
          </w:tcPr>
          <w:p>
            <w:pPr>
              <w:spacing w:after="0"/>
              <w:rPr>
                <w:sz w:val="1"/>
                <w:szCs w:val="1"/>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year-end 2024, respectively</w:t>
            </w: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25,141,153 shares at year-end 2025 and year-end 2024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(544,687)</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2,023,609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1,994,259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3,157,511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(370,300)</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Pilgrim’s Pride Corporation stockholders’ equity</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3,680,050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4,239,406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13,990</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3,693,731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4,253,396</w:t>
            </w:r>
          </w:p>
        </w:tc>
        <w:tc>
          <w:tcPr>
            <w:tcW w:w="0" w:type="dxa"/>
            <w:vAlign w:val="bottom"/>
          </w:tcPr>
          <w:p>
            <w:pPr>
              <w:spacing w:after="0"/>
              <w:rPr>
                <w:sz w:val="1"/>
                <w:szCs w:val="1"/>
                <w:color w:val="auto"/>
              </w:rPr>
            </w:pPr>
          </w:p>
        </w:tc>
      </w:tr>
      <w:tr>
        <w:trPr>
          <w:trHeight w:val="212"/>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10,343,530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10,650,576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PILGRIM’S PRIDE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1"/>
        </w:trPr>
        <w:tc>
          <w:tcPr>
            <w:tcW w:w="6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6"/>
          </w:tcPr>
          <w:p>
            <w:pPr>
              <w:jc w:val="center"/>
              <w:ind w:left="1220"/>
              <w:spacing w:after="0"/>
              <w:rPr>
                <w:sz w:val="20"/>
                <w:szCs w:val="20"/>
                <w:color w:val="auto"/>
              </w:rPr>
            </w:pPr>
            <w:r>
              <w:rPr>
                <w:rFonts w:ascii="Times New Roman" w:cs="Times New Roman" w:eastAsia="Times New Roman" w:hAnsi="Times New Roman"/>
                <w:sz w:val="13"/>
                <w:szCs w:val="13"/>
                <w:b w:val="1"/>
                <w:bCs w:val="1"/>
                <w:color w:val="auto"/>
                <w:w w:val="97"/>
              </w:rPr>
              <w:t>(In thousands, except per share data)</w:t>
            </w:r>
          </w:p>
        </w:tc>
        <w:tc>
          <w:tcPr>
            <w:tcW w:w="1480" w:type="dxa"/>
            <w:vAlign w:val="bottom"/>
          </w:tcPr>
          <w:p>
            <w:pPr>
              <w:spacing w:after="0"/>
              <w:rPr>
                <w:sz w:val="15"/>
                <w:szCs w:val="15"/>
                <w:color w:val="auto"/>
              </w:rPr>
            </w:pPr>
          </w:p>
        </w:tc>
      </w:tr>
      <w:tr>
        <w:trPr>
          <w:trHeight w:val="22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17,362,217</w:t>
            </w:r>
          </w:p>
        </w:tc>
      </w:tr>
      <w:tr>
        <w:trPr>
          <w:trHeight w:val="21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16,139,410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15,565,524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16,243,816</w:t>
            </w:r>
          </w:p>
        </w:tc>
      </w:tr>
      <w:tr>
        <w:trPr>
          <w:trHeight w:val="212"/>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2,312,767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1,118,401</w:t>
            </w: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551,770</w:t>
            </w:r>
          </w:p>
        </w:tc>
      </w:tr>
      <w:tr>
        <w:trPr>
          <w:trHeight w:val="21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44,345</w:t>
            </w:r>
          </w:p>
        </w:tc>
      </w:tr>
      <w:tr>
        <w:trPr>
          <w:trHeight w:val="20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1,613,539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1,506,069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522,286</w:t>
            </w:r>
          </w:p>
        </w:tc>
      </w:tr>
      <w:tr>
        <w:trPr>
          <w:trHeight w:val="21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 of capitalized interest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202,272</w:t>
            </w: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(35,651)</w:t>
            </w:r>
          </w:p>
        </w:tc>
      </w:tr>
      <w:tr>
        <w:trPr>
          <w:trHeight w:val="21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transaction losses (gains)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20,570</w:t>
            </w:r>
          </w:p>
        </w:tc>
      </w:tr>
      <w:tr>
        <w:trPr>
          <w:trHeight w:val="21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Miscellaneous, net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(30,127)</w:t>
            </w:r>
          </w:p>
        </w:tc>
      </w:tr>
      <w:tr>
        <w:trPr>
          <w:trHeight w:val="212"/>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365,222</w:t>
            </w:r>
          </w:p>
        </w:tc>
      </w:tr>
      <w:tr>
        <w:trPr>
          <w:trHeight w:val="21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42,905</w:t>
            </w:r>
          </w:p>
        </w:tc>
      </w:tr>
      <w:tr>
        <w:trPr>
          <w:trHeight w:val="212"/>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322,317</w:t>
            </w:r>
          </w:p>
        </w:tc>
      </w:tr>
      <w:tr>
        <w:trPr>
          <w:trHeight w:val="21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r>
      <w:tr>
        <w:trPr>
          <w:trHeight w:val="237"/>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 attributable to Pilgrim’s Pride Corporation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1,082,359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321,574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of Pilgrim’s Pride Corporation common stock outstanding:</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236,725</w:t>
            </w:r>
          </w:p>
        </w:tc>
      </w:tr>
      <w:tr>
        <w:trPr>
          <w:trHeight w:val="216"/>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Effect of dilutive common stock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2"/>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238,449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237,297</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income attributable to Pilgrim’s Pride Corporation per share of common stock</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4"/>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0"/>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bl>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PILGRIM’S PRIDE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2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322,317</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Gains (losses) arising during the period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154,975</w:t>
            </w:r>
          </w:p>
        </w:tc>
      </w:tr>
      <w:tr>
        <w:trPr>
          <w:trHeight w:val="21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 designated as cash flow hedges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Gains (losses) arising during the period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r>
      <w:tr>
        <w:trPr>
          <w:trHeight w:val="21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Reclassification to net earnings for losses (gains) realized</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r>
      <w:tr>
        <w:trPr>
          <w:trHeight w:val="213"/>
        </w:trPr>
        <w:tc>
          <w:tcPr>
            <w:tcW w:w="6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Gains (losses) arising during the period</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60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Income tax effect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Reclassification to net earnings for losses (gains) realized</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60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Income tax effect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Gains (losses) realized during the period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6,751</w:t>
            </w:r>
          </w:p>
        </w:tc>
      </w:tr>
      <w:tr>
        <w:trPr>
          <w:trHeight w:val="219"/>
        </w:trPr>
        <w:tc>
          <w:tcPr>
            <w:tcW w:w="6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Income tax effect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r>
      <w:tr>
        <w:trPr>
          <w:trHeight w:val="21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Reclassification to net earnings of losses (gains) realized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9"/>
        </w:trPr>
        <w:tc>
          <w:tcPr>
            <w:tcW w:w="6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Income tax effect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07"/>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323,278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159,965</w:t>
            </w: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1,406,622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482,282</w:t>
            </w: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r>
      <w:tr>
        <w:trPr>
          <w:trHeight w:val="23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Pilgrim’s Pride Corporation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1,405,637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892,621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481,539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PILGRIM’S PRIDE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Pilgrim’s Pride Corporation Stockholders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3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900" w:type="dxa"/>
            <w:vAlign w:val="bottom"/>
            <w:gridSpan w:val="2"/>
            <w:vMerge w:val="restart"/>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12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6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6"/>
        </w:trPr>
        <w:tc>
          <w:tcPr>
            <w:tcW w:w="3460" w:type="dxa"/>
            <w:vAlign w:val="bottom"/>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25, 2022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261,611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$ 2,617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(25,142)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(544,687)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$1,969,833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$1,749,499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$2,853,276</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322,317</w:t>
            </w:r>
          </w:p>
        </w:tc>
        <w:tc>
          <w:tcPr>
            <w:tcW w:w="0" w:type="dxa"/>
            <w:vAlign w:val="bottom"/>
          </w:tcPr>
          <w:p>
            <w:pPr>
              <w:spacing w:after="0"/>
              <w:rPr>
                <w:sz w:val="1"/>
                <w:szCs w:val="1"/>
                <w:color w:val="auto"/>
              </w:rPr>
            </w:pPr>
          </w:p>
        </w:tc>
      </w:tr>
      <w:tr>
        <w:trPr>
          <w:trHeight w:val="162"/>
        </w:trPr>
        <w:tc>
          <w:tcPr>
            <w:tcW w:w="34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 comprehensive income, net of tax benefit of</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159,965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159,965</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$2,083</w:t>
            </w:r>
          </w:p>
        </w:tc>
        <w:tc>
          <w:tcPr>
            <w:tcW w:w="68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Capital distribution under Tax Sharing Agreement</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between JBS USA Holdings and Pilgrim’s Pride</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Corporation (the “TSA”)</w:t>
            </w:r>
          </w:p>
        </w:tc>
        <w:tc>
          <w:tcPr>
            <w:tcW w:w="680" w:type="dxa"/>
            <w:vAlign w:val="bottom"/>
            <w:gridSpan w:val="2"/>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issued under compensation plans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Requisite service period recognition</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7,594</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0" w:type="dxa"/>
            <w:vAlign w:val="bottom"/>
          </w:tcPr>
          <w:p>
            <w:pPr>
              <w:spacing w:after="0"/>
              <w:rPr>
                <w:sz w:val="1"/>
                <w:szCs w:val="1"/>
                <w:color w:val="auto"/>
              </w:rPr>
            </w:pPr>
          </w:p>
        </w:tc>
      </w:tr>
      <w:tr>
        <w:trPr>
          <w:trHeight w:val="212"/>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261,931</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$ 2,620</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(25,142)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(544,687)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$1,978,849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$2,071,073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(176,483)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$3,344,577</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1,087,223</w:t>
            </w:r>
          </w:p>
        </w:tc>
        <w:tc>
          <w:tcPr>
            <w:tcW w:w="0" w:type="dxa"/>
            <w:vAlign w:val="bottom"/>
          </w:tcPr>
          <w:p>
            <w:pPr>
              <w:spacing w:after="0"/>
              <w:rPr>
                <w:sz w:val="1"/>
                <w:szCs w:val="1"/>
                <w:color w:val="auto"/>
              </w:rPr>
            </w:pPr>
          </w:p>
        </w:tc>
      </w:tr>
      <w:tr>
        <w:trPr>
          <w:trHeight w:val="162"/>
        </w:trPr>
        <w:tc>
          <w:tcPr>
            <w:tcW w:w="34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 comprehensive loss, net of tax expense of</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(193,817)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(193,817)</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$(9,386)</w:t>
            </w:r>
          </w:p>
        </w:tc>
        <w:tc>
          <w:tcPr>
            <w:tcW w:w="68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contribution under TSA</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issued under compensation plans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Requisite service period recognition</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15,413</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15,413</w:t>
            </w:r>
          </w:p>
        </w:tc>
        <w:tc>
          <w:tcPr>
            <w:tcW w:w="0" w:type="dxa"/>
            <w:vAlign w:val="bottom"/>
          </w:tcPr>
          <w:p>
            <w:pPr>
              <w:spacing w:after="0"/>
              <w:rPr>
                <w:sz w:val="1"/>
                <w:szCs w:val="1"/>
                <w:color w:val="auto"/>
              </w:rPr>
            </w:pPr>
          </w:p>
        </w:tc>
      </w:tr>
      <w:tr>
        <w:trPr>
          <w:trHeight w:val="212"/>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29, 2024</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262,263</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$ 2,623</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(25,142)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(544,687)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$1,994,259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$3,157,511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$4,253,396</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1,082,359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1,083,344</w:t>
            </w:r>
          </w:p>
        </w:tc>
        <w:tc>
          <w:tcPr>
            <w:tcW w:w="0" w:type="dxa"/>
            <w:vAlign w:val="bottom"/>
          </w:tcPr>
          <w:p>
            <w:pPr>
              <w:spacing w:after="0"/>
              <w:rPr>
                <w:sz w:val="1"/>
                <w:szCs w:val="1"/>
                <w:color w:val="auto"/>
              </w:rPr>
            </w:pPr>
          </w:p>
        </w:tc>
      </w:tr>
      <w:tr>
        <w:trPr>
          <w:trHeight w:val="162"/>
        </w:trPr>
        <w:tc>
          <w:tcPr>
            <w:tcW w:w="34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 comprehensive income, net of tax benefit of</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323,278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323,278</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$416</w:t>
            </w:r>
          </w:p>
        </w:tc>
        <w:tc>
          <w:tcPr>
            <w:tcW w:w="68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 under compensation plans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Requisite service period recognition</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29,354</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29,354</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Special cash dividend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(1,994,347)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(1,994,347)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28, 2025</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262,688</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$ 2,627</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(25,142)</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(544,687)</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2,023,609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2,245,523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$3,693,731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PILGRIM’S PRIDE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1,083,344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1,087,223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322,317</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419,900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 cost amortization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7,366</w:t>
            </w: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(gain) on property disposals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Accretion of bond discount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0" w:type="dxa"/>
            <w:vAlign w:val="bottom"/>
          </w:tcPr>
          <w:p>
            <w:pPr>
              <w:spacing w:after="0"/>
              <w:rPr>
                <w:sz w:val="1"/>
                <w:szCs w:val="1"/>
                <w:color w:val="auto"/>
              </w:rPr>
            </w:pPr>
          </w:p>
        </w:tc>
      </w:tr>
      <w:tr>
        <w:trPr>
          <w:trHeight w:val="162"/>
        </w:trPr>
        <w:tc>
          <w:tcPr>
            <w:tcW w:w="60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Loss (gain) on early extinguishment of debt recognized as a component of interest</w:t>
            </w: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20,694</w:t>
            </w:r>
          </w:p>
        </w:tc>
        <w:tc>
          <w:tcPr>
            <w:tcW w:w="0" w:type="dxa"/>
            <w:vAlign w:val="bottom"/>
          </w:tcPr>
          <w:p>
            <w:pPr>
              <w:spacing w:after="0"/>
              <w:rPr>
                <w:sz w:val="1"/>
                <w:szCs w:val="1"/>
                <w:color w:val="auto"/>
              </w:rPr>
            </w:pPr>
          </w:p>
        </w:tc>
      </w:tr>
      <w:tr>
        <w:trPr>
          <w:trHeight w:val="21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expense</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impairment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(gain) on equity method investments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Trade accounts and other receivables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12,602</w:t>
            </w:r>
          </w:p>
        </w:tc>
        <w:tc>
          <w:tcPr>
            <w:tcW w:w="0" w:type="dxa"/>
            <w:vAlign w:val="bottom"/>
          </w:tcPr>
          <w:p>
            <w:pPr>
              <w:spacing w:after="0"/>
              <w:rPr>
                <w:sz w:val="1"/>
                <w:szCs w:val="1"/>
                <w:color w:val="auto"/>
              </w:rPr>
            </w:pPr>
          </w:p>
        </w:tc>
      </w:tr>
      <w:tr>
        <w:trPr>
          <w:trHeight w:val="21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17,776</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(68,677)</w:t>
            </w:r>
          </w:p>
        </w:tc>
        <w:tc>
          <w:tcPr>
            <w:tcW w:w="0" w:type="dxa"/>
            <w:vAlign w:val="bottom"/>
          </w:tcPr>
          <w:p>
            <w:pPr>
              <w:spacing w:after="0"/>
              <w:rPr>
                <w:sz w:val="1"/>
                <w:szCs w:val="1"/>
                <w:color w:val="auto"/>
              </w:rPr>
            </w:pPr>
          </w:p>
        </w:tc>
      </w:tr>
      <w:tr>
        <w:trPr>
          <w:trHeight w:val="21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(8,878)</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pension and other postretirement obligations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operating assets and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(30,688)</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677,877</w:t>
            </w:r>
          </w:p>
        </w:tc>
        <w:tc>
          <w:tcPr>
            <w:tcW w:w="0" w:type="dxa"/>
            <w:vAlign w:val="bottom"/>
          </w:tcPr>
          <w:p>
            <w:pPr>
              <w:spacing w:after="0"/>
              <w:rPr>
                <w:sz w:val="1"/>
                <w:szCs w:val="1"/>
                <w:color w:val="auto"/>
              </w:rPr>
            </w:pPr>
          </w:p>
        </w:tc>
      </w:tr>
      <w:tr>
        <w:trPr>
          <w:trHeight w:val="21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(711,066)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(543,816)</w:t>
            </w: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property disposals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19,784</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property insurance recoveries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20,681</w:t>
            </w:r>
          </w:p>
        </w:tc>
        <w:tc>
          <w:tcPr>
            <w:tcW w:w="0" w:type="dxa"/>
            <w:vAlign w:val="bottom"/>
          </w:tcPr>
          <w:p>
            <w:pPr>
              <w:spacing w:after="0"/>
              <w:rPr>
                <w:sz w:val="1"/>
                <w:szCs w:val="1"/>
                <w:color w:val="auto"/>
              </w:rPr>
            </w:pPr>
          </w:p>
        </w:tc>
      </w:tr>
      <w:tr>
        <w:trPr>
          <w:trHeight w:val="207"/>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(705,510)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(460,797)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(503,351)</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revolving line of credit, long-term borrowings and finance lease obligations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(1,616,321)</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revolving line of credit and long-term borrowings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1,768,236</w:t>
            </w: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(1,994,347)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on early extinguishment of debt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(13,780)</w:t>
            </w: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0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Proceeds from contribution (payment of distribution) of capital under Tax Sharing</w:t>
            </w:r>
          </w:p>
        </w:tc>
        <w:tc>
          <w:tcPr>
            <w:tcW w:w="1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Agreement between JBS USA Holdings and Pilgrim’s Pride Corporation</w:t>
            </w:r>
          </w:p>
        </w:tc>
        <w:tc>
          <w:tcPr>
            <w:tcW w:w="16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capitalized loan costs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(19,816)</w:t>
            </w:r>
          </w:p>
        </w:tc>
        <w:tc>
          <w:tcPr>
            <w:tcW w:w="0" w:type="dxa"/>
            <w:vAlign w:val="bottom"/>
          </w:tcPr>
          <w:p>
            <w:pPr>
              <w:spacing w:after="0"/>
              <w:rPr>
                <w:sz w:val="1"/>
                <w:szCs w:val="1"/>
                <w:color w:val="auto"/>
              </w:rPr>
            </w:pPr>
          </w:p>
        </w:tc>
      </w:tr>
      <w:tr>
        <w:trPr>
          <w:trHeight w:val="212"/>
        </w:trPr>
        <w:tc>
          <w:tcPr>
            <w:tcW w:w="6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(2,112,995)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116,727</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1,311,935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296,464</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and restricted cash equivalents, beginning of year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2,043,158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434,759</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and restricted cash equivalents,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2,043,158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731,223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paid (net of amount capitalized)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131,205</w:t>
            </w:r>
          </w:p>
        </w:tc>
        <w:tc>
          <w:tcPr>
            <w:tcW w:w="0" w:type="dxa"/>
            <w:vAlign w:val="bottom"/>
          </w:tcPr>
          <w:p>
            <w:pPr>
              <w:spacing w:after="0"/>
              <w:rPr>
                <w:sz w:val="1"/>
                <w:szCs w:val="1"/>
                <w:color w:val="auto"/>
              </w:rPr>
            </w:pPr>
          </w:p>
        </w:tc>
      </w:tr>
      <w:tr>
        <w:trPr>
          <w:trHeight w:val="210"/>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paid</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19,749</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880" w:firstLine="8"/>
        <w:spacing w:after="0" w:line="440" w:lineRule="auto"/>
        <w:tabs>
          <w:tab w:leader="none" w:pos="31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SUMMARY OF SIGNIFICANT ACCOUNTING POLICIES Business</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Pilgrim’s Pride Corporation (referred to herein as “Pilgrim’s,” “PPC,” “the Company,” “we,” “us,” “our,” or similar terms) is one of the largest food companies in the world, with operations in the United States (“U.S.”), the United Kingdom (“U.K.”), Mexico, France, Puerto Rico, the Netherlands and the Republic of Ireland. Pilgrim’s is primarily a chicken producer, with pork and lamb operations in the U.K. Pilgrim’s products are sold to foodservice, retail and frozen entrée customers. The Company’s primary distribution is through retailers, foodservice distributors and restaurants throughout the countries listed above. Additionally, the Company exports chicken and pork products (from its U.K. operations) to over 120 countries. Our fresh products consist of refrigerated whole or cut-up chicken, selected chicken parts that are either marinated or non-marinated, primary pork cuts, added value pork, pork ribs and lamb products. The Company’s prepared products include fully cooked, ready-to-cook and individually frozen chicken parts, strips, nuggets and patties, processed sausages, bacon, smoked meat, gammon joints, pre-packed meats, sandwich and deli counter meats and meat balls. The Company’s other products include plant-based protein offerings, ready-to-eat meals, multi-protein frozen foods, vegetarian foods and desserts. The Company also provides direct-to-consumer meals and hot food to-go solutions in the U.K. and the Republic of Ireland. We operate feed mills, hatcheries, processing plants and distribution centers in 14 U.S. states, the U.K., Mexico, France, Puerto Rico, the Netherlands and the Republic of Ireland.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on the basis of a 52/53-week fiscal year ending on the Sunday falling on or before December 31. Any reference we make to a particular year in the notes to these Consolidated Financial Statements applies to our fiscal year and not the calendar year. Fiscal years 2025 and 2024 were both 52-week fiscal years.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U.S. (“U.S. GAAP”) using management’s best estimates and judgments. These estimates and judgments affect the reported amounts of assets and liabilities and disclosure of the contingent assets and liabilities at the date of the financial statements. The estimates and judgments will also affect the reported amounts for certain revenues and expenses during the reporting period. Actual results could differ materially from these estimates and judgments. Significant estimates made by the Company include the allowance for credit losses, reserves related to inventory obsolescence or valuation, useful lives of long-lived assets, goodwill, identifiable intangible assets, valuation of deferred tax assets, insurance accruals, valuation of pension and other postretirement benefits obligations, income tax accruals, certain derivative positions and valuations of acquired businesses.</w:t>
      </w:r>
    </w:p>
    <w:p>
      <w:pPr>
        <w:spacing w:after="0" w:line="1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functional currency of the Company’s U.S. operations and certain holding-company subsidiaries in Luxembourg, the U.K., Malta and the Republic of Ireland is the U.S. dollar. The functional currency of its U.K. operations is the British pound. The functional currency of the Company’s operations in France, the Netherlands and the Republic of Ireland is the euro. In 2024, the Company determined that there was a significant change in economic factors that necessitated a reassessment of the appropriate functional currency of the Mexico reportable segment. The primary economic factors driving the change included 1) the recent sustained, historical strengthening of the Mexican peso against the U.S. dollar and against other global currencies without a correlated impact on the average product sales prices of our Mexico operations and 2) a shift in the proportional volume of spend we have that is denominated in Mexican peso in relation to spend that is denominated in U.S. dollar. As a result of this reassessment, on April 1, 2024, the Company changed the functional currency of its Mexico operations from U.S. dollar to the Mexican peso. The functional currency of the Company’s operations in Mexico during fiscal year 2025 is the Mexican peso. For foreign currency-denominated entities, translation from local currencies into U.S. dollars is performed for assets and liabilities using the exchange rates in effect as of the balance sheet date. Income and expense accounts are remeasured using average exchange rates for the period. Adjustments resulting from translation of these financial records are reflected as a separate component of </w:t>
      </w: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in the Consolidated Balance Sheets. For the Company’s Mexico operations prior to April 1, 2024, remeasurement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the Mexican peso to U.S. dollars was performed for monetary assets and liabilities using the exchange rate in effect as of the balance sheet date. Remeasurement was performed for non-monetary assets using the historical exchange rate in effect on the date of each asset’s acquisition. Income and expense accounts were remeasured using average exchange rates for the period. Net adjustments that resulted from remeasurement of the financial records, as well as foreign currency transaction gains and losses, are reflected in </w:t>
      </w:r>
      <w:r>
        <w:rPr>
          <w:rFonts w:ascii="Times New Roman" w:cs="Times New Roman" w:eastAsia="Times New Roman" w:hAnsi="Times New Roman"/>
          <w:sz w:val="18"/>
          <w:szCs w:val="18"/>
          <w:i w:val="1"/>
          <w:iCs w:val="1"/>
          <w:color w:val="auto"/>
        </w:rPr>
        <w:t>Foreign currency transaction losses (gains)</w:t>
      </w:r>
      <w:r>
        <w:rPr>
          <w:rFonts w:ascii="Times New Roman" w:cs="Times New Roman" w:eastAsia="Times New Roman" w:hAnsi="Times New Roman"/>
          <w:sz w:val="18"/>
          <w:szCs w:val="18"/>
          <w:color w:val="auto"/>
        </w:rPr>
        <w:t xml:space="preserve"> in the Consolidated Statements of Income.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or its subsidiaries may use derivatives for the purpose of mitigating exposure to changes in foreign currency exchange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transaction gains or losses are reported in the Consolidated Statements of Income.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vast majority of the Company’s revenue is derived from contracts which are based upon a customer ordering its products. While there may be master agreements, the contract is only established when the customer’s order is accepted by the Company. The Company accounts for a contract, which may be verbal or written, when it is approved and committed by both parties, the rights of the parties are identified along with payment terms, the contract has commercial substance and collectability is probable.</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the transaction for distinct performance obligations, which are the sale of its products to customers. Since its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and depicts the transfer of control and recognition of revenue. There are instances of customer pick up at the Company’s facilities, in which case control transfers to the customer at that point and the Company recognizes revenue. The Company’s performance obligations are typically fulfilled within days to weeks of the acceptance of the order.</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makes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the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rare case when shipping and handling activities are performed after a customer obtains control of the good, the Company has elected to account for shipping and handling as activities to fulfill the promise to transfer the good. When revenue is recognized for the related good before the shipping and handling activities occur, the related costs of those shipping and handling activities are accrued. Shipping and handling costs are recorded within cost of sales.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Advertising costs are included in </w:t>
      </w:r>
      <w:r>
        <w:rPr>
          <w:rFonts w:ascii="Times New Roman" w:cs="Times New Roman" w:eastAsia="Times New Roman" w:hAnsi="Times New Roman"/>
          <w:sz w:val="18"/>
          <w:szCs w:val="18"/>
          <w:i w:val="1"/>
          <w:iCs w:val="1"/>
          <w:color w:val="auto"/>
        </w:rPr>
        <w:t>Selling, general and administrative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expense and totaled $80.3 million, $70.1 million and $56.7 million for 2025, 2024 and 2023,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totaled $17.9 million, $12.4 million and $5.7 million for 2025,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highly liquid investments with an original maturity of three months or less when acquired to be cash equivalents. The majority of the Company’s disbursement bank accounts are zero balance accounts where cash needs are funded as checks are presented for payment by the holder. Checks issued pending clearance that result in overdraft balances for accounting purposes are classified as accounts payable and the change in the related balance is reflected in operating activities on the Consolidated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required to maintain cash balances with a broker as collateral for exchange traded futures contracts. These balances are classified as restricted cash as they are not available for use by the Company to fund daily operations. The balance of restricted cash may also include investments in U.S. Treasury Bills that qualify as cash equivalents, as required by the broker, to offset the obligation to return cash collateral.</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cash equivalents, restricted cash and restricted cash equivalents as reported in the Consolidated Balance Sheets to the total of the same amounts shown in the Consolidated Statements of Cash Flows: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gridSpan w:val="4"/>
          </w:tcPr>
          <w:p>
            <w:pPr>
              <w:jc w:val="right"/>
              <w:ind w:right="1341"/>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2,040,834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restricted cash equivalents</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0" w:type="dxa"/>
            <w:vAlign w:val="bottom"/>
          </w:tcPr>
          <w:p>
            <w:pPr>
              <w:spacing w:after="0"/>
              <w:rPr>
                <w:sz w:val="1"/>
                <w:szCs w:val="1"/>
                <w:color w:val="auto"/>
              </w:rPr>
            </w:pPr>
          </w:p>
        </w:tc>
      </w:tr>
      <w:tr>
        <w:trPr>
          <w:trHeight w:val="145"/>
        </w:trPr>
        <w:tc>
          <w:tcPr>
            <w:tcW w:w="76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cash, cash equivalents, restricted cash and restricted cash equivalents shown in the Consolidated Statements of</w:t>
            </w: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640,235</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2,043,158</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Flows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current investments are all highly liquid investments classified as either cash equivalents or short-term investments with an original maturity of less than one year at the time of acquisition. The Company’s current investments are comprised of fixed income securities, such as commercial paper. These investments are classified as available for sale. These securities are recorded at fair value, and unrealized holding gains and losses are recorded, net of tax, as a component of accumulated other comprehensive loss. Investments in fixed income securities with remaining maturities of less than one year and those identified by management at the time of purchase for funding operations in less than one year are classified as current assets. Investments in fixed income securities with remaining maturities in excess of one year that management has not identified at the time of purchase for funding operations in less than one year are classified as long-term assets. Unrealized losses are charged against net earnings when a decline in fair value is determined to be other-than-temporary. Management reviews several factors to determine whether a loss is other-than-temporary, such as the length of time a security is in an unrealized loss position, the extent to which fair value is less than amortized cost, the impact of changing interest rates in the short and long term, and the Company’s intent and ability to hold the security for a period of time sufficient to allow for any anticipated recovery in fair value. The Company determines the cost of each security sold and each amount reclassified out of accumulated other comprehensive loss into earnings using the specific identification method. Purchases and sales are recorded on a settlement-date basis.</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Investments in entities in which the Company has an ownership interest greater than 50% and exercises control over the entity are consolidated in the Consolidated Financial Statements. Investments in entities in which the Company has an ownership interest between 20% and 50% and exercises significant influence are accounted for using the equity method. The Company invests from time to time in ventures in which its ownership interest is less than 20% and over which it does not exercise significant influence. Such investments are carried at cost, less any impairment, and adjusted for observable price changes in orderly transactions for an identical or similar investment of the same issuer. The fair values for investments not traded on a quoted exchange are estimated based upon the historical performance of the ventures, the ventures’ forecasted financial performance and management’s evaluation of the ventures’ viability and business models. To the extent the book value of an investment exceeds its assessed fair value, the Company will record an appropriate impairment charge.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accounts receivable when revenue is recognized. The Company records an allowance for expected credit losses, reducing our receivables balance to an amount we estimate is collectible from our customers. Estimates used in determining the allowance for credit losses are based on historical collection experience, current trends, aging of accounts receivable, and periodic credit evaluations of our customers’ financial condition. The Company writes off accounts receivable when it becomes apparent, based on age or customer circumstances, that such amounts will not be collected. Generally, the Company does not require collateral for its accounts receivable.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Live chicken and pig inventories are stated at the lower of cost or net realizable value and breeder hen, breeder sow, and boar inventories are stated at the lower of cost, less accumulated amortization, or net realizable value. The costs associated with breeder hen inventories are accumulated up to the production stage and amortized over their productive lives using the unit-of-production method. The costs associated with breeder sow inventories are accumulated up to the production stage and amortized on a straight-line basis over their productive lives to the estimated residual cull value. Finished poultry products, finished pork products, feed, eggs and other inventories are stated at the lower of cost (average) or net realizable value. Inventory typically transfers from one stage of production to another at a standard cost, where it accumulates additional cost directly incurred with the production of inventory, including overhead. The standard cost at which each type of inventory transfers is set by management to reflect the actual costs incurred in the prior steps. The Company monitors and adjusts standard costs throughout the year to ensure that standard costs reasonably reflect the actual average cost of the inventory produced.</w:t>
      </w:r>
    </w:p>
    <w:p>
      <w:pPr>
        <w:spacing w:after="0" w:line="13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allocates meat costs between its various finished chicken products based on a by-product costing technique that reduces the cost of the whole bird by estimated yields and amounts to be recovered for certain by-product parts.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primarily includes leg quarters, wings, tenders, and offal, which are carried in inventory at the estimated recovery amounts, with the remaining amount being reflected as its breast meat cost. The Company allocates meat costs between its various finished pork products based on a by-product costing technique that allocates the cost of the whole pig into the primal cuts by estimated yields and amounts to be recovered for certain by-product parts. This primarily includes legs, shoulders, bellies, offal, and fifth quarter parts, which are carried in inventory at the estimated recoverable amounts, with the remaining amount being reflected as its loin meat cost.</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values its other prepared foods products, raw materials and packaging materials at the lower of weighted average cost and net realizable value. Work-in-progress is valued at the latest production cost (raw materials, packaging), finished goods are valued at the lower of the latest actual monthly production cost (raw materials, packaging and direct labor) and attributable overhead and net realizable value, and engineering spares and consumables are valued at cost with an appropriate provision for obsolete engineering spares consistent with historical practice.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the Company performs an evaluation of whether any lower-of-cost-or-net-realizable-value adjustments are required at the country level based on a number of factors, including: (1) pools of related inventory, (2) product continuation or discontinuation, (3) estimated market selling prices and</w:t>
      </w:r>
    </w:p>
    <w:p>
      <w:pPr>
        <w:jc w:val="both"/>
        <w:ind w:firstLine="8"/>
        <w:spacing w:after="0" w:line="253"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distribution channels. If actual market conditions or other factors are less favorable than those projected by management, additional inventory adjustments may be required. The Company also records valuation adjustments, when necessary, for estimated obsolescence at or equal to the difference between the cost of inventory and the estimated market value based on known conditions affecting inventory obsolescence, including significantly aged products, discontinued product lines, or damaged or obsolete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Operating leases are included in </w:t>
      </w:r>
      <w:r>
        <w:rPr>
          <w:rFonts w:ascii="Times New Roman" w:cs="Times New Roman" w:eastAsia="Times New Roman" w:hAnsi="Times New Roman"/>
          <w:sz w:val="18"/>
          <w:szCs w:val="18"/>
          <w:i w:val="1"/>
          <w:iCs w:val="1"/>
          <w:color w:val="auto"/>
        </w:rPr>
        <w:t>Operating lease assets, net, Accrued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current liabilities,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Noncurrent operating lease liabilities, less current maturities, </w:t>
      </w:r>
      <w:r>
        <w:rPr>
          <w:rFonts w:ascii="Times New Roman" w:cs="Times New Roman" w:eastAsia="Times New Roman" w:hAnsi="Times New Roman"/>
          <w:sz w:val="18"/>
          <w:szCs w:val="18"/>
          <w:color w:val="auto"/>
        </w:rPr>
        <w:t>in our Consolidated Balance Sheets. Finance leases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Property, plant and equipment, net, Current maturities of long-term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Long-term debt, less current maturities</w:t>
      </w:r>
      <w:r>
        <w:rPr>
          <w:rFonts w:ascii="Times New Roman" w:cs="Times New Roman" w:eastAsia="Times New Roman" w:hAnsi="Times New Roman"/>
          <w:sz w:val="18"/>
          <w:szCs w:val="18"/>
          <w:color w:val="auto"/>
        </w:rPr>
        <w:t xml:space="preserve"> in our Consolidated Balance Sheets.</w:t>
      </w:r>
    </w:p>
    <w:p>
      <w:pPr>
        <w:spacing w:after="0" w:line="12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Operating lease assets and operating lease liabilities are initially recognized based on the present value of the future minimum lease payments over the lease term at the commencement date. As most of the Company’s leases do not provide an implicit interest rate, the Company uses its incremental borrowing rate (“IBR”) based on the information available at commencement date in determining the present value of future payments. IBR is derived from the Company’s credit facility’s margin as a basis with adjustments to the periodically updated SOFR swap rate and foreign-currency curve. The operating lease asset also includes any lease payments made, including upfront costs and prepayments, and excludes lease incentives and initial direct costs incurred. The Company’s lease terms may include options to extend or terminate a lease when it is reasonably certain that it will exercise that option. Leases with an initial term of 12 months or less are not recorded on the balance sheet. Lease expense for minimum lease payments is recognized on a straight-line basis over the lease term with a corresponding reduction to the operating lease asset.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has lease agreements with lease and non-lease components. Lease and non-lease components are generally accounted for separately.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certain equipment leases, such as vehicles, the Company accounts for the lease and non-lease components as a single lease component.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and repair and maintenance costs are expensed as incurred. Depreciation is computed using the straight-line method over the estimated useful lives of these assets. Estimated useful lives for buildings, machinery and equipment are five to 33 years and for automobiles and trucks are three to ten years. The charge to income resulting from amortization of assets recorded under capital leases is included within depreciation expense.</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impairment charges on long-lived assets held for use when events and circumstances indicate that the assets may be impaired and the undiscounted cash flows estimated to be generated by those assets are less than the carrying amount of those assets. When this occurs, the impairment charge is determined based on the amount the net book value of the assets exceeds their fair market value. In making these determinations, the Company utilizes certain assumptions, including but not limited to: (1) future cash flows estimated to be generated by these assets, which are based on additional assumptions such as asset utilization, remaining length of service and estimated salvage values, (2) estimated fair market value of the assets, and</w:t>
      </w:r>
    </w:p>
    <w:p>
      <w:pPr>
        <w:spacing w:after="0" w:line="3" w:lineRule="exact"/>
        <w:rPr>
          <w:sz w:val="20"/>
          <w:szCs w:val="20"/>
          <w:color w:val="auto"/>
        </w:rPr>
      </w:pPr>
    </w:p>
    <w:p>
      <w:pPr>
        <w:jc w:val="both"/>
        <w:ind w:firstLine="8"/>
        <w:spacing w:after="0" w:line="253" w:lineRule="auto"/>
        <w:tabs>
          <w:tab w:leader="none" w:pos="2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the lowest level of cash flows relevant to the respective impairment test, generally groupings of related operational facilities. Given the interdependency of the Company’s individual facilities during the production process, that operate as a vertically integrated network, it evaluates impairment of assets held for use at the country level (i.e., the U.S. and Mexico). Management believes this is the lowest level of identifiable cash flows for its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are held for use in production activities. At present, the Company’s forecasts indicate that it can recover the carrying value of its assets held for use based on the projected undiscounted cash flows of the operations.</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impairment charges on long-lived assets held for sale when the carrying amount of those assets exceeds their fair value less appropriate selling costs. Fair value is based on amounts documented in sales contracts or letters of intent accepted by the Company, amounts included in counteroffers initiated by the Company, or, in the absence of current contract negotiations, amounts determined using a sales comparison approach for real property and amounts determined using a cost approach for personal property. Under the sales comparison approach, sales and asking prices of reasonably comparable properties are considered to develop a range of unit prices within which the current real estate market is operating. Under the cost approach, a current cost to replace the asset new is calculated and then the estimated replacement cost is reduced to reflect the applicable decline in value resulting from physical deterioration, functional obsolescence and economic obsolescence. Appropriate selling costs include reasonable broker’s commissions, costs to produce title documents, filing fees, legal expenses and the like.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Intangibles, net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the net identifiable assets acquired in a business combination. Identified intangible assets represent trade names, customer relationships, and non-compete agreements arising from acquisitions that are recorded at fair value as of the date acquired, less accumulated amortization, if any. The Company uses various market valuation techniques to determine the fair value of its identified intangible assets.</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Goodwill and other intangible assets with indefinite lives are not amortized, but are tested for impairment on an annual basis in the fourth quarter of each fiscal year or more frequently if impairment indicators arise. For goodwill, an impairment loss is recognized for any excess of the carrying amount of a reporting unit’s goodwill over the implied fair value of that goodwill. Management first reviews relevant qualitative factors to determine whether it is more likely than not (that is, a likelihood of more than 50 percent) that the fair value of a reporting unit is less than the unit’s carrying amount (including goodwill). If management determines it is more likely than not that the carrying amount of a reporting unit’s goodwill might be impaired, a quantitative analysis is performed. Management performed a qualitative analysis noting that it was not more likely than not that there was goodwill impairment in any of its reporting units as of December 28, 2025. For indefinite-lived intangible assets, an impairment loss is recognized if the carrying amount of an indefinite-lived intangible asset exceeds the estimated fair value of that intangible asset. Management first reviews relevant qualitative factors to determine whether it is more likely than not (that is, a likelihood of more than 50%) that an intangible asset is impaired. If management determines there is an indication that the carrying amount of the intangible asset might be impaired, and a quantitative analysis is performed. Management performed a qualitative analysis noting that it was not more likely than not that there was impairment for any of its indefinite-lived intangible assets as of December 28, 2025.</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Identifiable intangible assets with definite lives, such as customer relationships and trade names, that the Company expects to use for a limited amount of time, are amortized over their estimated useful lives on a straight-line basis. The useful lives range from 15 to 20 years for trade names and three to 18 years for customer relationships. Identified intangible assets with definite lives are tested for recoverability whenever events or changes in circumstances indicate that their carrying amount may not be recoverable. Management assessed if events or changes in circumstances indicated that the aggregate carrying amount of its identified intangible assets with definite lives might not be recoverable and determined that there were no impairment indicators during the years ended December 28, 2025 and December 29,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Contingent Liabilities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environmental, product, and other matters. The Company is required to assess the likelihood of any adverse judgments or outcomes, as well as potential ranges of probable losses related to these matters. The Company estimates the amount of reserves required for these contingencies when losses are determined to be probable and after considerable analysis of each individual issue. The Company expenses legal costs related to such loss contingencies as they are incurred. The accrual for environmental remediation liabilities is measured on an undiscounted basis. These reserves may change in the future due to changes in the Company’s assumptions, the effectiveness of strategies, or other factors beyond the Company’s control.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Self-Insurance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Insurance expense for casualty claims and employee-related health care benefits is estimated using historical and current experience and actuarial estimates. Stop-loss coverage is maintained with third-party insurers to limit the Company’s total exposure. Certain categories of claim liabilities are actuarially determined. The assumptions used to arrive at periodic expenses are reviewed regularly by management. However, actual expenses could differ from these estimates and could result in adjustments being recognized.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monitors certain asset retirement obligations in connection with its operations. These obligations relate to clean-up, removal, or replacement activities and related costs for “in-place” exposures only when those exposures are moved or modified, such as during renovations of the Company’s facilities. These in-place exposures include asbestos, refrigerants, wastewater, oil, lubricants, and other contaminants common in manufacturing environments. Under existing regulations, the Company is not required to remove these exposures and there are no plans to undertake a renovation that would require removal of the asbestos or the remediation of the other in-place exposures at this time. The facilities are expected to be maintained and repaired by activities that will not result in the removal or disruption of these in-place exposures at this time. As a result, there is an indeterminate settlement date for these asset retirement obligations because the range of time over which the Company may incur these liabilities is unknown and cannot be reasonably estimated. Therefore, the Company has not recorded the fair value of any potential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provisions stated in the Financial Accounting Standards Board (“FASB”) Accounting Standards Codification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with regard to members of a group that file a consolidated tax return but issue separate financial statements. The Company files certain state unitary returns with JBS USA Food Company Holdings (“JBS USA Holdings”). The income tax expense of the Company is computed using the separate return method. The provision for income taxes has been determined using the asset and liability approach of accounting for income taxes. For the unitary states, we have an obligation to make tax payments to JBS USA Holdings for our share of the unitary taxable income, which is included in taxes payable in our Consolidated Balance Sheets. Under this approach, deferred income taxes reflect the net tax effect of temporary differences between the book and tax bases of recorded assets and liabilities, net operating losses and tax credit carryforwards. The amount of deferred tax on these temporary differences is determined using the tax rates expected to apply to the period when the asset is realized or the liability is settled, as applicable, based on the tax rates and laws in the respective tax jurisdiction enacted as of the balance sheet date.</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historical taxable income, potential for carryback of tax losses, projected future taxable income, applicable tax strategies, and the expected timing of the reversals of existing temporary differences. A valuation allowance is provided when it is more likely than not that some or all of the deferred tax assets will not be realized. Valuation allowances have been established primarily for net operating loss carryforwards of certain foreign subsidiaries.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2025, the Company changed its assertion regarding the permanent reinvestment of certain foreign earnings. For Mexico, we no longer consider cumulative earnings through 2025 to be permanently reinvested. As a result, the Company recognized a deferred tax liability and associated income tax expense of approximately $7.1 million. For Puerto Rico, the U.K., the Republic of Ireland, France, the Netherlands, Luxembourg, and Malta, there are no positive cumulative earnings from these jurisdictions as of December 28, 2025, and therefore the Company is precluded from making a permanent reinvestment assertion for these jurisdictions.</w:t>
      </w:r>
    </w:p>
    <w:p>
      <w:pPr>
        <w:spacing w:after="0" w:line="1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provisions within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that provide a recognition threshold and measurement criteria for the financial statement recognition of a tax benefit taken or expected to be taken in a tax return. Tax benefits are recognized only when it is more-likely-than-not, based on the technical merits, that the benefits will be sustained on examination. Tax benefits that meet the more-likely-than-not recognition threshold are measured using a probability weighting of the largest amount of tax benefit that has a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See “Note 12. Income Taxes” to the Consolidated Financial Statements.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30, 2024, the Company entered into a tax sharing agreement (the “Tax Sharing Agreement”) with JBS USA governing the allocation, and certain payment and reimbursement obligations of U.S. income tax liabilities and assets among the Company and its relevant U.S. corporate subsidiaries, on the one hand, and JBS USA and its relevant U.S. subsidiaries, on the other hand. The Tax Sharing Agreement is effective for each tax year beginning on or after December 30, 2024, or such other date on which PPC becomes a member of the Parent Consolidated Group (as defined in the Tax Sharing Agreement). The Tax Sharing Agreement is attached as Exhibit 10.15 to this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Postemployment Benefits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pension and other postemployment benefit costs and obligations are dependent on the various actuarial assumptions used in calculating such amounts. These assumptions relate to discount rates, long-term return on plan assets, and other factors. We base the discount rate assumptions on current investment yields on high-quality corporate long-term bonds.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the long-term return on plan assets based on historical portfolio results and management’s expectation of the future economic environment. Actual results that differ from our assumptions are accumulated and, if in excess of the lesser of 10% of the projected benefit obligation or the fair market value of plan assets, amortized over either (1) the estimated average future service period of active plan participants if the plan is active or (2) the estimated average future life expectancy of all plan participants if the plan is frozen.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derivative financial instruments (e.g., futures, forwards options, and swaps) for the purpose of mitigating exposure to changes in commodity prices and foreign currency exchange rates.</w:t>
      </w:r>
    </w:p>
    <w:p>
      <w:pPr>
        <w:spacing w:after="0" w:line="106" w:lineRule="exact"/>
        <w:rPr>
          <w:sz w:val="20"/>
          <w:szCs w:val="20"/>
          <w:color w:val="auto"/>
        </w:rPr>
      </w:pPr>
    </w:p>
    <w:p>
      <w:pPr>
        <w:jc w:val="both"/>
        <w:ind w:left="980" w:hanging="324"/>
        <w:spacing w:after="0" w:line="255" w:lineRule="auto"/>
        <w:tabs>
          <w:tab w:leader="none" w:pos="97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The Company utilizes various raw materials, which are all considered commodities, in its operations, including corn,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soybean meal, soybean oil, wheat, natural gas, electricity, and diesel fuel. The Company considers these raw materials to be generally available from a number of different sources and believes it can obtain them to meet its requirements. These commodities are subject to price fluctuations and related price risk due to factors beyond the Company’s control, such as economic and political conditions, supply and demand, weather, governmental regulation and other circumstances. Generally, the Company enters into derivative contracts such as physical forward contracts and exchange-traded futures or option contracts in an attempt to mitigate price risk related to its anticipated consumption of commodity inputs for periods up to 12 months. The Company may enter into longer-term derivatives on particular commodities if deemed appropriate.</w:t>
      </w:r>
    </w:p>
    <w:p>
      <w:pPr>
        <w:spacing w:after="0" w:line="130" w:lineRule="exact"/>
        <w:rPr>
          <w:rFonts w:ascii="Times New Roman" w:cs="Times New Roman" w:eastAsia="Times New Roman" w:hAnsi="Times New Roman"/>
          <w:sz w:val="18"/>
          <w:szCs w:val="18"/>
          <w:b w:val="1"/>
          <w:bCs w:val="1"/>
          <w:i w:val="1"/>
          <w:iCs w:val="1"/>
          <w:color w:val="auto"/>
        </w:rPr>
      </w:pPr>
    </w:p>
    <w:p>
      <w:pPr>
        <w:jc w:val="both"/>
        <w:ind w:left="980" w:hanging="324"/>
        <w:spacing w:after="0" w:line="258" w:lineRule="auto"/>
        <w:tabs>
          <w:tab w:leader="none" w:pos="97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The Company has foreign operations and, therefore, has exposure to foreign exchange risk when the financial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those operations are translated to U.S. dollars. The Company will occasionally purchase derivative financial instruments such as foreign currency forward contracts in an attempt to mitigate currency exchange rate exposure in its Mexico reportable segment. The Company’s Europe reportable segment also attempts to mitigate foreign currency exposure on certain transactions denominated in foreign currencies through the use of derivative financial instruments.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Pilgrim’s recognizes all commodity derivative instruments that qualify for derivative accounting treatment as either assets or liabilities and measures those instruments at fair value unless they qualify for, and we elect, the normal purchases and normal sales scope exception (“NPNS”). The permitted accounting treatments include: cash flow hedge; fair value hedge, and undesignated contracts. Undesignated contract accounting is the default accounting treatment for all derivatives unless they qualify, and we specifically designate them, for one of the other accounting treatments. Derivatives designated for any of the elective accounting treatments must meet specific, restrictive criteria both at the time of designation and on an ongoing basis.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generally applied the NPNS exception for certain of its forward physical grain purchase and energy purchase contracts. NPNS contracts are accounted for using the accrual method of accounting; therefore, there were no amounts recorded in the Consolidated Financial Statements at December 28, 2025 and December 29, 2024.</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Undesignated contracts may include contracts not designated as a hedge or for which the NPNS exception was not elected, contracts that do not qualify for hedge accounting and derivatives that do not or no longer qualify for the NPNS scope exception. The fair value of these derivatives is recognized in the Consolidated Balance Sheets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Changes in fair value of these derivatives are recognized immediately in the Consolidated Statements of Income within </w:t>
      </w: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 losses (gains)</w:t>
      </w:r>
      <w:r>
        <w:rPr>
          <w:rFonts w:ascii="Times New Roman" w:cs="Times New Roman" w:eastAsia="Times New Roman" w:hAnsi="Times New Roman"/>
          <w:sz w:val="18"/>
          <w:szCs w:val="18"/>
          <w:color w:val="auto"/>
        </w:rPr>
        <w:t>, depending on the risk they are intended to mitigate. The Company’s counterparties require that it post collateral for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net fair value of the derivative contracts. This cash collateral is reported in the line item </w:t>
      </w:r>
      <w:r>
        <w:rPr>
          <w:rFonts w:ascii="Times New Roman" w:cs="Times New Roman" w:eastAsia="Times New Roman" w:hAnsi="Times New Roman"/>
          <w:sz w:val="18"/>
          <w:szCs w:val="18"/>
          <w:i w:val="1"/>
          <w:iCs w:val="1"/>
          <w:color w:val="auto"/>
        </w:rPr>
        <w:t>Restricted cash and restricted cash equivalents</w:t>
      </w:r>
      <w:r>
        <w:rPr>
          <w:rFonts w:ascii="Times New Roman" w:cs="Times New Roman" w:eastAsia="Times New Roman" w:hAnsi="Times New Roman"/>
          <w:sz w:val="18"/>
          <w:szCs w:val="18"/>
          <w:color w:val="auto"/>
        </w:rPr>
        <w:t xml:space="preserve"> on the Consolidated Balance Sheets, except in scenarios where the margin cash is not fully settled and in these scenarios, the outstanding balance is reported in </w:t>
      </w:r>
      <w:r>
        <w:rPr>
          <w:rFonts w:ascii="Times New Roman" w:cs="Times New Roman" w:eastAsia="Times New Roman" w:hAnsi="Times New Roman"/>
          <w:sz w:val="18"/>
          <w:szCs w:val="18"/>
          <w:i w:val="1"/>
          <w:iCs w:val="1"/>
          <w:color w:val="auto"/>
        </w:rPr>
        <w:t xml:space="preserve">Accrued expenses and other liabilities </w:t>
      </w:r>
      <w:r>
        <w:rPr>
          <w:rFonts w:ascii="Times New Roman" w:cs="Times New Roman" w:eastAsia="Times New Roman" w:hAnsi="Times New Roman"/>
          <w:sz w:val="18"/>
          <w:szCs w:val="18"/>
          <w:color w:val="auto"/>
        </w:rPr>
        <w:t>on the Consolidated Balance Sheets. While management believes these instruments help mitigate various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they are not designated nor accounted for as hedges as a result of the extensive record keeping requirements.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does apply hedge accounting treatment to certain derivative financial instruments related to its Europe reportable segment that it has purchased to mitigate foreign currency transaction exposures. Before the settlement date of the financial derivative instruments, the Company recognizes changes in the fair value of the cash flow hedge into accumulated other comprehensive income (“AOCI”). When the derivative financial instruments are settled, the amount in AOCI is then reclassified to earnings. Gains or losses related to these derivative financial instruments are included in the line item </w:t>
      </w: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Cost of sales </w:t>
      </w:r>
      <w:r>
        <w:rPr>
          <w:rFonts w:ascii="Times New Roman" w:cs="Times New Roman" w:eastAsia="Times New Roman" w:hAnsi="Times New Roman"/>
          <w:sz w:val="18"/>
          <w:szCs w:val="18"/>
          <w:color w:val="auto"/>
        </w:rPr>
        <w:t>in the Consolidated Statements of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Accounting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Pilgrim’s allocates the consideration of an acquired business to its identifiable assets and liabilities based on estimated fair values. The excess of the consideration over the amount allocated to the assets and liabilities, if any, is recorded to goodwill. The Company uses all available information to estimate fair values. Pilgrim’s uses various models to determine the value of assets acquired and liabilities assumed such as net realizable value to value inventory, cost method and market approach to value property, relief-from-royalty and multi-period excess earnings to value intangibles and discounted cash flow to value goodwill. The Company typically engages third-party valuation specialists to assist in the fair value determination of tangible long-lived assets and intangible assets other than goodwill. The fair value of acquired inventories is determined by extending physical counts of the inventories taken at or near the acquisition date to market pricing in effect for such inventories at or near the acquisition date. The carrying values of acquired receivables and accounts payable have historically approximated their fair values as of the business combination date. As necessary, Pilgrim’s may engage third-party specialists to assist in the estimation of fair value for certain liabilities. The Company adjusts the preliminary acquisition accounting, as necessary, typically up to one year after the acquisition closing date for those items that existed at the acquisition date and were provisionally accounted for at that time, as it obtains more information regarding asset valuations and liabilities assumed.</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acquisition accounting methodology contains uncertainties because it requires management to make assumptions and apply judgment to estimate the fair value of acquired assets and liabilities. Management estimates the fair value of assets and liabilities based upon quoted market prices, the carrying value of the acquired assets and widely accepted valuation techniques, including discounted cash flows and market multiple analyses. Unanticipated events or circumstances may occur which could affect the accuracy of the Company’s fair value estimates, including changes in assumptions regarding industry economic factors and business strategies. If actual results are materially different than the assumptions used to determine fair value of the assets and liabilities acquired through a business combination, it is possible that adjustments to the carrying values of such assets and liabilities will have an impact on the Company’s net earnings.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Revenue Bond Transactions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November 7, 2025, the Company closed an industrial revenue bond transaction with the Walker County Development Authority (the “Authority”) in order to receive a ten-year property tax incentive on the Company’s production facility in Walker County currently under development. Pursuant to this transaction, the Authority issued an industrial development revenue bond in the amount of $460.5 million (subject to drawdowns as construction progresses) to the Company in order to acquire legal title to the land for the facility from the Company. The Authority then leased the land back to the Company under a finance lease, the terms of which provide for the payment of rent in an amount equal to the debt service owed by the Authority on the bonds. Title to buildings to be constructed and equipment to be acquired will also be acquired by the Authority and leased to the Company through this program. At this time, only the related land is recorded as an asset in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on the Company’s Consolidated Balance Sheet. The Company has the legal right to set-off and intends to set-off the corresponding lease and bond debt service payments, therefore the Company has netted the finance lease obligation with the bond asset. As such, no amount for our obligation under the finance lease or the corresponding industrial revenue bond asset are reflected in our Consolidated Balance Sheet.</w:t>
      </w:r>
    </w:p>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August 22, 2024, the Company closed an industrial revenue bond transaction with the Douglas-Coffee County Industrial Authority d/b/a Douglas-Coffee County Development Authority (the “County”) to receive a five-year real property tax abatement on the Company’s newly constructed Douglas, Georgia protein conversion facility. Pursuant to this transaction, the County issued an industrial revenue bond for $130.0 million principal amount to the Company and then used the proceeds of the bond issuance to purchase the land and facility from the Company. The County then leased the facility back to the Company under a finance lease, the terms of which provide for the payment of rent in an amount equal to that of bond service costs. The related land and building are recorded as assets in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on the Company’s Consolidated Balance Sheet. The Company has the legal right to set-off and intends to set-off the corresponding lease and bond service payments, therefore the Company has netted the finance lease obligation with the bond asset. As such, no amount for our obligation under the finance lease or the corresponding industrial revenue bond asset are reflected in our Consolidated Balance Sheet.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makes significant estimates in regard to realization of deferred tax assets; valuation of long-lived assets; valuation of contingent liabilities and self-insurance liabilities; and valuation of acquired businesses.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Adopted in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additional disclosures for income taxes to enhance transparency and usefulness of income tax disclosures. The guidance requires additional disclosures for the tabular rate reconciliation, income taxes paid, and the disaggregation of domestic, federal and state, and foreign components within income (or loss) from continuing operations before income tax expense (or benefit) and income tax expense (or benefit) from continuing operations. The provisions of the new guidance is effective for years beginning after December 15, 2024. The Company adopted this guidance effective for fiscal year 2025. The adoption of this guidance did not have a material impact on our Consolidated Financial Statements. Additional information regarding segments is included in “Note 12. Income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Adopted in 2024</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additional disclosures for reportable segments. The guidance requires disclosures about significant segment expenses that are regularly provided to the chief operating decision maker along with additional measures of segment profit that are regularly used by the chief operating decision maker in assessing segment performance and deciding how to allocate resources. The provisions of the new guidance will be effective for years beginning after December 15, 2023 and interim periods in fiscal years beginning after December 15, 2024. The Company adopted this guidance effective December 29, 2024. The adoption of this guidance did not have a material impact on our Consolidated Financial Statements. Additional information regarding segments is included in “Note 20. Reportable Segments.”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 as of December 28, 2025</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which requires additional disclosures for certain costs and expenses to help investors better understand major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entity’s income statement. The guidance requires additional disclosures for costs and expenses such as purchases of inventory, employee compensation, depreciation, and intangible asset amortization. The provisions of the new guidance will be effective for annual reporting years beginning after December 15, 2026 and interim reporting periods beginning after December 15, 2027. The Company plans to adopt this guidance as it becomes effective and is assessing the impacts on our Consolidated Financial Statements.</w:t>
      </w:r>
    </w:p>
    <w:p>
      <w:pPr>
        <w:spacing w:after="0" w:line="126" w:lineRule="exact"/>
        <w:rPr>
          <w:sz w:val="20"/>
          <w:szCs w:val="20"/>
          <w:color w:val="auto"/>
        </w:rPr>
      </w:pPr>
    </w:p>
    <w:p>
      <w:pPr>
        <w:ind w:right="8680" w:firstLine="8"/>
        <w:spacing w:after="0" w:line="466" w:lineRule="auto"/>
        <w:tabs>
          <w:tab w:leader="none" w:pos="315"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Disaggregated Revenue</w:t>
      </w:r>
    </w:p>
    <w:p>
      <w:pPr>
        <w:spacing w:after="0" w:line="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 has been disaggregated into the following categories below to show how economic factors affect the nature, amount, timing, and uncertainty of revenue and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28, 2025</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2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20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Export</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60"/>
              <w:spacing w:after="0" w:line="196" w:lineRule="exact"/>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(a)</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4"/>
        </w:trPr>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8,892,558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1,316,423</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338,467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10,998,732</w:t>
            </w: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1,607,792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5,378,865</w:t>
            </w:r>
          </w:p>
        </w:tc>
      </w:tr>
      <w:tr>
        <w:trPr>
          <w:trHeight w:val="21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1,763,169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117,361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2,119,956</w:t>
            </w:r>
          </w:p>
        </w:tc>
      </w:tr>
      <w:tr>
        <w:trPr>
          <w:trHeight w:val="21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sales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12,263,519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4,706,712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1,029,543</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497,779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18,497,553</w:t>
            </w:r>
          </w:p>
        </w:tc>
      </w:tr>
      <w:tr>
        <w:trPr>
          <w:trHeight w:val="20"/>
        </w:trPr>
        <w:tc>
          <w:tcPr>
            <w:tcW w:w="2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29, 2024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Export</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9"/>
                <w:szCs w:val="9"/>
                <w:b w:val="1"/>
                <w:bCs w:val="1"/>
                <w:color w:val="auto"/>
              </w:rPr>
              <w:t>(a)</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1"/>
        </w:trPr>
        <w:tc>
          <w:tcPr>
            <w:tcW w:w="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c>
          <w:tcPr>
            <w:tcW w:w="4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8,731,904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1,094,818</w:t>
            </w:r>
          </w:p>
        </w:tc>
        <w:tc>
          <w:tcPr>
            <w:tcW w:w="400" w:type="dxa"/>
            <w:vAlign w:val="bottom"/>
            <w:gridSpan w:val="4"/>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334,654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10,629,929</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99,624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5,136,747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Mexico</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1,777,815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113,530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2,111,615</w:t>
            </w:r>
          </w:p>
        </w:tc>
        <w:tc>
          <w:tcPr>
            <w:tcW w:w="20" w:type="dxa"/>
            <w:vAlign w:val="bottom"/>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net sales</w:t>
            </w:r>
          </w:p>
        </w:tc>
        <w:tc>
          <w:tcPr>
            <w:tcW w:w="420" w:type="dxa"/>
            <w:vAlign w:val="bottom"/>
            <w:tcBorders>
              <w:top w:val="single" w:sz="8" w:color="auto"/>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11,688,178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4,696,266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547,808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17,878,291</w:t>
            </w:r>
          </w:p>
        </w:tc>
        <w:tc>
          <w:tcPr>
            <w:tcW w:w="20" w:type="dxa"/>
            <w:vAlign w:val="bottom"/>
            <w:tcBorders>
              <w:top w:val="single" w:sz="8" w:color="auto"/>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Export</w:t>
            </w:r>
          </w:p>
        </w:tc>
        <w:tc>
          <w:tcPr>
            <w:tcW w:w="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3"/>
          </w:tcPr>
          <w:p>
            <w:pPr>
              <w:ind w:left="280"/>
              <w:spacing w:after="0" w:line="196" w:lineRule="exact"/>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(a)</w:t>
            </w: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64"/>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8,105,268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978,423</w:t>
            </w:r>
          </w:p>
        </w:tc>
        <w:tc>
          <w:tcPr>
            <w:tcW w:w="400" w:type="dxa"/>
            <w:vAlign w:val="bottom"/>
            <w:gridSpan w:val="4"/>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10,027,742</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3,525,359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5,203,322</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2,131,153</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sales</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10,976,838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4,716,433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1,005,862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663,084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17,362,217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sales shown above are sales of commodity grains and protein byproducts.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disaggregation of revenue by sales channel is provided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28, 2025</w:t>
            </w: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2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2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Foodservice</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Export</w:t>
            </w: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4,024,380</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393,503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10,998,732</w:t>
            </w: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3,331,499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536,979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5,378,865</w:t>
            </w:r>
          </w:p>
        </w:tc>
      </w:tr>
      <w:tr>
        <w:trPr>
          <w:trHeight w:val="219"/>
        </w:trPr>
        <w:tc>
          <w:tcPr>
            <w:tcW w:w="20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Mexico</w:t>
            </w:r>
            <w:r>
              <w:rPr>
                <w:rFonts w:ascii="Times New Roman" w:cs="Times New Roman" w:eastAsia="Times New Roman" w:hAnsi="Times New Roman"/>
                <w:sz w:val="21"/>
                <w:szCs w:val="21"/>
                <w:color w:val="auto"/>
                <w:vertAlign w:val="superscript"/>
              </w:rPr>
              <w:t>(a)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607,825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2,119,956</w:t>
            </w:r>
          </w:p>
        </w:tc>
      </w:tr>
      <w:tr>
        <w:trPr>
          <w:trHeight w:val="209"/>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sales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10,031,176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5,898,527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1,029,543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1,538,307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18,497,553</w:t>
            </w:r>
          </w:p>
        </w:tc>
      </w:tr>
      <w:tr>
        <w:trPr>
          <w:trHeight w:val="21"/>
        </w:trPr>
        <w:tc>
          <w:tcPr>
            <w:tcW w:w="2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2"/>
        </w:trPr>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29, 2024</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2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2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Foodservice</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Export</w:t>
            </w: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4,029,197</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423,353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10,629,929</w:t>
            </w: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3,257,803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555,174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5,136,747</w:t>
            </w:r>
          </w:p>
        </w:tc>
      </w:tr>
      <w:tr>
        <w:trPr>
          <w:trHeight w:val="219"/>
        </w:trPr>
        <w:tc>
          <w:tcPr>
            <w:tcW w:w="20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Mexico</w:t>
            </w:r>
            <w:r>
              <w:rPr>
                <w:rFonts w:ascii="Times New Roman" w:cs="Times New Roman" w:eastAsia="Times New Roman" w:hAnsi="Times New Roman"/>
                <w:sz w:val="21"/>
                <w:szCs w:val="21"/>
                <w:color w:val="auto"/>
                <w:vertAlign w:val="superscript"/>
              </w:rPr>
              <w:t>(a)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597,462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2,111,615</w:t>
            </w:r>
          </w:p>
        </w:tc>
      </w:tr>
      <w:tr>
        <w:trPr>
          <w:trHeight w:val="21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sales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9,498,353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5,857,910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946,039</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1,575,989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17,878,291</w:t>
            </w:r>
          </w:p>
        </w:tc>
      </w:tr>
      <w:tr>
        <w:trPr>
          <w:trHeight w:val="20"/>
        </w:trPr>
        <w:tc>
          <w:tcPr>
            <w:tcW w:w="2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62"/>
        </w:trPr>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2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2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Foodservice</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Export</w:t>
            </w: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3,829,397</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554,117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10,027,742</w:t>
            </w: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3,220,272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917,304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593,089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5,203,322</w:t>
            </w:r>
          </w:p>
        </w:tc>
      </w:tr>
      <w:tr>
        <w:trPr>
          <w:trHeight w:val="219"/>
        </w:trPr>
        <w:tc>
          <w:tcPr>
            <w:tcW w:w="20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Mexico</w:t>
            </w:r>
            <w:r>
              <w:rPr>
                <w:rFonts w:ascii="Times New Roman" w:cs="Times New Roman" w:eastAsia="Times New Roman" w:hAnsi="Times New Roman"/>
                <w:sz w:val="21"/>
                <w:szCs w:val="21"/>
                <w:color w:val="auto"/>
                <w:vertAlign w:val="superscript"/>
              </w:rPr>
              <w:t>(a)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642,178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2,131,153</w:t>
            </w:r>
          </w:p>
        </w:tc>
      </w:tr>
      <w:tr>
        <w:trPr>
          <w:trHeight w:val="21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sales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8,833,703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5,733,268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1,005,862</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1,789,384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17,362,217</w:t>
            </w:r>
          </w:p>
        </w:tc>
      </w:tr>
      <w:tr>
        <w:trPr>
          <w:trHeight w:val="20"/>
        </w:trPr>
        <w:tc>
          <w:tcPr>
            <w:tcW w:w="2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hanging="652"/>
        <w:spacing w:after="0" w:line="302" w:lineRule="auto"/>
        <w:tabs>
          <w:tab w:leader="none" w:pos="6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Mexico foodservice channel are sales to wholesale public meat markets that typically sell product on to foodservice customers. Included in Mexico other channel are sales to live chicken markets.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can incur incremental costs to obtain or fulfill a contract such as broker expenses that are not expected to be recovered. The amortization period for such expenses is less than one year; therefore, the costs are expensed as incurred.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excludes all taxes assessed by a governmental authority that are both imposed on and concurrent with a specific revenue-producing transaction and collected by the entity from a customer (for example, sales, use, value added and some excise taxes) from the transaction price.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receives payment from customers based on terms established with the customer. Payments are typically due within 14 to 30 days of delivery. Revenue contract liabilities relate to payments received in advance of satisfying the performance under the customer contract. The revenue contract liabilities relate to customer prepayments and the advanced consideration, such as cash, received from governmental agency contracts for which performance obligations to the end customer have not been satisfied.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revenue contract liability balances for the years ended December 28, 2025 and December 29, 2024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360" w:type="dxa"/>
            <w:vAlign w:val="bottom"/>
          </w:tcPr>
          <w:p>
            <w:pPr>
              <w:spacing w:after="0"/>
              <w:rPr>
                <w:sz w:val="16"/>
                <w:szCs w:val="16"/>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64"/>
        </w:trPr>
        <w:tc>
          <w:tcPr>
            <w:tcW w:w="7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0" w:type="dxa"/>
            <w:vAlign w:val="bottom"/>
          </w:tcPr>
          <w:p>
            <w:pPr>
              <w:spacing w:after="0"/>
              <w:rPr>
                <w:sz w:val="14"/>
                <w:szCs w:val="14"/>
                <w:color w:val="auto"/>
              </w:rPr>
            </w:pPr>
          </w:p>
        </w:tc>
      </w:tr>
      <w:tr>
        <w:trPr>
          <w:trHeight w:val="221"/>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center"/>
              <w:ind w:left="1044"/>
              <w:spacing w:after="0"/>
              <w:rPr>
                <w:sz w:val="20"/>
                <w:szCs w:val="20"/>
                <w:color w:val="auto"/>
              </w:rPr>
            </w:pPr>
            <w:r>
              <w:rPr>
                <w:rFonts w:ascii="Times New Roman" w:cs="Times New Roman" w:eastAsia="Times New Roman" w:hAnsi="Times New Roman"/>
                <w:sz w:val="16"/>
                <w:szCs w:val="16"/>
                <w:color w:val="auto"/>
                <w:w w:val="99"/>
              </w:rPr>
              <w:t>48,898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center"/>
              <w:ind w:left="941"/>
              <w:spacing w:after="0"/>
              <w:rPr>
                <w:sz w:val="20"/>
                <w:szCs w:val="20"/>
                <w:color w:val="auto"/>
              </w:rPr>
            </w:pPr>
            <w:r>
              <w:rPr>
                <w:rFonts w:ascii="Times New Roman" w:cs="Times New Roman" w:eastAsia="Times New Roman" w:hAnsi="Times New Roman"/>
                <w:sz w:val="16"/>
                <w:szCs w:val="16"/>
                <w:color w:val="auto"/>
              </w:rPr>
              <w:t>84,958</w:t>
            </w: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 recognized</w:t>
            </w:r>
          </w:p>
        </w:tc>
        <w:tc>
          <w:tcPr>
            <w:tcW w:w="240" w:type="dxa"/>
            <w:vAlign w:val="bottom"/>
          </w:tcPr>
          <w:p>
            <w:pPr>
              <w:spacing w:after="0"/>
              <w:rPr>
                <w:sz w:val="18"/>
                <w:szCs w:val="18"/>
                <w:color w:val="auto"/>
              </w:rPr>
            </w:pPr>
          </w:p>
        </w:tc>
        <w:tc>
          <w:tcPr>
            <w:tcW w:w="1720" w:type="dxa"/>
            <w:vAlign w:val="bottom"/>
          </w:tcPr>
          <w:p>
            <w:pPr>
              <w:jc w:val="center"/>
              <w:ind w:left="1024"/>
              <w:spacing w:after="0"/>
              <w:rPr>
                <w:sz w:val="20"/>
                <w:szCs w:val="20"/>
                <w:color w:val="auto"/>
              </w:rPr>
            </w:pPr>
            <w:r>
              <w:rPr>
                <w:rFonts w:ascii="Times New Roman" w:cs="Times New Roman" w:eastAsia="Times New Roman" w:hAnsi="Times New Roman"/>
                <w:sz w:val="16"/>
                <w:szCs w:val="16"/>
                <w:color w:val="auto"/>
                <w:w w:val="98"/>
              </w:rPr>
              <w:t>(45,443)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rPr>
              <w:t>(82,331)</w:t>
            </w: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excluding amounts recognized as revenue during the period</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044"/>
              <w:spacing w:after="0"/>
              <w:rPr>
                <w:sz w:val="20"/>
                <w:szCs w:val="20"/>
                <w:color w:val="auto"/>
              </w:rPr>
            </w:pPr>
            <w:r>
              <w:rPr>
                <w:rFonts w:ascii="Times New Roman" w:cs="Times New Roman" w:eastAsia="Times New Roman" w:hAnsi="Times New Roman"/>
                <w:sz w:val="16"/>
                <w:szCs w:val="16"/>
                <w:color w:val="auto"/>
                <w:w w:val="99"/>
              </w:rPr>
              <w:t>34,167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941"/>
              <w:spacing w:after="0"/>
              <w:rPr>
                <w:sz w:val="20"/>
                <w:szCs w:val="20"/>
                <w:color w:val="auto"/>
              </w:rPr>
            </w:pPr>
            <w:r>
              <w:rPr>
                <w:rFonts w:ascii="Times New Roman" w:cs="Times New Roman" w:eastAsia="Times New Roman" w:hAnsi="Times New Roman"/>
                <w:sz w:val="16"/>
                <w:szCs w:val="16"/>
                <w:color w:val="auto"/>
              </w:rPr>
              <w:t>46,271</w:t>
            </w:r>
          </w:p>
        </w:tc>
      </w:tr>
      <w:tr>
        <w:trPr>
          <w:trHeight w:val="20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center"/>
              <w:ind w:left="1044"/>
              <w:spacing w:after="0"/>
              <w:rPr>
                <w:sz w:val="20"/>
                <w:szCs w:val="20"/>
                <w:color w:val="auto"/>
              </w:rPr>
            </w:pPr>
            <w:r>
              <w:rPr>
                <w:rFonts w:ascii="Times New Roman" w:cs="Times New Roman" w:eastAsia="Times New Roman" w:hAnsi="Times New Roman"/>
                <w:sz w:val="16"/>
                <w:szCs w:val="16"/>
                <w:color w:val="auto"/>
                <w:w w:val="99"/>
              </w:rPr>
              <w:t>37,622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center"/>
              <w:ind w:left="941"/>
              <w:spacing w:after="0"/>
              <w:rPr>
                <w:sz w:val="20"/>
                <w:szCs w:val="20"/>
                <w:color w:val="auto"/>
              </w:rPr>
            </w:pPr>
            <w:r>
              <w:rPr>
                <w:rFonts w:ascii="Times New Roman" w:cs="Times New Roman" w:eastAsia="Times New Roman" w:hAnsi="Times New Roman"/>
                <w:sz w:val="16"/>
                <w:szCs w:val="16"/>
                <w:color w:val="auto"/>
              </w:rPr>
              <w:t>48,898</w:t>
            </w:r>
          </w:p>
        </w:tc>
      </w:tr>
      <w:tr>
        <w:trPr>
          <w:trHeight w:val="23"/>
        </w:trPr>
        <w:tc>
          <w:tcPr>
            <w:tcW w:w="7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LEASES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party to operating lease agreements for warehouses, office space, vehicle maintenance facilities and livestock growing farms in the U.S., distribution centers, hatcheries and office space in Mexico and farms, processing facilities and office space in Europe. Additionally, the Company leases equipment, over-the-road transportation vehicles and other assets in all three reportable segments. The Company is also party to a limited number of finance lease agreements in the U.S.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have remaining lease terms of less than one year to 17 years, some of which may include options to extend the lease for up to five years and some of which may include options to terminate the lease within one year. The exercise of options to extend lease terms is at the Company’s sole discretion. Certain leases also include options to purchase the leased property.</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lease agreements include rental payment increases over the lease term that can be either fixed or variable. Fixed payment increases and variable payment increases based on an index or rate are included in the initial lease liability using the index or rate at commencement date. Variable payment increases not based on an index are recognized as incurred. Certain lease agreements contain residual value guarantees, primarily vehicle and transportation equipment leases.</w:t>
      </w:r>
    </w:p>
    <w:p>
      <w:pPr>
        <w:spacing w:after="0" w:line="12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The following table presents components of lease expense (in thousands). Operating lease cost, finance lease amortization and finance lease interest are respectively included in </w:t>
      </w:r>
      <w:r>
        <w:rPr>
          <w:rFonts w:ascii="Times New Roman" w:cs="Times New Roman" w:eastAsia="Times New Roman" w:hAnsi="Times New Roman"/>
          <w:sz w:val="17"/>
          <w:szCs w:val="17"/>
          <w:i w:val="1"/>
          <w:iCs w:val="1"/>
          <w:color w:val="auto"/>
        </w:rPr>
        <w:t>Cost of sales, SG&amp;A expense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Interest expense, net of capitalized interest</w:t>
      </w:r>
      <w:r>
        <w:rPr>
          <w:rFonts w:ascii="Times New Roman" w:cs="Times New Roman" w:eastAsia="Times New Roman" w:hAnsi="Times New Roman"/>
          <w:sz w:val="17"/>
          <w:szCs w:val="17"/>
          <w:color w:val="auto"/>
        </w:rPr>
        <w:t xml:space="preserve"> in the Consolidated Statements of Income.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8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400" w:type="dxa"/>
            <w:vAlign w:val="bottom"/>
          </w:tcPr>
          <w:p>
            <w:pPr>
              <w:spacing w:after="0"/>
              <w:rPr>
                <w:sz w:val="16"/>
                <w:szCs w:val="16"/>
                <w:color w:val="auto"/>
              </w:rPr>
            </w:pPr>
          </w:p>
        </w:tc>
        <w:tc>
          <w:tcPr>
            <w:tcW w:w="178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6"/>
        </w:trPr>
        <w:tc>
          <w:tcPr>
            <w:tcW w:w="678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cost</w:t>
            </w:r>
            <w:r>
              <w:rPr>
                <w:rFonts w:ascii="Times New Roman" w:cs="Times New Roman" w:eastAsia="Times New Roman" w:hAnsi="Times New Roman"/>
                <w:sz w:val="21"/>
                <w:szCs w:val="21"/>
                <w:color w:val="auto"/>
                <w:vertAlign w:val="superscript"/>
              </w:rPr>
              <w:t>(a)</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82,986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86,684</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finance lease assets</w:t>
            </w: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on finance leases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103,364</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12"/>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lease cost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190,040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193,333</w:t>
            </w: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Sublease income is immaterial and not included in operating lease costs.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and discount rate for lease liabilities included in our Consolidated Balance Sheets are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3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2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65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21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6.05 years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 years</w:t>
            </w:r>
          </w:p>
        </w:tc>
      </w:tr>
      <w:tr>
        <w:trPr>
          <w:trHeight w:val="21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 years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years</w:t>
            </w:r>
          </w:p>
        </w:tc>
      </w:tr>
      <w:tr>
        <w:trPr>
          <w:trHeight w:val="213"/>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4.53 %</w:t>
            </w:r>
          </w:p>
        </w:tc>
      </w:tr>
      <w:tr>
        <w:trPr>
          <w:trHeight w:val="21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2.66 %</w:t>
            </w:r>
          </w:p>
        </w:tc>
      </w:tr>
    </w:tbl>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8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66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1660" w:type="dxa"/>
            <w:vAlign w:val="bottom"/>
          </w:tcPr>
          <w:p>
            <w:pPr>
              <w:jc w:val="right"/>
              <w:ind w:right="150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86,231</w:t>
            </w:r>
          </w:p>
        </w:tc>
        <w:tc>
          <w:tcPr>
            <w:tcW w:w="12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84,806</w:t>
            </w: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1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616</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77,973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66,060</w:t>
            </w: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of December 28, 2025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 w:type="dxa"/>
            <w:vAlign w:val="bottom"/>
          </w:tcPr>
          <w:p>
            <w:pPr>
              <w:spacing w:after="0"/>
              <w:rPr>
                <w:sz w:val="16"/>
                <w:szCs w:val="16"/>
                <w:color w:val="auto"/>
              </w:rPr>
            </w:pP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fiscal years ending December:</w:t>
            </w: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299,230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258,945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w:t>
            </w:r>
          </w:p>
        </w:tc>
      </w:tr>
      <w:tr>
        <w:trPr>
          <w:trHeight w:val="21"/>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liabilities are included in our Consolidated Balance Sheets as follows (in thousands):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Pr>
          <w:p>
            <w:pPr>
              <w:spacing w:after="0"/>
              <w:rPr>
                <w:sz w:val="16"/>
                <w:szCs w:val="16"/>
                <w:color w:val="auto"/>
              </w:rPr>
            </w:pPr>
          </w:p>
        </w:tc>
        <w:tc>
          <w:tcPr>
            <w:tcW w:w="3180" w:type="dxa"/>
            <w:vAlign w:val="bottom"/>
            <w:gridSpan w:val="4"/>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liability, less current maturities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r>
      <w:tr>
        <w:trPr>
          <w:trHeight w:val="237"/>
        </w:trPr>
        <w:tc>
          <w:tcPr>
            <w:tcW w:w="4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liabilities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Information regarding the Company’s outstanding derivative instruments and cash collateral posted with brokers is included in the following table:</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420" w:type="dxa"/>
            <w:vAlign w:val="bottom"/>
          </w:tcPr>
          <w:p>
            <w:pPr>
              <w:spacing w:after="0"/>
              <w:rPr>
                <w:sz w:val="16"/>
                <w:szCs w:val="16"/>
                <w:color w:val="auto"/>
              </w:rPr>
            </w:pPr>
          </w:p>
        </w:tc>
        <w:tc>
          <w:tcPr>
            <w:tcW w:w="15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4"/>
        </w:trPr>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40" w:type="dxa"/>
            <w:vAlign w:val="bottom"/>
          </w:tcPr>
          <w:p>
            <w:pPr>
              <w:spacing w:after="0"/>
              <w:rPr>
                <w:sz w:val="14"/>
                <w:szCs w:val="14"/>
                <w:color w:val="auto"/>
              </w:rPr>
            </w:pPr>
          </w:p>
        </w:tc>
      </w:tr>
      <w:tr>
        <w:trPr>
          <w:trHeight w:val="22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Commodity derivative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9,509</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6,598</w:t>
            </w:r>
          </w:p>
        </w:tc>
      </w:tr>
      <w:tr>
        <w:trPr>
          <w:trHeight w:val="21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Commodity derivative liabilities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(1,343)</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(2,494)</w:t>
            </w:r>
          </w:p>
        </w:tc>
      </w:tr>
      <w:tr>
        <w:trPr>
          <w:trHeight w:val="21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derivative assets</w:t>
            </w:r>
          </w:p>
        </w:tc>
        <w:tc>
          <w:tcPr>
            <w:tcW w:w="220" w:type="dxa"/>
            <w:vAlign w:val="bottom"/>
          </w:tcPr>
          <w:p>
            <w:pPr>
              <w:spacing w:after="0"/>
              <w:rPr>
                <w:sz w:val="18"/>
                <w:szCs w:val="18"/>
                <w:color w:val="auto"/>
              </w:rPr>
            </w:pPr>
          </w:p>
        </w:tc>
        <w:tc>
          <w:tcPr>
            <w:tcW w:w="16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95</w:t>
            </w:r>
          </w:p>
        </w:tc>
        <w:tc>
          <w:tcPr>
            <w:tcW w:w="42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755</w:t>
            </w:r>
          </w:p>
        </w:tc>
      </w:tr>
      <w:tr>
        <w:trPr>
          <w:trHeight w:val="21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derivative liabilities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(205)</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(1,397)</w:t>
            </w:r>
          </w:p>
        </w:tc>
      </w:tr>
      <w:tr>
        <w:trPr>
          <w:trHeight w:val="21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contract derivative liabilities</w:t>
            </w:r>
          </w:p>
        </w:tc>
        <w:tc>
          <w:tcPr>
            <w:tcW w:w="22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(2,638)</w:t>
            </w:r>
          </w:p>
        </w:tc>
        <w:tc>
          <w:tcPr>
            <w:tcW w:w="42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(778)</w:t>
            </w:r>
          </w:p>
        </w:tc>
      </w:tr>
      <w:tr>
        <w:trPr>
          <w:trHeight w:val="219"/>
        </w:trPr>
        <w:tc>
          <w:tcPr>
            <w:tcW w:w="73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Cash collateral posted with brokers</w:t>
            </w:r>
            <w:r>
              <w:rPr>
                <w:rFonts w:ascii="Times New Roman" w:cs="Times New Roman" w:eastAsia="Times New Roman" w:hAnsi="Times New Roman"/>
                <w:sz w:val="21"/>
                <w:szCs w:val="21"/>
                <w:color w:val="auto"/>
                <w:vertAlign w:val="superscript"/>
              </w:rPr>
              <w:t>(a)</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2,324</w:t>
            </w:r>
          </w:p>
        </w:tc>
      </w:tr>
      <w:tr>
        <w:trPr>
          <w:trHeight w:val="216"/>
        </w:trPr>
        <w:tc>
          <w:tcPr>
            <w:tcW w:w="73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Margin cash payable</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(3,886)</w:t>
            </w:r>
          </w:p>
        </w:tc>
        <w:tc>
          <w:tcPr>
            <w:tcW w:w="42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Derivatives coverage</w:t>
            </w:r>
            <w:r>
              <w:rPr>
                <w:rFonts w:ascii="Times New Roman" w:cs="Times New Roman" w:eastAsia="Times New Roman" w:hAnsi="Times New Roman"/>
                <w:sz w:val="21"/>
                <w:szCs w:val="21"/>
                <w:b w:val="1"/>
                <w:bCs w:val="1"/>
                <w:color w:val="auto"/>
                <w:vertAlign w:val="superscript"/>
              </w:rPr>
              <w:t>(c)</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1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Soybean meal</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1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Period through which stated percent of needs are covered:</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Corn</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2026</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2025</w:t>
            </w:r>
          </w:p>
        </w:tc>
      </w:tr>
      <w:tr>
        <w:trPr>
          <w:trHeight w:val="210"/>
        </w:trPr>
        <w:tc>
          <w:tcPr>
            <w:tcW w:w="73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Soybean meal</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2026</w:t>
            </w:r>
          </w:p>
        </w:tc>
        <w:tc>
          <w:tcPr>
            <w:tcW w:w="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2026</w:t>
            </w:r>
          </w:p>
        </w:tc>
      </w:tr>
    </w:tbl>
    <w:p>
      <w:pPr>
        <w:spacing w:after="0" w:line="7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posted with brokers consists primarily of cash, short term treasury bills, or other cash equivalents.</w:t>
      </w:r>
    </w:p>
    <w:p>
      <w:pPr>
        <w:spacing w:after="0" w:line="1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that is owed to brokers is reflected in margin cash payable</w:t>
      </w:r>
    </w:p>
    <w:p>
      <w:pPr>
        <w:spacing w:after="0" w:line="1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Derivatives coverage is the percent of anticipated commodity needs covered by outstanding derivative instruments through a specified date.</w:t>
      </w:r>
    </w:p>
    <w:p>
      <w:pPr>
        <w:spacing w:after="0" w:line="16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gains and losses of each derivative instrument held by the Company not designated or qualifying as hedging instruments: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 xml:space="preserve">Type of Contract </w:t>
            </w:r>
            <w:r>
              <w:rPr>
                <w:rFonts w:ascii="Times New Roman" w:cs="Times New Roman" w:eastAsia="Times New Roman" w:hAnsi="Times New Roman"/>
                <w:sz w:val="18"/>
                <w:szCs w:val="18"/>
                <w:b w:val="1"/>
                <w:bCs w:val="1"/>
                <w:color w:val="auto"/>
                <w:vertAlign w:val="superscript"/>
              </w:rPr>
              <w:t>(a)</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17"/>
        </w:trPr>
        <w:tc>
          <w:tcPr>
            <w:tcW w:w="3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26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Statements of Income</w:t>
            </w:r>
          </w:p>
        </w:tc>
        <w:tc>
          <w:tcPr>
            <w:tcW w:w="0" w:type="dxa"/>
            <w:vAlign w:val="bottom"/>
          </w:tcPr>
          <w:p>
            <w:pPr>
              <w:spacing w:after="0"/>
              <w:rPr>
                <w:sz w:val="1"/>
                <w:szCs w:val="1"/>
                <w:color w:val="auto"/>
              </w:rPr>
            </w:pPr>
          </w:p>
        </w:tc>
      </w:tr>
      <w:tr>
        <w:trPr>
          <w:trHeight w:val="156"/>
        </w:trPr>
        <w:tc>
          <w:tcPr>
            <w:tcW w:w="3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derivatives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vMerge w:val="restart"/>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vMerge w:val="restart"/>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(34,229)</w:t>
            </w:r>
          </w:p>
        </w:tc>
        <w:tc>
          <w:tcPr>
            <w:tcW w:w="26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Foreign currency transaction losses</w:t>
            </w:r>
          </w:p>
        </w:tc>
        <w:tc>
          <w:tcPr>
            <w:tcW w:w="0" w:type="dxa"/>
            <w:vAlign w:val="bottom"/>
          </w:tcPr>
          <w:p>
            <w:pPr>
              <w:spacing w:after="0"/>
              <w:rPr>
                <w:sz w:val="1"/>
                <w:szCs w:val="1"/>
                <w:color w:val="auto"/>
              </w:rPr>
            </w:pPr>
          </w:p>
        </w:tc>
      </w:tr>
      <w:tr>
        <w:trPr>
          <w:trHeight w:val="216"/>
        </w:trPr>
        <w:tc>
          <w:tcPr>
            <w:tcW w:w="36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w:t>
            </w: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contract derivatives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4,665</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0" w:type="dxa"/>
            <w:vAlign w:val="bottom"/>
          </w:tcPr>
          <w:p>
            <w:pPr>
              <w:spacing w:after="0"/>
              <w:rPr>
                <w:sz w:val="1"/>
                <w:szCs w:val="1"/>
                <w:color w:val="auto"/>
              </w:rPr>
            </w:pPr>
          </w:p>
        </w:tc>
      </w:tr>
      <w:tr>
        <w:trPr>
          <w:trHeight w:val="212"/>
        </w:trPr>
        <w:tc>
          <w:tcPr>
            <w:tcW w:w="3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(34,882)</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income (expenses) related to results of operations.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components of the gain or loss on derivatives that qualify as cash flow hedges: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580" w:type="dxa"/>
            <w:vAlign w:val="bottom"/>
            <w:gridSpan w:val="5"/>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Gains (Losses) Recognized in Other Comprehensive Income (Loss)</w:t>
            </w:r>
          </w:p>
        </w:tc>
      </w:tr>
      <w:tr>
        <w:trPr>
          <w:trHeight w:val="23"/>
        </w:trPr>
        <w:tc>
          <w:tcPr>
            <w:tcW w:w="4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2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derivatives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(2,318)</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1,767</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40" w:type="dxa"/>
            <w:vAlign w:val="bottom"/>
            <w:gridSpan w:val="8"/>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Gains (Losses) Reclassified from AOCI into Income</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6"/>
                <w:szCs w:val="16"/>
                <w:color w:val="auto"/>
              </w:rPr>
            </w:pPr>
          </w:p>
        </w:tc>
        <w:tc>
          <w:tcPr>
            <w:tcW w:w="2320" w:type="dxa"/>
            <w:vAlign w:val="bottom"/>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44"/>
              <w:spacing w:after="0" w:line="202" w:lineRule="exact"/>
              <w:rPr>
                <w:sz w:val="20"/>
                <w:szCs w:val="20"/>
                <w:color w:val="auto"/>
              </w:rPr>
            </w:pP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8"/>
                <w:szCs w:val="18"/>
                <w:b w:val="1"/>
                <w:bCs w:val="1"/>
                <w:color w:val="auto"/>
                <w:vertAlign w:val="superscript"/>
              </w:rPr>
              <w:t>(a)</w:t>
            </w: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86"/>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Cost of sales</w:t>
            </w:r>
            <w:r>
              <w:rPr>
                <w:rFonts w:ascii="Times New Roman" w:cs="Times New Roman" w:eastAsia="Times New Roman" w:hAnsi="Times New Roman"/>
                <w:sz w:val="18"/>
                <w:szCs w:val="18"/>
                <w:b w:val="1"/>
                <w:bCs w:val="1"/>
                <w:color w:val="auto"/>
                <w:w w:val="99"/>
                <w:vertAlign w:val="superscript"/>
              </w:rPr>
              <w:t>(b)</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24"/>
              <w:spacing w:after="0" w:line="202" w:lineRule="exact"/>
              <w:rPr>
                <w:sz w:val="20"/>
                <w:szCs w:val="20"/>
                <w:color w:val="auto"/>
              </w:rPr>
            </w:pP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8"/>
                <w:szCs w:val="18"/>
                <w:b w:val="1"/>
                <w:bCs w:val="1"/>
                <w:color w:val="auto"/>
                <w:vertAlign w:val="superscript"/>
              </w:rPr>
              <w:t>(a)</w:t>
            </w: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82"/>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Cost of sales</w:t>
            </w:r>
            <w:r>
              <w:rPr>
                <w:rFonts w:ascii="Times New Roman" w:cs="Times New Roman" w:eastAsia="Times New Roman" w:hAnsi="Times New Roman"/>
                <w:sz w:val="18"/>
                <w:szCs w:val="18"/>
                <w:b w:val="1"/>
                <w:bCs w:val="1"/>
                <w:color w:val="auto"/>
                <w:w w:val="99"/>
                <w:vertAlign w:val="superscript"/>
              </w:rPr>
              <w:t>(b)</w:t>
            </w:r>
          </w:p>
        </w:tc>
        <w:tc>
          <w:tcPr>
            <w:tcW w:w="0" w:type="dxa"/>
            <w:vAlign w:val="bottom"/>
          </w:tcPr>
          <w:p>
            <w:pPr>
              <w:spacing w:after="0"/>
              <w:rPr>
                <w:sz w:val="1"/>
                <w:szCs w:val="1"/>
                <w:color w:val="auto"/>
              </w:rPr>
            </w:pPr>
          </w:p>
        </w:tc>
      </w:tr>
      <w:tr>
        <w:trPr>
          <w:trHeight w:val="164"/>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4"/>
          </w:tcPr>
          <w:p>
            <w:pPr>
              <w:jc w:val="right"/>
              <w:ind w:right="82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Total amounts of income and expense line items presented in the Consolidated Statements of</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18,497,553</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16,139,410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17,878,291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15,565,524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in which the effects of cash flow hedges are recorded</w:t>
            </w:r>
          </w:p>
        </w:tc>
        <w:tc>
          <w:tcPr>
            <w:tcW w:w="2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from cash flow hedging instruments: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derivatives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(2,836)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1,367</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income (expenses) related to net sales.</w:t>
      </w:r>
    </w:p>
    <w:p>
      <w:pPr>
        <w:spacing w:after="0" w:line="2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expenses (income) related to cost of sales and interest expense.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28, 2025, there were $1.5 million of pre-tax deferred net losses on foreign currency derivatives recorded in AOCI expected to be reclassified to the Consolidated Statements of Income during the next twelve months. This expectation is based on the anticipated settlements on the hedged investments in foreign currencies that will occur over the next twelve months, at which time the Company will recognize the deferred losses to earnings.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TRADE ACCOUNTS AND OTHER RECEIVABLES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Trade accounts and other receivables (including accounts receivable from related parties), less allowance for credit losses, consisted of the following:</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Pr>
          <w:p>
            <w:pPr>
              <w:spacing w:after="0"/>
              <w:rPr>
                <w:sz w:val="16"/>
                <w:szCs w:val="16"/>
                <w:color w:val="auto"/>
              </w:rPr>
            </w:pPr>
          </w:p>
        </w:tc>
        <w:tc>
          <w:tcPr>
            <w:tcW w:w="15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75"/>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gridSpan w:val="4"/>
          </w:tcPr>
          <w:p>
            <w:pPr>
              <w:jc w:val="right"/>
              <w:ind w:right="132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1,109,218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973,820</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0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8,970</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30,018</w:t>
            </w:r>
          </w:p>
        </w:tc>
      </w:tr>
      <w:tr>
        <w:trPr>
          <w:trHeight w:val="207"/>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gross</w:t>
            </w:r>
          </w:p>
        </w:tc>
        <w:tc>
          <w:tcPr>
            <w:tcW w:w="200" w:type="dxa"/>
            <w:vAlign w:val="bottom"/>
          </w:tcPr>
          <w:p>
            <w:pPr>
              <w:spacing w:after="0"/>
              <w:rPr>
                <w:sz w:val="17"/>
                <w:szCs w:val="17"/>
                <w:color w:val="auto"/>
              </w:rPr>
            </w:pP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1,012,808</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(8,474)</w:t>
            </w:r>
          </w:p>
        </w:tc>
      </w:tr>
      <w:tr>
        <w:trPr>
          <w:trHeight w:val="207"/>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1,164,903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1,004,334</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6"/>
        </w:trPr>
        <w:tc>
          <w:tcPr>
            <w:tcW w:w="7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9"/>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from related parties</w:t>
            </w:r>
            <w:r>
              <w:rPr>
                <w:rFonts w:ascii="Times New Roman" w:cs="Times New Roman" w:eastAsia="Times New Roman" w:hAnsi="Times New Roman"/>
                <w:sz w:val="21"/>
                <w:szCs w:val="21"/>
                <w:color w:val="auto"/>
                <w:vertAlign w:val="superscript"/>
              </w:rPr>
              <w:t>(a)</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13,398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w:t>
            </w:r>
          </w:p>
        </w:tc>
      </w:tr>
    </w:tbl>
    <w:p>
      <w:pPr>
        <w:ind w:left="660" w:hanging="652"/>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information regarding accounts receivable from related parties is included in “Note 19. Related Party Transactions.”</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the allowance for credit losses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4"/>
          </w:tcPr>
          <w:p>
            <w:pPr>
              <w:jc w:val="right"/>
              <w:ind w:right="1341"/>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(9,341)</w:t>
            </w:r>
          </w:p>
        </w:tc>
        <w:tc>
          <w:tcPr>
            <w:tcW w:w="0" w:type="dxa"/>
            <w:vAlign w:val="bottom"/>
          </w:tcPr>
          <w:p>
            <w:pPr>
              <w:spacing w:after="0"/>
              <w:rPr>
                <w:sz w:val="1"/>
                <w:szCs w:val="1"/>
                <w:color w:val="auto"/>
              </w:rPr>
            </w:pPr>
          </w:p>
        </w:tc>
      </w:tr>
      <w:tr>
        <w:trPr>
          <w:trHeight w:val="21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released (charged) to operating results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 write-offs and recoveries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exchange rate</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2023, the Company and JBS USA Food Company (“JBS USA”) jointly entered into a receivables purchase agreement with a bank for an uncommitted facility with a maximum capacity of $415.0 million and no recourse to the Company or JBS USA. Under the facility, the Company may sell eligible trade receivables in exchange for cash. Transfers under the agreement are recorded as a sale under ASC 860, </w:t>
      </w:r>
      <w:r>
        <w:rPr>
          <w:rFonts w:ascii="Times New Roman" w:cs="Times New Roman" w:eastAsia="Times New Roman" w:hAnsi="Times New Roman"/>
          <w:sz w:val="18"/>
          <w:szCs w:val="18"/>
          <w:i w:val="1"/>
          <w:iCs w:val="1"/>
          <w:color w:val="auto"/>
        </w:rPr>
        <w:t>Broad Transactions – 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At the transfer date, the Company received cash equal to the face value of the receivables sold less a fee based on the current Secured Overnight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Rate (“SOFR”) plus an applicable margin applied over the customer payment term. The fees are immaterial.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r>
      <w:tr>
        <w:trPr>
          <w:trHeight w:val="175"/>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4"/>
          </w:tcPr>
          <w:p>
            <w:pPr>
              <w:jc w:val="right"/>
              <w:ind w:right="1341"/>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4"/>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 and work-in-process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1,191,188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1,069,170</w:t>
            </w:r>
          </w:p>
        </w:tc>
      </w:tr>
      <w:tr>
        <w:trPr>
          <w:trHeight w:val="21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644,792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527,364</w:t>
            </w:r>
          </w:p>
        </w:tc>
      </w:tr>
      <w:tr>
        <w:trPr>
          <w:trHeight w:val="21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supplies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85,164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77,146</w:t>
            </w:r>
          </w:p>
        </w:tc>
      </w:tr>
      <w:tr>
        <w:trPr>
          <w:trHeight w:val="213"/>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Maintenance materials and parts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110,115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109,808</w:t>
            </w:r>
          </w:p>
        </w:tc>
      </w:tr>
      <w:tr>
        <w:trPr>
          <w:trHeight w:val="237"/>
        </w:trPr>
        <w:tc>
          <w:tcPr>
            <w:tcW w:w="7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2,031,259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1,783,488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 IN SECURITIES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investments in available-for-sale securities as cash equivalents, current investments or long-term investments depending upon each security’s length to maturity. The following table summarizes our investments in available-for-sale securities: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380" w:type="dxa"/>
            <w:vAlign w:val="bottom"/>
          </w:tcPr>
          <w:p>
            <w:pPr>
              <w:spacing w:after="0"/>
              <w:rPr>
                <w:sz w:val="20"/>
                <w:szCs w:val="20"/>
                <w:color w:val="auto"/>
              </w:rPr>
            </w:pPr>
          </w:p>
        </w:tc>
        <w:tc>
          <w:tcPr>
            <w:tcW w:w="1980" w:type="dxa"/>
            <w:vAlign w:val="bottom"/>
            <w:gridSpan w:val="3"/>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1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203"/>
              <w:spacing w:after="0" w:line="155"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11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6420" w:type="dxa"/>
            <w:vAlign w:val="bottom"/>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1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income securities</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520,809</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520,899</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1,702,493</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1,702,697</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investments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income securities</w:t>
            </w:r>
          </w:p>
        </w:tc>
        <w:tc>
          <w:tcPr>
            <w:tcW w:w="3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and gross realized gains during 2025 and 2024 related to the Company’s available-for-sale securities totaled $50.5 million and $70.8 million, respectively, while gross realized losses were immaterial. Proceeds received from the sale or maturity of available-for-sale securities investments are historically disclosed in the Consolidated Statements of Cash Flows. Net unrealized holding gains and losses on the Company’s available-for-sale securities recognized during 2025 and 2024 that have been included in accumulated other comprehensive income (loss) and the net amount of gains and losses reclassified out of accumulated other comprehensive income (loss) to earnings during 2025 and 2024 are disclosed in “Note 14. Stockholders’ Equity.”</w:t>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activity in goodwill by reportable segment for the years ended December 28, 2025 and December 29, 2024 were as follows:</w:t>
      </w:r>
    </w:p>
    <w:p>
      <w:pPr>
        <w:spacing w:after="0" w:line="97"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0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6"/>
                <w:szCs w:val="16"/>
                <w:color w:val="auto"/>
              </w:rPr>
            </w:pP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23"/>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4"/>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1"/>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41,936</w:t>
            </w: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86,277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1,183,920</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Mexico</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13,534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113,028</w:t>
            </w:r>
          </w:p>
        </w:tc>
      </w:tr>
      <w:tr>
        <w:trPr>
          <w:trHeight w:val="212"/>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1,239,073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99,811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1,338,884</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62"/>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24"/>
                <w:szCs w:val="24"/>
                <w:color w:val="auto"/>
              </w:rPr>
            </w:pP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4"/>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1"/>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41,936</w:t>
            </w: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1,097,643</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Mexico</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127,804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99,494</w:t>
            </w:r>
          </w:p>
        </w:tc>
      </w:tr>
      <w:tr>
        <w:trPr>
          <w:trHeight w:val="212"/>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1,286,261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(47,188)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1,239,073</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23"/>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4"/>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1"/>
        </w:trPr>
        <w:tc>
          <w:tcPr>
            <w:tcW w:w="4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names not subject to amortization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569,357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613,536</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 subject to amortization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114,762</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456,415</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(66,052)</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(286,595)</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806,234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832,066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24"/>
                <w:szCs w:val="24"/>
                <w:color w:val="auto"/>
              </w:rPr>
            </w:pP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4"/>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1"/>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names not subject to amortization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(11,116)</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569,357</w:t>
            </w:r>
          </w:p>
        </w:tc>
        <w:tc>
          <w:tcPr>
            <w:tcW w:w="20" w:type="dxa"/>
            <w:vAlign w:val="bottom"/>
          </w:tcPr>
          <w:p>
            <w:pPr>
              <w:spacing w:after="0"/>
              <w:rPr>
                <w:sz w:val="18"/>
                <w:szCs w:val="18"/>
                <w:color w:val="auto"/>
              </w:rPr>
            </w:pPr>
          </w:p>
        </w:tc>
      </w:tr>
      <w:tr>
        <w:trPr>
          <w:trHeight w:val="219"/>
        </w:trPr>
        <w:tc>
          <w:tcPr>
            <w:tcW w:w="40" w:type="dxa"/>
            <w:vAlign w:val="bottom"/>
            <w:shd w:val="clear" w:color="auto" w:fill="CCEEFF"/>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names subject to amortization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112,016</w:t>
            </w:r>
          </w:p>
        </w:tc>
        <w:tc>
          <w:tcPr>
            <w:tcW w:w="20" w:type="dxa"/>
            <w:vAlign w:val="bottom"/>
            <w:shd w:val="clear" w:color="auto" w:fill="CCEEFF"/>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431,861</w:t>
            </w:r>
          </w:p>
        </w:tc>
        <w:tc>
          <w:tcPr>
            <w:tcW w:w="20" w:type="dxa"/>
            <w:vAlign w:val="bottom"/>
          </w:tcPr>
          <w:p>
            <w:pPr>
              <w:spacing w:after="0"/>
              <w:rPr>
                <w:sz w:val="18"/>
                <w:szCs w:val="18"/>
                <w:color w:val="auto"/>
              </w:rPr>
            </w:pPr>
          </w:p>
        </w:tc>
      </w:tr>
      <w:tr>
        <w:trPr>
          <w:trHeight w:val="21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names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(57,762)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(61,527)</w:t>
            </w:r>
          </w:p>
        </w:tc>
      </w:tr>
      <w:tr>
        <w:trPr>
          <w:trHeight w:val="219"/>
        </w:trPr>
        <w:tc>
          <w:tcPr>
            <w:tcW w:w="40" w:type="dxa"/>
            <w:vAlign w:val="bottom"/>
            <w:shd w:val="clear" w:color="auto" w:fill="CCEEFF"/>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(223,128)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(28,503)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(245,473)</w:t>
            </w:r>
          </w:p>
        </w:tc>
      </w:tr>
      <w:tr>
        <w:trPr>
          <w:trHeight w:val="20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853,983</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(32,396)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806,234</w:t>
            </w:r>
          </w:p>
        </w:tc>
        <w:tc>
          <w:tcPr>
            <w:tcW w:w="20" w:type="dxa"/>
            <w:vAlign w:val="bottom"/>
            <w:tcBorders>
              <w:bottom w:val="single" w:sz="8" w:color="auto"/>
            </w:tcBorders>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are amortized over the estimated useful lives of the assets as follows:</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names subject to amortization</w:t>
            </w:r>
          </w:p>
        </w:tc>
        <w:tc>
          <w:tcPr>
            <w:tcW w:w="5000" w:type="dxa"/>
            <w:vAlign w:val="bottom"/>
            <w:shd w:val="clear" w:color="auto" w:fill="CCEEFF"/>
          </w:tcPr>
          <w:p>
            <w:pPr>
              <w:ind w:left="3420"/>
              <w:spacing w:after="0"/>
              <w:rPr>
                <w:sz w:val="20"/>
                <w:szCs w:val="20"/>
                <w:color w:val="auto"/>
              </w:rPr>
            </w:pPr>
            <w:r>
              <w:rPr>
                <w:rFonts w:ascii="Times New Roman" w:cs="Times New Roman" w:eastAsia="Times New Roman" w:hAnsi="Times New Roman"/>
                <w:sz w:val="16"/>
                <w:szCs w:val="16"/>
                <w:color w:val="auto"/>
              </w:rPr>
              <w:t>15-20 years</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500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3-18 years</w:t>
            </w:r>
          </w:p>
        </w:tc>
      </w:tr>
    </w:tbl>
    <w:p>
      <w:pPr>
        <w:spacing w:after="0" w:line="2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to recognize amortization expense associated with intangible assets of $29.8 million in 2026, $23.8 million in 2027, $23.8 million in 2028, 2029 and 2030.</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28, 2025, the Company effectively completed a reorganization within its Europe reportable segment. The previous reporting units were Fresh Pork/Lamb, Fresh Poultry, Food Service, Meals, and Brands &amp; Snacking. The new 2025 reorganization resulted in one plant moving from Fresh Pork/Lamb into Fresh Poultry and combining Meals and Brands &amp; Snacking into one reporting unit called Added Value. The resulting reporting units of this reorganization are Fresh Pork/Lamb, Fresh Poultry, Food Service, and Added Value. As a result of this reorganization, the Company reassigned assets and liabilities to the applicable reporting units and allocated goodwill using the relative net assets approach which is consistent with the reallocation method using in the prior year’s reorganization. The Company then assessed if the reorganization was a triggering event that required an interim impairment test. This resulted in an interim impairment test being performed on the Fresh Pork/Lamb reporting unit on both a pre- and post-reorganization basis. There was no impairment recognized as a result of this test. The Company additionally assessed if the Pilgrim’s Europe reorganization indicated that any carrying amounts of its non-goodwill intangible assets might not be recoverable. The reorganization did not result in any change in business use for any of the intangible assets and therefore, the Company determined no indicators were present that required us to test the recoverability of the asset group-level carrying amounts of its Europe intangible assets at that date.</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28, 2025, the Company assessed qualitative factors to determine if it was necessary to perform quantitative impairment tests related to the carrying amounts of its goodwill or its intangible assets not subject to amortization. Based on these assessments, the Company determined that it was not necessary to perform quantitative impairment tests related to the carrying amount of its goodwill nor its intangible assets not subject to amortization at that date.</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2025, the Company assessed if events or changes in circumstances indicated that the aggregate carrying amount of its intangible assets subject to amortization might not be recoverable. There were no indicators present that required the Company to test the recoverability of the aggregate carrying amount of its intangible assets subject to amortization at that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(“PP&amp;E”), net consisted of the following:</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4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175"/>
        </w:trPr>
        <w:tc>
          <w:tcPr>
            <w:tcW w:w="7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4"/>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215,305</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2,307,851</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4,417,923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4,137,561</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Autos and trucks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130,013</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Construction-in-progress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667,315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299,933</w:t>
            </w:r>
          </w:p>
        </w:tc>
      </w:tr>
      <w:tr>
        <w:trPr>
          <w:trHeight w:val="212"/>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PP&amp;E, gross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7,893,803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7,094,938</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(4,360,776)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(3,957,047)</w:t>
            </w:r>
          </w:p>
        </w:tc>
      </w:tr>
      <w:tr>
        <w:trPr>
          <w:trHeight w:val="237"/>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PP&amp;E,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3,533,027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3,137,891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recognized depreciation expense of $423.0 million, $401.2 million and $386.8 million during 2025, 2024 and 2023, respectively.</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2025, the Company incurred $718.5 million on capital projects and transferred $359.2 million of completed projects from construction-in-progress to depreciable assets. During 2024, the Company spent $458.5 million on capital projects and transferred $633.0 million of completed projects from construction-in-progress to depreciable assets. Capital expenditures in accounts payable and accrued expenses for the years ended December 28, 2025 and December 29, 2024 were $40.2 million and $29.2 million, respectively.</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the Company sold certain PP&amp;E for $5.6 million and recognized a loss of $3.9 million. PP&amp;E sold in 2025 consisted of a feed mill in the U.S., breeder farm equipment in Mexico, and other miscellaneous equipment. During 2024, the Company sold certain PP&amp;E for $15.4 million and recognized a gain of $1.8 million. PP&amp;E sold in 2024 consisted of a farm in Mexico and other miscellaneous equipment.</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closed or idled various facilities in the U.S. and the U.K. The Board of Directors has not determined if it would be in the best interest of the Company to divest any of these idled assets. Management is therefore not certain that it can or will divest any of these assets within one year, is not actively marketing these assets and, accordingly, has not classified them as assets held for sale. The Company continues to depreciate these assets. As of December 28, 2025, the carrying amount of these idled assets was $19.6 million based on depreciable value of $113.9 million and accumulated depreciation of $94.3 million. During 2025, the Company recognized an impairment loss on PP&amp;E of $0.5 million incurred as a result of planned restructuring activities in the Europe reportable segment. Additional information regarding restructuring activities is included in “Note 18. Restructuring-Related Activities.”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2025, the Company assessed if events or changes in circumstances indicated that the aggregate carrying amount of its property, plant and equipment held for use might not be recoverable. There were no indicators present that required the Company to test the recoverability of the aggregate carrying amount of its property, plant and equipment held for use at that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CURRENT LIABILITIES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liabilities, other than income taxes and current maturities of long-term debt, consisted of the following components: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4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174"/>
        </w:trPr>
        <w:tc>
          <w:tcPr>
            <w:tcW w:w="7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4"/>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payable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1,400,186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1,269,417</w:t>
            </w: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Book overdrafts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113,364</w:t>
            </w:r>
          </w:p>
        </w:tc>
      </w:tr>
      <w:tr>
        <w:trPr>
          <w:trHeight w:val="213"/>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payables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28,738</w:t>
            </w:r>
          </w:p>
        </w:tc>
      </w:tr>
      <w:tr>
        <w:trPr>
          <w:trHeight w:val="212"/>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accounts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1,588,569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1,411,519</w:t>
            </w:r>
          </w:p>
        </w:tc>
      </w:tr>
      <w:tr>
        <w:trPr>
          <w:trHeight w:val="216"/>
        </w:trPr>
        <w:tc>
          <w:tcPr>
            <w:tcW w:w="78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Accounts payable to related parties</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w:t>
            </w:r>
          </w:p>
        </w:tc>
      </w:tr>
      <w:tr>
        <w:trPr>
          <w:trHeight w:val="216"/>
        </w:trPr>
        <w:tc>
          <w:tcPr>
            <w:tcW w:w="78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 contract liabilities</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48,898</w:t>
            </w:r>
          </w:p>
        </w:tc>
      </w:tr>
      <w:tr>
        <w:trPr>
          <w:trHeight w:val="21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346,355</w:t>
            </w: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Litigation settlements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111,769</w:t>
            </w: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sales rebates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116,439</w:t>
            </w: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Insurance and self-insured claims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76,025</w:t>
            </w: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debt-related fees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65,192</w:t>
            </w: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35,938</w:t>
            </w:r>
          </w:p>
        </w:tc>
      </w:tr>
      <w:tr>
        <w:trPr>
          <w:trHeight w:val="219"/>
        </w:trPr>
        <w:tc>
          <w:tcPr>
            <w:tcW w:w="78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Current maturities of operating lease liabilities</w:t>
            </w:r>
            <w:r>
              <w:rPr>
                <w:rFonts w:ascii="Times New Roman" w:cs="Times New Roman" w:eastAsia="Times New Roman" w:hAnsi="Times New Roman"/>
                <w:sz w:val="21"/>
                <w:szCs w:val="21"/>
                <w:color w:val="auto"/>
                <w:vertAlign w:val="superscript"/>
              </w:rPr>
              <w:t>(c)</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63,327</w:t>
            </w:r>
          </w:p>
        </w:tc>
      </w:tr>
      <w:tr>
        <w:trPr>
          <w:trHeight w:val="216"/>
        </w:trPr>
        <w:tc>
          <w:tcPr>
            <w:tcW w:w="78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Derivative liabilities</w:t>
            </w:r>
            <w:r>
              <w:rPr>
                <w:rFonts w:ascii="Times New Roman" w:cs="Times New Roman" w:eastAsia="Times New Roman" w:hAnsi="Times New Roman"/>
                <w:sz w:val="21"/>
                <w:szCs w:val="21"/>
                <w:color w:val="auto"/>
                <w:vertAlign w:val="superscript"/>
              </w:rPr>
              <w:t>(d)</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4,669</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accrued expenses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195,790</w:t>
            </w:r>
          </w:p>
        </w:tc>
      </w:tr>
      <w:tr>
        <w:trPr>
          <w:trHeight w:val="207"/>
        </w:trPr>
        <w:tc>
          <w:tcPr>
            <w:tcW w:w="7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1,095,858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1,015,504</w:t>
            </w: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2,765,565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2,491,178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information regarding accounts payable to related parties is included in “Note 19. Related Party Transactions.”</w:t>
      </w:r>
    </w:p>
    <w:p>
      <w:pPr>
        <w:spacing w:after="0" w:line="2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information regarding revenue contract liabilities is included in “Note 2. Revenue Recognition.”</w:t>
      </w:r>
    </w:p>
    <w:p>
      <w:pPr>
        <w:spacing w:after="0" w:line="2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information regarding current maturities of operating lease liabilities is included in “Note 3. Leases.”</w:t>
      </w:r>
    </w:p>
    <w:p>
      <w:pPr>
        <w:spacing w:after="0" w:line="2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information regarding derivative liabilities is included in “Note 4. Derivative Financial Instruments.”</w:t>
      </w:r>
    </w:p>
    <w:p>
      <w:pPr>
        <w:spacing w:after="0" w:line="200" w:lineRule="exact"/>
        <w:rPr>
          <w:sz w:val="20"/>
          <w:szCs w:val="20"/>
          <w:color w:val="auto"/>
        </w:rPr>
      </w:pPr>
    </w:p>
    <w:p>
      <w:pPr>
        <w:spacing w:after="0" w:line="233" w:lineRule="exact"/>
        <w:rPr>
          <w:sz w:val="20"/>
          <w:szCs w:val="20"/>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PROGRAMS</w:t>
      </w:r>
    </w:p>
    <w:p>
      <w:pPr>
        <w:spacing w:after="0" w:line="2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The Company maintains supplier finance programs, under which we agree to pay for invoices that are confirmed as valid under the program from participating suppliers to a financing entity. Maturity dates are generally between 65-120 days and we pay either the supplier or the financing entity depending on the supplier’s election. We do not have an economic interest in a supplier’s participation in the program or a direct financial relationship with the financial institution funding the program. The outstanding balances are included 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in the Consolidated Balance Sheets.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17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4"/>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Confirmed obligations outstanding,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152,780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192,666</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Invoices confirmed during the year</w:t>
            </w:r>
          </w:p>
        </w:tc>
        <w:tc>
          <w:tcPr>
            <w:tcW w:w="140" w:type="dxa"/>
            <w:vAlign w:val="bottom"/>
          </w:tcPr>
          <w:p>
            <w:pPr>
              <w:spacing w:after="0"/>
              <w:rPr>
                <w:sz w:val="18"/>
                <w:szCs w:val="18"/>
                <w:color w:val="auto"/>
              </w:rPr>
            </w:pPr>
          </w:p>
        </w:tc>
        <w:tc>
          <w:tcPr>
            <w:tcW w:w="1440" w:type="dxa"/>
            <w:vAlign w:val="bottom"/>
          </w:tcPr>
          <w:p>
            <w:pPr>
              <w:jc w:val="center"/>
              <w:ind w:left="684"/>
              <w:spacing w:after="0"/>
              <w:rPr>
                <w:sz w:val="20"/>
                <w:szCs w:val="20"/>
                <w:color w:val="auto"/>
              </w:rPr>
            </w:pPr>
            <w:r>
              <w:rPr>
                <w:rFonts w:ascii="Times New Roman" w:cs="Times New Roman" w:eastAsia="Times New Roman" w:hAnsi="Times New Roman"/>
                <w:sz w:val="16"/>
                <w:szCs w:val="16"/>
                <w:color w:val="auto"/>
                <w:w w:val="99"/>
              </w:rPr>
              <w:t>865,260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870,540</w:t>
            </w:r>
          </w:p>
        </w:tc>
      </w:tr>
      <w:tr>
        <w:trPr>
          <w:trHeight w:val="21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Confirmed invoices paid during the year</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664"/>
              <w:spacing w:after="0"/>
              <w:rPr>
                <w:sz w:val="20"/>
                <w:szCs w:val="20"/>
                <w:color w:val="auto"/>
              </w:rPr>
            </w:pPr>
            <w:r>
              <w:rPr>
                <w:rFonts w:ascii="Times New Roman" w:cs="Times New Roman" w:eastAsia="Times New Roman" w:hAnsi="Times New Roman"/>
                <w:sz w:val="16"/>
                <w:szCs w:val="16"/>
                <w:color w:val="auto"/>
                <w:w w:val="98"/>
              </w:rPr>
              <w:t>(808,646)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661"/>
              <w:spacing w:after="0"/>
              <w:rPr>
                <w:sz w:val="20"/>
                <w:szCs w:val="20"/>
                <w:color w:val="auto"/>
              </w:rPr>
            </w:pPr>
            <w:r>
              <w:rPr>
                <w:rFonts w:ascii="Times New Roman" w:cs="Times New Roman" w:eastAsia="Times New Roman" w:hAnsi="Times New Roman"/>
                <w:sz w:val="16"/>
                <w:szCs w:val="16"/>
                <w:color w:val="auto"/>
              </w:rPr>
              <w:t>(910,426)</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Confirmed obligations outstanding,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center"/>
              <w:ind w:left="684"/>
              <w:spacing w:after="0"/>
              <w:rPr>
                <w:sz w:val="20"/>
                <w:szCs w:val="20"/>
                <w:color w:val="auto"/>
              </w:rPr>
            </w:pPr>
            <w:r>
              <w:rPr>
                <w:rFonts w:ascii="Times New Roman" w:cs="Times New Roman" w:eastAsia="Times New Roman" w:hAnsi="Times New Roman"/>
                <w:sz w:val="16"/>
                <w:szCs w:val="16"/>
                <w:color w:val="auto"/>
                <w:w w:val="99"/>
              </w:rPr>
              <w:t>209,394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center"/>
              <w:ind w:left="681"/>
              <w:spacing w:after="0"/>
              <w:rPr>
                <w:sz w:val="20"/>
                <w:szCs w:val="20"/>
                <w:color w:val="auto"/>
              </w:rPr>
            </w:pPr>
            <w:r>
              <w:rPr>
                <w:rFonts w:ascii="Times New Roman" w:cs="Times New Roman" w:eastAsia="Times New Roman" w:hAnsi="Times New Roman"/>
                <w:sz w:val="16"/>
                <w:szCs w:val="16"/>
                <w:color w:val="auto"/>
              </w:rPr>
              <w:t>152,780</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(loss) before income taxes by jurisdiction is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1,428,497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26,887</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338,335</w:t>
            </w:r>
          </w:p>
        </w:tc>
      </w:tr>
      <w:tr>
        <w:trPr>
          <w:trHeight w:val="237"/>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1,412,269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365,222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tax expense (benefit) are set forth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172,269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(19,727)</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59,326</w:t>
            </w:r>
          </w:p>
        </w:tc>
      </w:tr>
      <w:tr>
        <w:trPr>
          <w:trHeight w:val="213"/>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 and other</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w:t>
            </w:r>
          </w:p>
        </w:tc>
      </w:tr>
      <w:tr>
        <w:trPr>
          <w:trHeight w:val="212"/>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36,230</w:t>
            </w: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(10,573)</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w:t>
            </w:r>
          </w:p>
        </w:tc>
      </w:tr>
      <w:tr>
        <w:trPr>
          <w:trHeight w:val="207"/>
        </w:trPr>
        <w:tc>
          <w:tcPr>
            <w:tcW w:w="5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deferred</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6,675</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and Deferred</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48,753</w:t>
            </w:r>
          </w:p>
        </w:tc>
      </w:tr>
      <w:tr>
        <w:trPr>
          <w:trHeight w:val="213"/>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 and other</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43,946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r>
      <w:tr>
        <w:trPr>
          <w:trHeight w:val="237"/>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and Deferred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2025 was 28.0% compared to 23.0% for 2024 and 11.7% for 2023.</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statutory U.S. federal income tax rate to the Company’s effective income tax rate:</w:t>
      </w:r>
    </w:p>
    <w:p>
      <w:pPr>
        <w:sectPr>
          <w:pgSz w:w="11900" w:h="16838" w:orient="portrait"/>
          <w:cols w:equalWidth="0" w:num="1">
            <w:col w:w="11240"/>
          </w:cols>
          <w:pgMar w:left="320" w:top="12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190"/>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 thousands, except percent data)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 federal statutory tax rate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315,449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296,577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76,697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820</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3,278</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(1,071)</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Global intangible low-taxed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(434)</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1,501</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9,294</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6,502</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5,936</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(2,986)</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9,225</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4,981</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2,887</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credits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tax credit</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(5,530)</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3,308</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(7,534)</w:t>
            </w:r>
          </w:p>
        </w:tc>
        <w:tc>
          <w:tcPr>
            <w:tcW w:w="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(2,267)</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 and local income taxes, net of federal income tax effect</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74,849</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28,517</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(13,031)</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r>
      <w:tr>
        <w:trPr>
          <w:trHeight w:val="21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Foreign tax effect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Ireland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2,500</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843</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Statutory income tax rate differential</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94</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963</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2,177</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(1,348)</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(1,767)</w:t>
            </w:r>
          </w:p>
        </w:tc>
        <w:tc>
          <w:tcPr>
            <w:tcW w:w="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2,286</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Luxembourg</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Imputed interest on intercompany financing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(14,754)</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(14,907)</w:t>
            </w:r>
          </w:p>
        </w:tc>
        <w:tc>
          <w:tcPr>
            <w:tcW w:w="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(15,871)</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1,495</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22</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Statutory income tax rate differential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1,498</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1,699</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2,435</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799</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752</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618</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Malta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Notional deduction against interest income</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(12,392)</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Notional deduction carryforward from prior year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(25,963)</w:t>
            </w:r>
          </w:p>
        </w:tc>
        <w:tc>
          <w:tcPr>
            <w:tcW w:w="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(523)</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(451)</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(1,082)</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Statutory income tax rate differential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(1,043)</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(899)</w:t>
            </w:r>
          </w:p>
        </w:tc>
        <w:tc>
          <w:tcPr>
            <w:tcW w:w="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5,508</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 taxable and nondeductible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3,054</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294</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348</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5,563</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(6,222)</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(29,437)</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(9,610)</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2,109</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(4,594)</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Statutory income tax rate differential</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16,046</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24,116</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18,026</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(111)</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180</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(1,028)</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Kingdom</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Federal tax credit carryforward adjustment from prior years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19,168</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592</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2,807</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5,250</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(6,478)</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Statutory income tax rate differential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5,360</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2,622</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875</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28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(3,004)</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(18,221)</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14,155</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2,776</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545</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1,920</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4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418,794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325,046</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42,905</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state and local taxes in California, Illinois, Florida and Minnesota comprise the majority of the state and local income taxes, net of federal effect category. In 2024, state and local income taxes in California, Texas and Illinois comprise the majority of the state and local income taxes, net of federal effect category. In 2023, state and local income taxes in Florida and South Carolina comprise the majority of the state and local income taxes, net of federal effect category.</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Pilgrim’s historically would settle its stand-alone unitary tax liability with JBS USA the year subsequent to the actual state tax return filings. Due to the new tax sharing agreement with JBS USA effective December 30, 2024, Pilgrim’s is currently required to estimate and pay its stand-alone unitary tax liability on a quarterly basis following current year estimated state tax deadlines. Since the tax accounting method for Pilgrims’ state taxes is the cash method, this led to 2024 and 2025 state unitary payments being incurred in 2025, and a higher state effective tax rate for the 2025 year. See “Note 1. Business and Summary of Significant Accounting Policies” for more information regarding the new tax sharing agreement.</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Nontaxable and Nondeductible items primarily relate to expenses for meals and entertainment and inflationary adjustments incurred by PPC Mexico that are not deductible for income tax purposes under applicable tax regulations. These amounts impact the effective tax rate as they represent permanent differences between financial reporting and taxable income.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paid (net of refunds) exceeded 5% of total income taxes paid (net of refunds) in the following jurisdictions: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
        </w:trPr>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 federal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(28,777)</w:t>
            </w: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 state and local</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Florida</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r>
      <w:tr>
        <w:trPr>
          <w:trHeight w:val="213"/>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2"/>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state and local</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39,053</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Kingdom</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France</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r>
      <w:tr>
        <w:trPr>
          <w:trHeight w:val="213"/>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1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foreign</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46,763</w:t>
            </w:r>
          </w:p>
        </w:tc>
      </w:tr>
      <w:tr>
        <w:trPr>
          <w:trHeight w:val="212"/>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361,892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197,557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19,748</w:t>
            </w: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55" w:right="339" w:bottom="0" w:gutter="0" w:footer="0" w:header="0"/>
        </w:sectPr>
      </w:pPr>
    </w:p>
    <w:bookmarkStart w:id="69" w:name="page70"/>
    <w:bookmarkEnd w:id="69"/>
    <w:p>
      <w:pPr>
        <w:spacing w:after="0" w:line="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the Company’s deferred tax liabilities and assets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r>
      <w:tr>
        <w:trPr>
          <w:trHeight w:val="174"/>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gridSpan w:val="4"/>
          </w:tcPr>
          <w:p>
            <w:pPr>
              <w:jc w:val="right"/>
              <w:ind w:right="1339"/>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PP&amp;E and identified intangible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523,968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495,571</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93,513</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63,717</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6,959</w:t>
            </w:r>
          </w:p>
        </w:tc>
      </w:tr>
      <w:tr>
        <w:trPr>
          <w:trHeight w:val="207"/>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659,760</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net operating losses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net operating losses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49,166</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carry forwards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20,099</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92,565</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Workers’ compensation</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Incentive compensation</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63,717</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limitations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72,615</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27,918</w:t>
            </w:r>
          </w:p>
        </w:tc>
      </w:tr>
      <w:tr>
        <w:trPr>
          <w:trHeight w:val="207"/>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352,548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(86,257)</w:t>
            </w:r>
          </w:p>
        </w:tc>
      </w:tr>
      <w:tr>
        <w:trPr>
          <w:trHeight w:val="207"/>
        </w:trPr>
        <w:tc>
          <w:tcPr>
            <w:tcW w:w="76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deferred tax assets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292,760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266,291</w:t>
            </w:r>
          </w:p>
        </w:tc>
      </w:tr>
      <w:tr>
        <w:trPr>
          <w:trHeight w:val="237"/>
        </w:trPr>
        <w:tc>
          <w:tcPr>
            <w:tcW w:w="7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393,469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28, 2025, the Company believes it has sufficient positive evidence to conclude that realization of its federal, state and foreign net deferred tax assets are more likely than not to be realized. As of December 28, 2025, the Company’s valuation allowance is $85.9 million, of which $14.7 million relates to our Europe operations, $0.2 million relates to our Mexico operations, $47.0 million relates to Onix Investments UK Limited, Sandstone Holdings Sàrl and Arkose Investments ULC, indirect subsidiaries of Pilgrim’s, $12.1 million relates to our Puerto Rico operations, $11.7 million relates to U.S. foreign tax credits and $0.2 million relates to state net operating losses.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80" w:type="dxa"/>
            <w:vAlign w:val="bottom"/>
          </w:tcPr>
          <w:p>
            <w:pPr>
              <w:spacing w:after="0"/>
              <w:rPr>
                <w:sz w:val="16"/>
                <w:szCs w:val="16"/>
                <w:color w:val="auto"/>
              </w:rPr>
            </w:pPr>
          </w:p>
        </w:tc>
        <w:tc>
          <w:tcPr>
            <w:tcW w:w="13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80" w:type="dxa"/>
            <w:vAlign w:val="bottom"/>
          </w:tcPr>
          <w:p>
            <w:pPr>
              <w:spacing w:after="0"/>
              <w:rPr>
                <w:sz w:val="16"/>
                <w:szCs w:val="16"/>
                <w:color w:val="auto"/>
              </w:rPr>
            </w:pPr>
          </w:p>
        </w:tc>
        <w:tc>
          <w:tcPr>
            <w:tcW w:w="12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6"/>
                <w:szCs w:val="16"/>
                <w:color w:val="auto"/>
              </w:rPr>
            </w:pPr>
          </w:p>
        </w:tc>
        <w:tc>
          <w:tcPr>
            <w:tcW w:w="13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4"/>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1"/>
        </w:trPr>
        <w:tc>
          <w:tcPr>
            <w:tcW w:w="4620" w:type="dxa"/>
            <w:vAlign w:val="bottom"/>
            <w:shd w:val="clear" w:color="auto" w:fill="CCEEFF"/>
          </w:tcPr>
          <w:p>
            <w:pPr>
              <w:jc w:val="right"/>
              <w:ind w:right="3119"/>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4620" w:type="dxa"/>
            <w:vAlign w:val="bottom"/>
          </w:tcPr>
          <w:p>
            <w:pPr>
              <w:jc w:val="right"/>
              <w:ind w:right="401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86,257</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4,470</w:t>
            </w:r>
          </w:p>
        </w:tc>
        <w:tc>
          <w:tcPr>
            <w:tcW w:w="4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(4,852)</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85,875</w:t>
            </w:r>
          </w:p>
        </w:tc>
      </w:tr>
      <w:tr>
        <w:trPr>
          <w:trHeight w:val="219"/>
        </w:trPr>
        <w:tc>
          <w:tcPr>
            <w:tcW w:w="4620" w:type="dxa"/>
            <w:vAlign w:val="bottom"/>
            <w:shd w:val="clear" w:color="auto" w:fill="CCEEFF"/>
          </w:tcPr>
          <w:p>
            <w:pPr>
              <w:jc w:val="right"/>
              <w:ind w:right="401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88,460</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637</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(2,840)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86,257</w:t>
            </w:r>
          </w:p>
        </w:tc>
      </w:tr>
      <w:tr>
        <w:trPr>
          <w:trHeight w:val="210"/>
        </w:trPr>
        <w:tc>
          <w:tcPr>
            <w:tcW w:w="4620" w:type="dxa"/>
            <w:vAlign w:val="bottom"/>
          </w:tcPr>
          <w:p>
            <w:pPr>
              <w:jc w:val="right"/>
              <w:ind w:right="401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8"/>
                <w:szCs w:val="18"/>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64,361</w:t>
            </w:r>
          </w:p>
        </w:tc>
        <w:tc>
          <w:tcPr>
            <w:tcW w:w="38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25,296</w:t>
            </w:r>
          </w:p>
        </w:tc>
        <w:tc>
          <w:tcPr>
            <w:tcW w:w="4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88,460</w:t>
            </w:r>
          </w:p>
        </w:tc>
      </w:tr>
    </w:tbl>
    <w:p>
      <w:pPr>
        <w:spacing w:after="0" w:line="2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28, 2025, the Company had federal and state net operating loss carry forwards of approximately $17.8 million that begin to expire in 2026. The Company also had Mexico net operating loss carry forwards as of December 28, 2025 of approximately $9.7 million that begin to expire in 2029. The Company also had U.K. net operating loss carry forwards as of December 28, 2025 of approximately $242.4 million that may be carried forward indefinitely.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28, 2025, the Company had approximately $1.6 million of state tax credit carry forwards that begin to expire in 2026.</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28, 2025 and December 29, 2024, there is a tax effect of $0.4 million and $(9.4) million, respectively, reflected in other comprehensive loss.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28, 2025 and December 29, 2024, there are immaterial tax effects reflected in income tax expense due to excess tax benefits and shortfalls related to stock-based compensation. See “Note 1. Business and Summary of Significant Accounting Policies” for additional information.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4"/>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r>
      <w:tr>
        <w:trPr>
          <w:trHeight w:val="175"/>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gridSpan w:val="4"/>
          </w:tcPr>
          <w:p>
            <w:pPr>
              <w:jc w:val="right"/>
              <w:ind w:right="1341"/>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beginning of year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37,565</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as a result of tax positions taken during prior years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for lapse in statute of limitations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Decrease for tax positions of prior years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end of year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Included in unrecognized tax benefits of $31.7 million as of December 28, 2025, was $17.8 million of tax benefits that, if recognized, would reduce the Company’s effective tax rate.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As of December 28, 2025, the Company had recorded a liability of $8.9 million for interest and penalties. During 2025, accrued interest and penalty amounts related to uncertain tax positions increased by $1.4 million.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the U.S. (including multiple state jurisdictions), Puerto Rico and several foreign locations including Mexico, the U.K., and the Republic of Ireland. With few exceptions, the Company is no longer subject to examinations by taxing authorities for years prior to 2020 in U.S. federal, state and local jurisdictions, for years prior to 2010 in Mexico, and for years prior to 2017 in the U.K.</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DEBT</w:t>
      </w:r>
    </w:p>
    <w:p>
      <w:pPr>
        <w:sectPr>
          <w:pgSz w:w="11900" w:h="16873" w:orient="portrait"/>
          <w:cols w:equalWidth="0" w:num="1">
            <w:col w:w="11240"/>
          </w:cols>
          <w:pgMar w:left="320" w:top="121" w:right="339" w:bottom="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Long-term debt and other borrowing arrangements, including current notes payable to banks, consisted of the following components: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6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r>
      <w:tr>
        <w:trPr>
          <w:trHeight w:val="164"/>
        </w:trPr>
        <w:tc>
          <w:tcPr>
            <w:tcW w:w="6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4"/>
          </w:tcPr>
          <w:p>
            <w:pPr>
              <w:jc w:val="right"/>
              <w:ind w:right="1339"/>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payable, net of discount, at 6.875%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491,329</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payable, net of discount, at 6.25%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917,852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974,381</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payable at 3.50%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payable, net of discount, at 4.25%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850,342</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Credit Facility (defined below) at SOFR plus 1.35%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Credit Facility (defined below) with notes payable at SONIA plus 1.25%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 BBVA Credit Facility (defined below) with notes payable at TIIE plus 1.35%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Mexico Bajio Credit Facility (defined below) with notes payable at TIIE plus 1.41%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Live Oak CHP Project PACE Loan 5.15%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20,599</w:t>
            </w:r>
          </w:p>
        </w:tc>
      </w:tr>
      <w:tr>
        <w:trPr>
          <w:trHeight w:val="21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0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Various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r>
      <w:tr>
        <w:trPr>
          <w:trHeight w:val="21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3,238,443</w:t>
            </w:r>
          </w:p>
        </w:tc>
      </w:tr>
      <w:tr>
        <w:trPr>
          <w:trHeight w:val="21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12"/>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3,121,277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3,237,585</w:t>
            </w:r>
          </w:p>
        </w:tc>
      </w:tr>
      <w:tr>
        <w:trPr>
          <w:trHeight w:val="21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Capitalized financing costs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(31,472)</w:t>
            </w:r>
          </w:p>
        </w:tc>
      </w:tr>
      <w:tr>
        <w:trPr>
          <w:trHeight w:val="237"/>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 net of capitalized financing costs</w:t>
            </w: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3,093,113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3,206,113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future minimum principal payments due in each of the next five fiscal years subsequent to the year ended December 28, 2025, related to the Live Oak CHP Project PACE Loan discussed below, are $0.1 million. See “Note 3. Leases” for future minimum payments of finance lease obligations.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Repurchase Program</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 2024, the Board approved a bond repurchase program which permits the Company to repurchase an aggregate amount of $200.0 million of the Company’s outstanding senior notes. On May 1, 2025, the Board approved an increase to the bond repurchase program for an additional amount of $500.0 million. In year ended December 28, 2025, the Company repurchased $59.6 million of outstanding principal of the Senior Notes due 2031 (defined below), $0.4 million of outstanding principal of the Senior Notes due 2032 (defined below), and $57.5 million of outstanding principal of the Senior Notes due 2033 (defined below), resulting in $1.0 million gross realized gains recognized. The gross realized gains on early extinguishment of debt are recognized in interest expense. The original discount and capitalized financing costs associated with the amount repurchased are immaterial and are partially offsetting the gross gains on early extinguishment of debt, along with a nominal amount of transaction fees. To date under the program, the Company has repurchased $203.9 million of outstanding principal of the Senior Notes due 2031, $0.4 million of Senior Notes due 2032, and $77.5 million of outstanding principal of the Senior Notes due 2033.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Senior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Senior Notes Due 2031</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8, 2021, the Company completed a sale of $1.0 billion aggregate principal amount of its 4.25% sustainability-linked unsecured, unregistered senior notes due 2031 (“Senior Notes due 2031”). The Company used the net proceeds, together with cash on hand, to redeem previously issued senior notes. The issuance price of this offering was 98.994%, which created gross proceeds of $989.9 million. The $10.1 million discount will be amortized over the remaining life of the Senior Notes due 2031.</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Senior Notes due 2031 are governed by, and were issued pursuant to, an indenture dated as of April 8, 2021 by and among the Company, its guarantor subsidiaries and Regions Bank, as trustee (the “April 2021 Indenture”). The April 2021 Indenture provides, among other things, that the Senior Notes due 2031 bear interest at a rate of 4.25% per annum payable semi-annually on April 15 and October 15 of each year. From and including October 15, 2026, the interest rate payable on the notes shall be increased to 4.50% per annum unless the Company has notified the trustee at least 30 days prior to October 15, 2026 that in respect of the year ended December 31, 2025, (1) the Company’s greenhouse gas emissions intensity reduction target of 17.679% by December 31, 2025 from a 2019 baseline (the “Sustainability Performance Target”) has been satisfied and (2) the satisfaction of the Sustainability Performance Target has been confirmed by a qualified provider of third-party assurance or attestation services appointed by the Company to review the Company’s statement of the greenhouse gas emissions intensity in accordance with its customary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Senior Notes Due 2032</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 2021, the Company completed a sale of $900.0 million in aggregate principal amount of its 3.50% unsecured, unregistered senior notes due 2032 (“Senior Notes due 2032”). The Company used the proceeds, together with borrowings under the delayed draw term loan under its U.S. Credit Facility, to finance the acquisition of the Kerry Consumer Foods’ meats and meals businesses (now Pilgrim’s Food Masters) and to pay related fees and expenses.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Senior Notes due 2032 are governed by, and were issued pursuant to, an indenture dated as of September 2, 2021 by and among the Company, its guarantor subsidiaries and Regions Bank, as trustee (the “September 2021 Indenture”). The September 2021 Indenture provides, among other things, that the Senior Notes due 2032 bear interest at a rate of 3.50% per annum payable semi-annually on March 1 and September 1 of each year.</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22, 2022, the Company announced the expiration and receipt of the requisite consents in its consent solicitations for certain amendments to the indentures governing its Senior Notes due 2031 and Senior Notes due 2032. The amendments conformed certain provisions and restrictive covenants in each indenture to (1) reflect PPC’s investment-grade status and (2) the corresponding provisions and restrictive covenants set forth in the September 2021 Indenture. The amendments permanently eliminated certain covenants for the Company, including limitations on incurrence of additional debt and issuance of capital stock, restricted payments, asset sales, restrictions on distributions from restricted subsidiaries, affiliate transactions, guarantees of debt by restricted subsidiaries and certain provisions related to mergers and consolidations. In addition, provisions related to limitation on liens, sale and leaseback transactions, substitution of the Company as an issuer and measuring compliance were amended.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Senior Notes Due 2033</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19, 2023, the Company completed a sale of $1.0 billion aggregate principal amount of its 6.25% unsecured, registered senior notes due 2033 (“Senior Notes due 2033”). The Company used the net proceeds to repay the term loans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outstanding balance under the U.S. Credit Facility as defined below. The remaining proceeds were used for general corporate purposes, including repaying existing debt. The issuance price of this offering to the public was 99.312%, which created gross proceeds of $993.1 million before transaction costs. The $6.9 million discount will be amortized over the remaining life of the Senior Notes due 2033. The Senior Notes due 2033 bear interest at a rate of 6.25% per annum from the date of issuance until maturity, payable semiannually on January 1 and July 1 of each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Senior Notes Due 2034</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12, 2023, the Company completed a sale of $500.0 million aggregate principal amount of its 6.875% unsecured, registered senior notes due 2034 (“Senior Notes due 2034”). The Company used the net proceeds from the offering of the Senior Notes due 2034, together with cash on hand, to repurchase pursuant to a tender offer and redeem all of its outstanding 5.875% Senior Notes due 2027. The issuance price of this offering to the public was 98.041%, which created gross proceeds of $490.2 million before transaction costs. The $9.8 million discount will be amortized over the remaining life of the Senior Notes due 2034. The Senior Notes due 2034 bear interest at a rate of 6.875% per annum from the date of issuance until maturity, payable semiannually in arrears on May 15 and November 15 of each year.</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Notes due 2031, 2032, 2033, and 2034 are the Company’s senior unsecured obligations and will rank equally with all of the Company’s existing and future senior unsecured debt and rank senior to all of the Company’s existing and future subordinated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Credit Facility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4, 2023, the Company and certain of the Company’s subsidiaries entered into a Revolving Syndicated Facility Agreement (the “U.S. Credit Facility”) with CoBank, ACB as administrative agent and the other lenders party thereto. The U.S. Credit Facility provides for a revolving loan commitment of up to $850 million. The loan commitment matures on October 4, 2028. The U.S. Credit Facility is unsecured and will be used for general corporate purposes. Outstanding borrowings under the U.S. Credit Facility bear interest at a per annum rate equal to either the Secured Overnight Financing Rate (“SOFR”) or the prime rate plus applicable margins based on the Company’s credit ratings. As of December 28, 2025, the Company had outstanding letters of credit and available borrowings under the revolving credit commitment of $4.0 million and $846.0 million, respectively, and there were no outstanding borrowings under this agreement.</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U.S. Credit Facility is not guaranteed by any of the Company’s subsidiaries. Following the Collateral Cure (defined below), each wholly-owned subsidiary of each borrower is required to become a guarantor (other than certain excluded subsidiaries that are not required to become a guarantor).</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U.S. Credit Facility imposes certain limitations and restrictions on the Company and its restricted subsidiaries, including limitations on 1) liens, 2) indebtedness, 3) sales and other dispositions of assets, 4) dividends, distributions, and other payments in respect of equity interest, 5) investments, and 6) voluntary prepayments, redemptions or repurchases of junior debt. In each case, clauses 1 to 6 are subject to certain exceptions which can be material and certain of such clauses only apply to the Company upon the occurrence of certain triggering events. In addition, the U.S. Credit Facility and subject to the Collateral Cure, includes a financial maintenance covenant that requires the Company not to permit its interest coverage ratio to be less than 3.50:1.00, which shall be tested at the end of each fiscal quarter of the Company (the “Financial Maintenance Covenant”).</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end of any fiscal quarter, the Company may give notice that it will not be in compliance with the Financial Maintenance Covenant and instead may elect to cause the borrowers and each subsidiary guarantor to provide security interests in the collateral that secured the Company’s prior secured credit facility (the “Collateral Cure”). From and after the date of the Collateral Cure, the Financial Maintenance Covenant will no longer be in effect and availability under the U.S.Credit Facility will be limited and subject to collateral coverage utilizing a 75% advance rate on U.S. receivables and a 50% advance rate on U.S. inventory, subject to certain exceptions.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currently in compliance with the covenants under the U.S. Credit Facility.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Credit Facility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24, 2022, Moy Park Holdings (Europe) Ltd. (“MPH(E)”) and other Pilgrim’s entities located in the U.K. and Republic of Ireland entered into an unsecured multicurrency revolving facility agreement (the “Europe Credit Facility”) with the Governor and Company of the Bank of Ireland, as agent, and the other lenders party thereto. The Europe Credit Facility provides for a multicurrency revolving loan commitment of up to £150.0 million. The loan commitment matures on June 24, 2027. Outstanding borrowings bear interest at the current Sterling Overnight Index Average (“SONIA”) interest rate plus 1.25%. All obligations under this agreement are guaranteed by certain of the Company’s subsidiaries. As of December 28, 2025, both the U.S. dollar-equivalent loan commitment and borrowing availability were $202.5 million and there were no outstanding borrowings under this agreement.</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Europe Credit Facility contains representations and warranties, covenants, indemnities and conditions, in each case, that the Company believes are customary for transactions of this type. Pursuant to the terms of the agreement, the Company is required to meet certain financial and other restrictive covenants. Additionally, the Company is prohibited from taking certain actions without consent of the lenders, including, without limitation, incurring additional indebtedness, entering into certain mergers or other business combination transactions, permitting liens or other encumbrances on its assets and making restricted payments, including dividends, in each case, except as expressly permitted under the Europe Credit Facility. The Company is currently in compliance with the covenants under the Europe Credit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Mexico BBVA Credit Facility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18, 2025, certain of the Company’s Mexican subsidiaries extended an unsecured credit agreement (the “Mexico BBVA Credit Facility”) with BBVA México as lender. The loan commitment under the Mexico BBVA Credit Facility is Mex$1.3 billion and can be borrowed on a revolving basis. Outstanding borrowings under the Mexico BBVA Credit Facility accrue interest at a rate equal to The Interbank Equilibrium Interest (“TIIE”) rate plus 1.35%. The Mexico BBVA Credit Facility contains covenants and defaults that the Company believes are customary for transactions of this type. The Mexico BBVA Credit Facility will be used for general corporate and working capital purposes. The Mexico BBVA Credit Facility will mature on December 18, 2028. As of December 28, 2025, the U.S. dollar-equivalent of the loan commitment and borrowing availability was $71.2 million. As of December 28, 2025, there were no outstanding borrowings under the Mexico BBVA Credit Facility. The Company is currently in compliance with the covenants under the Mexico BBVA Credit Facility.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Mexico Bajio Credit Facility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30, 2025, certain of the Company’s Mexican subsidiaries entered into an unsecured credit agreement (the “Mexico Bajio Credit Facility”) with Banco del Bajio as lender. The loan commitment under the Mexico Bajio Credit Facility is Mex$1.5 billion and can be borrowed on a revolving basis. Outstanding borrowings under the Mexico Bajio Credit Facility accrue interest at a rate equal to TIIE rate plus 1.41%. The Mexico Bajio Credit Facility contains covenants and defaults that the Company believes are customary for transactions of this type. The Mexico Bajio Credit Facility will be used for general corporate and working capital purposes. The Mexico Bajio Credit Facility will mature on October 30, 2030. As of December 28, 2025, the U.S. dollar-equivalent of the loan commitment and borrowing availability was $83.8 million. As of December 28, 2025, there were no outstanding borrowings under the Mexico Bajio Credit Facility. The Company is currently in compliance with the covenants under the Mexico Bajio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Oak CHP Project PACE Loan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10, 2022, the Company entered into a property assessed clean energy (“PACE”) financing program, required by Section 15 of the Property Assessed Clean Energy Act to fund various energy projects, with the city of Live Oak, Florida. The loan bears interest at 5.15%, and is secured by a special assessment on the property. The repayment of the loan is assessed and amortized over a 30-year term, payable in equal annual installments including principal, interest, and assessment administrative fees at the same time and in the same installments as the general taxes on the property. As of December 28, 2025, there were $19.2 million of outstanding principal under the Live Oak CHP Project PACE Loan.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(“AOCL”)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information regarding the changes in AOCL during 2025 and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 Related to</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Losses Related to</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Pension and Other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Losses on Available-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Classified as Cash</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for-Sale Securities</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year</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(337,243)</w:t>
            </w: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(31,028)</w:t>
            </w:r>
          </w:p>
        </w:tc>
        <w:tc>
          <w:tcPr>
            <w:tcW w:w="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50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(370,300)</w:t>
            </w:r>
          </w:p>
        </w:tc>
        <w:tc>
          <w:tcPr>
            <w:tcW w:w="0" w:type="dxa"/>
            <w:vAlign w:val="bottom"/>
          </w:tcPr>
          <w:p>
            <w:pPr>
              <w:spacing w:after="0"/>
              <w:rPr>
                <w:sz w:val="1"/>
                <w:szCs w:val="1"/>
                <w:color w:val="auto"/>
              </w:rPr>
            </w:pPr>
          </w:p>
        </w:tc>
      </w:tr>
      <w:tr>
        <w:trPr>
          <w:trHeight w:val="213"/>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324,025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321,409</w:t>
            </w: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to net income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Currency translation</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current year other comprehensive income (loss)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324,025</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323,278</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Balance, end of year</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(13,218)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(1,475)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(32,312)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(47,022)</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4"/>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 Related to</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 Related to</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5"/>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Pension and Other</w:t>
            </w:r>
          </w:p>
        </w:tc>
        <w:tc>
          <w:tcPr>
            <w:tcW w:w="60" w:type="dxa"/>
            <w:vAlign w:val="bottom"/>
          </w:tcPr>
          <w:p>
            <w:pPr>
              <w:spacing w:after="0"/>
              <w:rPr>
                <w:sz w:val="11"/>
                <w:szCs w:val="11"/>
                <w:color w:val="auto"/>
              </w:rPr>
            </w:pPr>
          </w:p>
        </w:tc>
        <w:tc>
          <w:tcPr>
            <w:tcW w:w="1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Losses on Available-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Classified as Cash</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6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for-Sale Securities</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2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(114,850)</w:t>
            </w:r>
          </w:p>
        </w:tc>
        <w:tc>
          <w:tcPr>
            <w:tcW w:w="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(1,914)</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(59,714)</w:t>
            </w:r>
          </w:p>
        </w:tc>
        <w:tc>
          <w:tcPr>
            <w:tcW w:w="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(176,483)</w:t>
            </w:r>
          </w:p>
        </w:tc>
        <w:tc>
          <w:tcPr>
            <w:tcW w:w="0" w:type="dxa"/>
            <w:vAlign w:val="bottom"/>
          </w:tcPr>
          <w:p>
            <w:pPr>
              <w:spacing w:after="0"/>
              <w:rPr>
                <w:sz w:val="1"/>
                <w:szCs w:val="1"/>
                <w:color w:val="auto"/>
              </w:rPr>
            </w:pPr>
          </w:p>
        </w:tc>
      </w:tr>
      <w:tr>
        <w:trPr>
          <w:trHeight w:val="213"/>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(222,393)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(208,519)</w:t>
            </w: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(1,849)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to net income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Currency translation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(376)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2"/>
        </w:trPr>
        <w:tc>
          <w:tcPr>
            <w:tcW w:w="4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current year other comprehensive income (loss)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(222,393)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(193,817)</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24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(337,243)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528"/>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(2,007)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(31,028)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1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 Reclassified from Accumulated Other</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7"/>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Comprehensive Loss</w:t>
            </w:r>
            <w:r>
              <w:rPr>
                <w:rFonts w:ascii="Times New Roman" w:cs="Times New Roman" w:eastAsia="Times New Roman" w:hAnsi="Times New Roman"/>
                <w:sz w:val="18"/>
                <w:szCs w:val="18"/>
                <w:b w:val="1"/>
                <w:bCs w:val="1"/>
                <w:color w:val="auto"/>
                <w:vertAlign w:val="superscript"/>
              </w:rPr>
              <w:t>(a)</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91"/>
        </w:trPr>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Loss Components</w:t>
            </w:r>
          </w:p>
        </w:tc>
        <w:tc>
          <w:tcPr>
            <w:tcW w:w="1840" w:type="dxa"/>
            <w:vAlign w:val="bottom"/>
            <w:gridSpan w:val="7"/>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6"/>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Statements of Income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4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Realized gain (loss) on settlement of foreign currency derivatives</w:t>
            </w:r>
          </w:p>
        </w:tc>
        <w:tc>
          <w:tcPr>
            <w:tcW w:w="1040" w:type="dxa"/>
            <w:vAlign w:val="bottom"/>
            <w:gridSpan w:val="3"/>
            <w:vMerge w:val="restart"/>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shd w:val="clear" w:color="auto" w:fill="CCEEFF"/>
          </w:tcPr>
          <w:p>
            <w:pPr>
              <w:spacing w:after="0"/>
              <w:rPr>
                <w:sz w:val="14"/>
                <w:szCs w:val="14"/>
                <w:color w:val="auto"/>
              </w:rPr>
            </w:pPr>
          </w:p>
        </w:tc>
        <w:tc>
          <w:tcPr>
            <w:tcW w:w="130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classified as cash flow hedges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5"/>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52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color w:val="auto"/>
              </w:rPr>
              <w:t>Realized gain on settlement of foreign currency derivatives classified</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4"/>
                <w:szCs w:val="14"/>
                <w:color w:val="auto"/>
              </w:rPr>
            </w:pPr>
          </w:p>
        </w:tc>
        <w:tc>
          <w:tcPr>
            <w:tcW w:w="13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 cash flow hedge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vMerge w:val="continue"/>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 (loss) on sale of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4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Realized gain (loss) on settlement of pension obligation from plan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(21,714)</w:t>
            </w:r>
          </w:p>
        </w:tc>
        <w:tc>
          <w:tcPr>
            <w:tcW w:w="100" w:type="dxa"/>
            <w:vAlign w:val="bottom"/>
          </w:tcPr>
          <w:p>
            <w:pPr>
              <w:spacing w:after="0"/>
              <w:rPr>
                <w:sz w:val="14"/>
                <w:szCs w:val="14"/>
                <w:color w:val="auto"/>
              </w:rPr>
            </w:pPr>
          </w:p>
        </w:tc>
        <w:tc>
          <w:tcPr>
            <w:tcW w:w="13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Miscellaneous, net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termination</w:t>
            </w:r>
            <w:r>
              <w:rPr>
                <w:rFonts w:ascii="Times New Roman" w:cs="Times New Roman" w:eastAsia="Times New Roman" w:hAnsi="Times New Roman"/>
                <w:sz w:val="21"/>
                <w:szCs w:val="21"/>
                <w:color w:val="auto"/>
                <w:vertAlign w:val="superscript"/>
              </w:rPr>
              <w:t>(b)</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vMerge w:val="continue"/>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pension and other postretirement plan actuarial</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14"/>
                <w:szCs w:val="14"/>
                <w:color w:val="auto"/>
              </w:rPr>
            </w:pPr>
          </w:p>
        </w:tc>
        <w:tc>
          <w:tcPr>
            <w:tcW w:w="130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 net</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losses</w:t>
            </w:r>
            <w:r>
              <w:rPr>
                <w:rFonts w:ascii="Times New Roman" w:cs="Times New Roman" w:eastAsia="Times New Roman" w:hAnsi="Times New Roman"/>
                <w:sz w:val="21"/>
                <w:szCs w:val="21"/>
                <w:color w:val="auto"/>
                <w:vertAlign w:val="superscript"/>
              </w:rPr>
              <w:t>(b)</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5"/>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before tax</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(expense)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reclassification for the period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Positive amounts represent income to the results of operations while amounts in parentheses represent expenses to the results of operations.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37"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accumulated other comprehensive loss components are included in the computation of net periodic pension cost. See “Note 15. Pension and Other Postretirement Benefits.”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50,000,000 shares of $0.01 par value preferred stock, although no shares have been issued and no shares are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Dividends</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U.S. Credit Facility and the indentures governing the Company’s senior notes have currently no restrictions on dividends. Under certain triggering events, the U.S. Credit Facility may limit the Company’s ability to declare and pay dividends. Additionally, the Europe Credit Facility, under certain triggering events, may restrict MPH(E) and other Pilgrim’s entities located in the U.K. and Republic of Ireland to, among other things, make payments and distributions to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Cash Dividends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13, 2025, the Company declared a special dividend of $6.30 per share, to stockholders of record as of April 3, 2025. On April 17, 2025, the Company paid that special dividend from retained earnings of approximately $1.5 billion. The Company used cash on hand to fund the special cash dividend.</w:t>
      </w:r>
    </w:p>
    <w:p>
      <w:pPr>
        <w:spacing w:after="0" w:line="1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30, 2025, the Company declared a special dividend of $2.10 per share, to stockholders of record as of August 20, 2025. On September 3, 2025, the Company paid that special dividend from retained earnings of approximately $500.0 million. The Company used cash on hand to fund the special cash dividend.</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PENSION AND OTHER POSTRETIREMENT BENEFITS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sponsors programs that provide retirement benefits to most of its employees. These programs include qualified defined benefit pension plans such as the Pilgrim’s Pride Retirement Plan for Union Employees (the “Union Plan”) the Pilgrim’s Pride Pension Plan for Legacy Gold Kist Employees (the “GK Pension Plan”), the Tulip Limited Pension Plan and the Geo Adams Group Pension Fund, nonqualified defined benefit retirement plans, a defined benefit postretirement life insurance plan and defined contribution retirement savings plan. Expenses recognized under all retirement plans totaled $33.0 million, $56.9 million and $32.0 million in 2025, 2024 and 2023, respectively. The expenses recognized in 2024 include $21.7 million of loss recognized on the settlement of the terminated GK and Union pension plans, defined below.</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used a year-end measurement date of December 28, 2025 for its pension and postretirement benefits plans. Certain disclosures are listed below. Other disclosures are not material to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Defined Benefit Pension Plans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sponsored four qualified defined benefit pension plans named the Pilgrim’s Pride Retirement Plan for Union Employees (the “Union Plan”), the Pilgrim’s Pride Pension Plan for Legacy Gold Kist Employees (the “GK Pension Plan”), the Tulip Limited Pension Plan (the “Tulip Plan”) and the Geo Adams Group Pension Fund (the “Geo Adams Plan” and, together with the Tulip Plan, the “Europe Plans”). The Union Plan covers certain locations or work groups within PPC. The GK Pension Plan covers certain eligible U.S. employees who were employed at locations that the Company purchased through its acquisition of Gold Kist in 2007. Participation in the GK Pension Plan was frozen as of February 8, 2007 for all participants with the exception of terminated vested participants who are or may become permanently and totally disabled. The plan was frozen for that group as of March 31, 2007. The Europe Plans cover certain eligible active and former Europe employees who were employed at locations that the Company purchased through its acquisition of Tulip in 2019. Participation in the Tulip Plan was frozen as of October 31, 2007 and participation in the Geo Adams Plan was frozen as of September 5, 2008.</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2024, the Company executed a termination of its Union and GK Pension Plans. Under the plan terminations, participants were offered a lump-sum buyout or an annuity placement buyout. As a result, the Company settled $99.6 million of outstanding benefit obligations and recognized a $21.7 million loss on settlement during the year ended December 29, 2024. The loss was recognized in </w:t>
      </w:r>
      <w:r>
        <w:rPr>
          <w:rFonts w:ascii="Times New Roman" w:cs="Times New Roman" w:eastAsia="Times New Roman" w:hAnsi="Times New Roman"/>
          <w:sz w:val="18"/>
          <w:szCs w:val="18"/>
          <w:i w:val="1"/>
          <w:iCs w:val="1"/>
          <w:color w:val="auto"/>
        </w:rPr>
        <w:t>Miscellaneous, net</w:t>
      </w:r>
      <w:r>
        <w:rPr>
          <w:rFonts w:ascii="Times New Roman" w:cs="Times New Roman" w:eastAsia="Times New Roman" w:hAnsi="Times New Roman"/>
          <w:sz w:val="18"/>
          <w:szCs w:val="18"/>
          <w:color w:val="auto"/>
        </w:rPr>
        <w:t xml:space="preserve"> on the Consolidated Statement of Income. Assets of the pension plans were liquidated and funds from liquidation were used to settle the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Defined Benefit Pension Plans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two nonqualified defined benefit retirement plans named the Former Gold Kist Inc. Supplemental Executive Retirement Plan (the “SERP Plan”) and the Former Gold Kist Inc. Directors’ Emeriti Retirement Plan (the “Directors’ Emeriti Plan”). Pilgrim’s Pride assumed sponsorship of the SERP Plan and Directors’ Emeriti Plan through its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of Gold Kist in 2007. The SERP Plan provides benefits on compensation in excess of certain U.S. Internal Revenue Code limitations to certain former executives with whom Gold Kist negotiated individual agreements. Benefits under the SERP Plan were frozen as of February 8, 2007. The Directors’ Emeriti Plan provides benefits to former Gold Kist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Postretirement Life Insurance Plan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sponsors one defined benefit postretirement life insurance plan named the Gold Kist Inc. Retiree Life Insurance Plan (the “Retiree Life Plan” and together with the Union Plan, the GK Pension Plan, the SERP Plan and the Directors’ Emeriti Plan, the “U.S. Plans”). Pilgrim’s Pride assumed defined benefit postretirement medical and life insurance obligations, including the Retiree Life Plan, through its acquisition of Gold Kist in 2007. In January 2001, Gold Kist began to substantially curtail its programs for active employees. On July 1, 2003, Gold Kist terminated medical coverage for retirees age 65 or older, and only retired employees in the closed group between ages 55 and 65 could continue their coverage at rates above the average cost of the medical insurance plan for active employees. These retired employees all reached the age of 65 in 2012 and liabilities of the postretirement medical plan then 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 Obligations and Assets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 in benefit obligation, change in fair value of plan assets, funded status and amounts recognized in the Consolidated Balance Sheets for these plans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Change in projected benefit obligation</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Projected benefit obligation, beginning of year</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Interest cost</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Actuarial (gains) losses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Benefits paid</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Curtailments and settlements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Currency translation (gain) loss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Projected benefit obligation, end of year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Fair value of plan assets, beginning of year</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Actual return on plan assets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Contributions by employer</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Benefits paid</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Curtailments and settlements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Expenses paid from assets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Currency translation gain (loss)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Fair value of plan assets,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Funded status</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Overfunded (unfunded) benefit obligation, end of year</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6"/>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237,508</w:t>
            </w:r>
          </w:p>
        </w:tc>
        <w:tc>
          <w:tcPr>
            <w:tcW w:w="20" w:type="dxa"/>
            <w:vAlign w:val="bottom"/>
          </w:tcPr>
          <w:p>
            <w:pPr>
              <w:spacing w:after="0"/>
              <w:rPr>
                <w:sz w:val="19"/>
                <w:szCs w:val="19"/>
                <w:color w:val="auto"/>
              </w:rPr>
            </w:pPr>
          </w:p>
        </w:tc>
        <w:tc>
          <w:tcPr>
            <w:tcW w:w="52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119,145</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113,730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20" w:type="dxa"/>
            <w:vAlign w:val="bottom"/>
            <w:tcBorders>
              <w:top w:val="single" w:sz="8" w:color="auto"/>
              <w:bottom w:val="single" w:sz="8" w:color="auto"/>
            </w:tcBorders>
          </w:tcPr>
          <w:p>
            <w:pPr>
              <w:spacing w:after="0"/>
              <w:rPr>
                <w:sz w:val="18"/>
                <w:szCs w:val="18"/>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7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6"/>
        </w:trPr>
        <w:tc>
          <w:tcPr>
            <w:tcW w:w="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225,451</w:t>
            </w:r>
          </w:p>
        </w:tc>
        <w:tc>
          <w:tcPr>
            <w:tcW w:w="20" w:type="dxa"/>
            <w:vAlign w:val="bottom"/>
          </w:tcPr>
          <w:p>
            <w:pPr>
              <w:spacing w:after="0"/>
              <w:rPr>
                <w:sz w:val="19"/>
                <w:szCs w:val="19"/>
                <w:color w:val="auto"/>
              </w:rPr>
            </w:pPr>
          </w:p>
        </w:tc>
        <w:tc>
          <w:tcPr>
            <w:tcW w:w="52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131,037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6"/>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20" w:type="dxa"/>
            <w:vAlign w:val="bottom"/>
          </w:tcPr>
          <w:p>
            <w:pPr>
              <w:spacing w:after="0"/>
              <w:rPr>
                <w:sz w:val="19"/>
                <w:szCs w:val="19"/>
                <w:color w:val="auto"/>
              </w:rPr>
            </w:pPr>
          </w:p>
        </w:tc>
        <w:tc>
          <w:tcPr>
            <w:tcW w:w="5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-3475990</wp:posOffset>
            </wp:positionV>
            <wp:extent cx="710628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-3201670</wp:posOffset>
            </wp:positionV>
            <wp:extent cx="710628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-2927350</wp:posOffset>
            </wp:positionV>
            <wp:extent cx="710628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-2653030</wp:posOffset>
            </wp:positionV>
            <wp:extent cx="710628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-1941195</wp:posOffset>
            </wp:positionV>
            <wp:extent cx="710628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-1666875</wp:posOffset>
            </wp:positionV>
            <wp:extent cx="710628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-1392555</wp:posOffset>
            </wp:positionV>
            <wp:extent cx="7106285"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-1118235</wp:posOffset>
            </wp:positionV>
            <wp:extent cx="710628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-132715</wp:posOffset>
            </wp:positionV>
            <wp:extent cx="710628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860" w:type="dxa"/>
            <w:vAlign w:val="bottom"/>
          </w:tcPr>
          <w:p>
            <w:pPr>
              <w:spacing w:after="0"/>
              <w:rPr>
                <w:sz w:val="16"/>
                <w:szCs w:val="16"/>
                <w:color w:val="auto"/>
              </w:rPr>
            </w:pPr>
          </w:p>
        </w:tc>
      </w:tr>
      <w:tr>
        <w:trPr>
          <w:trHeight w:val="23"/>
        </w:trPr>
        <w:tc>
          <w:tcPr>
            <w:tcW w:w="5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56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recognized in the Consolidated Balance Sheets as of end of year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3"/>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assets</w:t>
            </w: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4"/>
        </w:trPr>
        <w:tc>
          <w:tcPr>
            <w:tcW w:w="56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13"/>
        </w:trPr>
        <w:tc>
          <w:tcPr>
            <w:tcW w:w="5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18"/>
                <w:szCs w:val="18"/>
                <w:color w:val="auto"/>
              </w:rPr>
            </w:pP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6"/>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liabilities</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12"/>
        </w:trPr>
        <w:tc>
          <w:tcPr>
            <w:tcW w:w="5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0"/>
        </w:trPr>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48"/>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860" w:type="dxa"/>
            <w:vAlign w:val="bottom"/>
          </w:tcPr>
          <w:p>
            <w:pPr>
              <w:spacing w:after="0"/>
              <w:rPr>
                <w:sz w:val="24"/>
                <w:szCs w:val="24"/>
                <w:color w:val="auto"/>
              </w:rPr>
            </w:pPr>
          </w:p>
        </w:tc>
      </w:tr>
      <w:tr>
        <w:trPr>
          <w:trHeight w:val="23"/>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recognized in accumulated other comprehensive loss at end of year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actuarial loss (gain)</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bl>
    <w:p>
      <w:pPr>
        <w:spacing w:after="0" w:line="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for the Company’s defined benefit pension plans was $119.1 million and $113.7 million as of December 28, 2025 and December 29, 2024, respectively. As of December 28, 2025, the weighted average duration of our defined benefit obligation is 16.9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benefit costs include the following components: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3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3"/>
          </w:tcPr>
          <w:p>
            <w:pPr>
              <w:jc w:val="right"/>
              <w:ind w:right="442"/>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11,322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return on plan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loss (gain)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paid from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loss (gain)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past service cost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cost (income)</w:t>
            </w: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Assumptions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assumptions used in determining pension and other postretirement plan information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1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37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Benefit obligation</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Discount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5.06 %</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pension and other postretirement cost</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Discount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discount rate represents the interest rate used to determine the present value of future cash flows currently expected to be required to settle the Company’s pension and other benefit obligations. The discount rate assumptions used to determine future pension obligations at December 28, 2025 and December 29, 2024 were based on the Empower Above Mean Curve, which was designed by Empower to provide a means for plan sponsors to value the liabilities of their postretirement benefit plans. The Empower Above Mean Curve represents a series of annual discount rates from bonds with an AA minimum average credit quality rating as rated by Moody’s Investor Service, Standard &amp; Poor’s and Fitch Ratings. The expected benefit payments were discounted by each corresponding discount rate on the yield curve. For payments beyond 30 years, the Company extended the curve assuming the discount rate derived in year 30 is extended to the end of the plan’s payment expectations. Once the present value of the string of benefit payments was established, the Company determined the single rate on the yield curve, that when applied to all obligations of the plan, would exactly match the previously determined present value. The discount rate assumptions used to determine future pension obligations for the Europe pension plans at December 28, 2025 and December 29, 2024 were based on corporate bond spot yield curves provided by Merrill Lynch. Merrill Lynch bases this calculation entirely on AA1-AA3 rated bonds. As part of the evaluation of pension and other postretirement assumptions, the Company applied assumptions for mortality that incorporate generational white and blue collar mortality trends. In determining its benefit obligations, the Company used generational tables that take into consideration increases in plan participant longevity. As of December 28, 2025 and December 29, 2024, the U.S. pension and other postretirement benefit plans used variations of the Pri-2012 mortality table. The MP-2021 mortality improvement scale was used for 2025 and 2024. As of December 28, 2025 and December 29, 2024, the Europe pension plans used variations of the AxC00 mortality table in combination with the CMI_2024 Sk=7.0 and CMI_2023 Sk=7.0 mortality improvement scales for 2025 and 2024, respectively, for pre-retirement employees and the S3PMA and S3PFA_M mortality tables in combination with the CMI_2024 Sk=7.0 and CMI_2023 Sk=7.0 mortality improvement scales for 2025 and 2024, respectively, for postretirement employees.</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sensitivity of the projected benefit obligation for pension benefits to changes in the discount rate is set out below. The impact of a change in the discount rate of 0.25% on the projected benefit obligation for other benefits is immaterial. This sensitivity analysis is based on changing one assumption while holding all other assumptions constant. In practice, this is unlikely to occur, and changes in some of the assumptions may be correlated. When calculating the sensitivity of the defined benefit obligation to variations in significant actuarial assumptions, the same method (present value of the defined benefit obligation calculated with the projected unit credit method at the end of the reporting period) has been applied as that for calculating the liability recognized in the Consolidated Balance Sheets.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Increase in Discount Rate of 0.25%</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 in Discount Rate of 0.25%</w:t>
            </w:r>
          </w:p>
        </w:tc>
      </w:tr>
      <w:tr>
        <w:trPr>
          <w:trHeight w:val="23"/>
        </w:trPr>
        <w:tc>
          <w:tcPr>
            <w:tcW w:w="6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4"/>
        </w:trPr>
        <w:tc>
          <w:tcPr>
            <w:tcW w:w="6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40" w:type="dxa"/>
            <w:vAlign w:val="bottom"/>
            <w:gridSpan w:val="2"/>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80" w:type="dxa"/>
            <w:vAlign w:val="bottom"/>
          </w:tcPr>
          <w:p>
            <w:pPr>
              <w:spacing w:after="0"/>
              <w:rPr>
                <w:sz w:val="14"/>
                <w:szCs w:val="14"/>
                <w:color w:val="auto"/>
              </w:rPr>
            </w:pPr>
          </w:p>
        </w:tc>
      </w:tr>
      <w:tr>
        <w:trPr>
          <w:trHeight w:val="221"/>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on projected benefit obligation for pension benefits</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16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w:t>
            </w:r>
          </w:p>
        </w:tc>
      </w:tr>
    </w:tbl>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expected rate of return on plan assets was primarily based on the determination of an expected return and behaviors for each plan’s current asset portfolio that the Company believes are likely to prevail over long periods. This determination was made using assumptions for return and volatility of the portfolio. Asset class assumptions were set using a combination of empirical and forward-looking analysis. To the extent historical results were affected by unsustainable trends or events, the effects of those trends or events were quantified and removed. The Company also considered anticipated asset allocations, investment strategies and the views of various investment professionals when developing this 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pension plans’ actual asset allocations: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gridSpan w:val="2"/>
          </w:tcPr>
          <w:p>
            <w:pPr>
              <w:ind w:left="88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6"/>
        </w:trPr>
        <w:tc>
          <w:tcPr>
            <w:tcW w:w="91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Pooled separate accounts and common collective trust funds for the GK Pension Plan</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securities</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6"/>
        </w:trPr>
        <w:tc>
          <w:tcPr>
            <w:tcW w:w="91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Pooled separate accounts for the U.K. Plans</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3"/>
        </w:trPr>
        <w:tc>
          <w:tcPr>
            <w:tcW w:w="9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9"/>
        </w:trPr>
        <w:tc>
          <w:tcPr>
            <w:tcW w:w="9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Liability driven investments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Real estate</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32"/>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660" w:hanging="652"/>
        <w:spacing w:after="0" w:line="266" w:lineRule="auto"/>
        <w:tabs>
          <w:tab w:leader="none" w:pos="6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Pooled separate accounts (“PSAs”) and common collective trust funds (“CCTs”) are two of the most common types of alternative vehicles in which benefit plans invest. These investments are pooled funds that look like mutual funds, but they are not registered with the SEC. Often times, they will be invested in mutual funds or other marketable securities, but the unit price generally will be different from the value of the underlying securities because the fund may also hold cash for liquidity purposes, and the fees imposed by the fund are deducted from the fund value rather than charged separately to investors. Some PSAs and CCTs have no restrictions as to their investment strategy and can invest in riskier investments, such as derivatives, hedge funds, private equity funds, or similar investments.</w:t>
      </w:r>
    </w:p>
    <w:p>
      <w:pPr>
        <w:spacing w:after="0" w:line="7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Absent regulatory or statutory limitations, the target asset allocation for the investment of pension assets in the PSAs for the Europe Plans is 12% overseas equity, 16% diversified alternatives, 10% real estate, 48% equity-linked liability driven investments, 9% other liability driven investments and 5% cash for the Tulip Pension Plan; and 78% equity-linked liability driven investments, 17% corporate bonds and 5% cash for the Geo Adams Group Pension Fund. The plans only invest in fixed income and equity instruments for which there is a readily available public market</w:t>
      </w:r>
      <w:r>
        <w:rPr>
          <w:rFonts w:ascii="Times New Roman" w:cs="Times New Roman" w:eastAsia="Times New Roman" w:hAnsi="Times New Roman"/>
          <w:sz w:val="18"/>
          <w:szCs w:val="18"/>
          <w:b w:val="1"/>
          <w:bCs w:val="1"/>
          <w:color w:val="EE2724"/>
        </w:rPr>
        <w:t>.</w:t>
      </w:r>
      <w:r>
        <w:rPr>
          <w:rFonts w:ascii="Times New Roman" w:cs="Times New Roman" w:eastAsia="Times New Roman" w:hAnsi="Times New Roman"/>
          <w:sz w:val="18"/>
          <w:szCs w:val="18"/>
          <w:color w:val="auto"/>
        </w:rPr>
        <w:t xml:space="preserve"> The Company develops its expected long-term rate of return assumptions based on the historical rates of returns for equity and fixed income securities of the type in which its plans invest.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measurements of plan assets fell into the following levels of the fair value hierarchy as of December 28, 2025 and December 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34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Level 1</w:t>
            </w:r>
            <w:r>
              <w:rPr>
                <w:rFonts w:ascii="Times New Roman" w:cs="Times New Roman" w:eastAsia="Times New Roman" w:hAnsi="Times New Roman"/>
                <w:sz w:val="18"/>
                <w:szCs w:val="18"/>
                <w:b w:val="1"/>
                <w:bCs w:val="1"/>
                <w:color w:val="auto"/>
                <w:vertAlign w:val="superscript"/>
              </w:rPr>
              <w:t>(a)</w:t>
            </w: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Level 2</w:t>
            </w:r>
            <w:r>
              <w:rPr>
                <w:rFonts w:ascii="Times New Roman" w:cs="Times New Roman" w:eastAsia="Times New Roman" w:hAnsi="Times New Roman"/>
                <w:sz w:val="18"/>
                <w:szCs w:val="18"/>
                <w:b w:val="1"/>
                <w:bCs w:val="1"/>
                <w:color w:val="auto"/>
                <w:vertAlign w:val="superscript"/>
              </w:rPr>
              <w:t>(b)</w:t>
            </w: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Level 3</w:t>
            </w:r>
            <w:r>
              <w:rPr>
                <w:rFonts w:ascii="Times New Roman" w:cs="Times New Roman" w:eastAsia="Times New Roman" w:hAnsi="Times New Roman"/>
                <w:sz w:val="18"/>
                <w:szCs w:val="18"/>
                <w:b w:val="1"/>
                <w:bCs w:val="1"/>
                <w:color w:val="auto"/>
                <w:vertAlign w:val="superscript"/>
              </w:rPr>
              <w:t>(c)</w:t>
            </w: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Level 1</w:t>
            </w:r>
            <w:r>
              <w:rPr>
                <w:rFonts w:ascii="Times New Roman" w:cs="Times New Roman" w:eastAsia="Times New Roman" w:hAnsi="Times New Roman"/>
                <w:sz w:val="18"/>
                <w:szCs w:val="18"/>
                <w:b w:val="1"/>
                <w:bCs w:val="1"/>
                <w:color w:val="auto"/>
                <w:vertAlign w:val="superscript"/>
              </w:rPr>
              <w:t>(a)</w:t>
            </w: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Level 2</w:t>
            </w:r>
            <w:r>
              <w:rPr>
                <w:rFonts w:ascii="Times New Roman" w:cs="Times New Roman" w:eastAsia="Times New Roman" w:hAnsi="Times New Roman"/>
                <w:sz w:val="18"/>
                <w:szCs w:val="18"/>
                <w:b w:val="1"/>
                <w:bCs w:val="1"/>
                <w:color w:val="auto"/>
                <w:vertAlign w:val="superscript"/>
              </w:rPr>
              <w:t>(b)</w:t>
            </w: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Level 3</w:t>
            </w:r>
            <w:r>
              <w:rPr>
                <w:rFonts w:ascii="Times New Roman" w:cs="Times New Roman" w:eastAsia="Times New Roman" w:hAnsi="Times New Roman"/>
                <w:sz w:val="18"/>
                <w:szCs w:val="18"/>
                <w:b w:val="1"/>
                <w:bCs w:val="1"/>
                <w:color w:val="auto"/>
                <w:vertAlign w:val="superscript"/>
              </w:rPr>
              <w:t>(c)</w:t>
            </w: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5"/>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26,479</w:t>
            </w: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PSAs for the Union Plan:</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34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Fixed income funds</w:t>
            </w:r>
            <w:r>
              <w:rPr>
                <w:rFonts w:ascii="Times New Roman" w:cs="Times New Roman" w:eastAsia="Times New Roman" w:hAnsi="Times New Roman"/>
                <w:sz w:val="21"/>
                <w:szCs w:val="21"/>
                <w:color w:val="auto"/>
                <w:vertAlign w:val="superscript"/>
              </w:rPr>
              <w:t>(f)</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PSAs and CCTs for the GK Pension Plan:</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34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Fixed income funds</w:t>
            </w:r>
            <w:r>
              <w:rPr>
                <w:rFonts w:ascii="Times New Roman" w:cs="Times New Roman" w:eastAsia="Times New Roman" w:hAnsi="Times New Roman"/>
                <w:sz w:val="21"/>
                <w:szCs w:val="21"/>
                <w:color w:val="auto"/>
                <w:vertAlign w:val="superscript"/>
              </w:rPr>
              <w:t>(f)</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PSAs for the Europe Plans: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34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Large U.S. equity funds</w:t>
            </w:r>
            <w:r>
              <w:rPr>
                <w:rFonts w:ascii="Times New Roman" w:cs="Times New Roman" w:eastAsia="Times New Roman" w:hAnsi="Times New Roman"/>
                <w:sz w:val="21"/>
                <w:szCs w:val="21"/>
                <w:color w:val="auto"/>
                <w:vertAlign w:val="superscript"/>
              </w:rPr>
              <w:t>(d)</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11,761</w:t>
            </w:r>
          </w:p>
        </w:tc>
      </w:tr>
      <w:tr>
        <w:trPr>
          <w:trHeight w:val="216"/>
        </w:trPr>
        <w:tc>
          <w:tcPr>
            <w:tcW w:w="34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International equity funds</w:t>
            </w:r>
            <w:r>
              <w:rPr>
                <w:rFonts w:ascii="Times New Roman" w:cs="Times New Roman" w:eastAsia="Times New Roman" w:hAnsi="Times New Roman"/>
                <w:sz w:val="21"/>
                <w:szCs w:val="21"/>
                <w:color w:val="auto"/>
                <w:vertAlign w:val="superscript"/>
              </w:rPr>
              <w:t>(e)</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25,575</w:t>
            </w:r>
          </w:p>
        </w:tc>
      </w:tr>
      <w:tr>
        <w:trPr>
          <w:trHeight w:val="216"/>
        </w:trPr>
        <w:tc>
          <w:tcPr>
            <w:tcW w:w="34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Fixed income funds</w:t>
            </w:r>
            <w:r>
              <w:rPr>
                <w:rFonts w:ascii="Times New Roman" w:cs="Times New Roman" w:eastAsia="Times New Roman" w:hAnsi="Times New Roman"/>
                <w:sz w:val="21"/>
                <w:szCs w:val="21"/>
                <w:color w:val="auto"/>
                <w:vertAlign w:val="superscript"/>
              </w:rPr>
              <w:t>(f)</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29,715</w:t>
            </w:r>
          </w:p>
        </w:tc>
      </w:tr>
      <w:tr>
        <w:trPr>
          <w:trHeight w:val="216"/>
        </w:trPr>
        <w:tc>
          <w:tcPr>
            <w:tcW w:w="34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Real estate</w:t>
            </w:r>
            <w:r>
              <w:rPr>
                <w:rFonts w:ascii="Times New Roman" w:cs="Times New Roman" w:eastAsia="Times New Roman" w:hAnsi="Times New Roman"/>
                <w:sz w:val="21"/>
                <w:szCs w:val="21"/>
                <w:color w:val="auto"/>
                <w:vertAlign w:val="superscript"/>
              </w:rPr>
              <w:t>(g)</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w:t>
            </w:r>
          </w:p>
        </w:tc>
      </w:tr>
      <w:tr>
        <w:trPr>
          <w:trHeight w:val="216"/>
        </w:trPr>
        <w:tc>
          <w:tcPr>
            <w:tcW w:w="34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Liability driven investments</w:t>
            </w:r>
            <w:r>
              <w:rPr>
                <w:rFonts w:ascii="Times New Roman" w:cs="Times New Roman" w:eastAsia="Times New Roman" w:hAnsi="Times New Roman"/>
                <w:sz w:val="21"/>
                <w:szCs w:val="21"/>
                <w:color w:val="auto"/>
                <w:vertAlign w:val="superscript"/>
              </w:rPr>
              <w:t>(h)</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11,732</w:t>
            </w:r>
          </w:p>
        </w:tc>
      </w:tr>
      <w:tr>
        <w:trPr>
          <w:trHeight w:val="207"/>
        </w:trPr>
        <w:tc>
          <w:tcPr>
            <w:tcW w:w="3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121,589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131,037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97,447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123,926</w:t>
            </w:r>
          </w:p>
        </w:tc>
      </w:tr>
      <w:tr>
        <w:trPr>
          <w:trHeight w:val="23"/>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Unadjusted quoted prices in active markets for identical assets are used to determine fair value.</w:t>
      </w:r>
    </w:p>
    <w:p>
      <w:pPr>
        <w:spacing w:after="0" w:line="2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in active markets for similar assets and inputs that are observable for the asset are used to determine fair value.</w:t>
      </w:r>
    </w:p>
    <w:p>
      <w:pPr>
        <w:spacing w:after="0" w:line="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such as discounted cash flow models or valuations, are used to determine fair value.</w:t>
      </w:r>
    </w:p>
    <w:p>
      <w:pPr>
        <w:spacing w:after="0" w:line="11" w:lineRule="exact"/>
        <w:rPr>
          <w:rFonts w:ascii="Times New Roman" w:cs="Times New Roman" w:eastAsia="Times New Roman" w:hAnsi="Times New Roman"/>
          <w:sz w:val="14"/>
          <w:szCs w:val="14"/>
          <w:color w:val="auto"/>
        </w:rPr>
      </w:pPr>
    </w:p>
    <w:p>
      <w:pPr>
        <w:ind w:left="660" w:right="20" w:hanging="652"/>
        <w:spacing w:after="0" w:line="261" w:lineRule="auto"/>
        <w:tabs>
          <w:tab w:leader="none" w:pos="65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comprised of investment options that invest in stocks, or shares of ownership, in large, well-established U.S. companies. These investment options typically carry more risk than fixed income options but have the potential for higher returns over longer time periods.</w:t>
      </w:r>
    </w:p>
    <w:p>
      <w:pPr>
        <w:ind w:left="660" w:hanging="652"/>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comprised of investment options that invest in stocks, or shares of ownership, in companies with their principal place of business or office outside of the U.S.</w:t>
      </w:r>
    </w:p>
    <w:p>
      <w:pPr>
        <w:spacing w:after="0" w:line="14" w:lineRule="exact"/>
        <w:rPr>
          <w:rFonts w:ascii="Times New Roman" w:cs="Times New Roman" w:eastAsia="Times New Roman" w:hAnsi="Times New Roman"/>
          <w:sz w:val="14"/>
          <w:szCs w:val="14"/>
          <w:color w:val="auto"/>
        </w:rPr>
      </w:pPr>
    </w:p>
    <w:p>
      <w:pPr>
        <w:ind w:left="660" w:right="20" w:hanging="652"/>
        <w:spacing w:after="0" w:line="251" w:lineRule="auto"/>
        <w:tabs>
          <w:tab w:leader="none" w:pos="65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comprised of investment options that invest in bonds, or debt of a company or government entity (including U.S. and non-U.S. entities). These investment options typically carry more risk than short-term fixed income investment options, but less overall risk than equities.</w:t>
      </w:r>
    </w:p>
    <w:p>
      <w:pPr>
        <w:ind w:left="660" w:right="20" w:hanging="652"/>
        <w:spacing w:after="0" w:line="261" w:lineRule="auto"/>
        <w:tabs>
          <w:tab w:leader="none" w:pos="65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comprised of investment options that invest in real estate investment trusts or private equity pools that own real estate. These long-term investments are primarily in office buildings, industrial parks, apartments or retail complexes. These investment options typically carry more risk, including liquidity risk, than fixed income investment options.</w:t>
      </w:r>
    </w:p>
    <w:p>
      <w:pPr>
        <w:ind w:left="660" w:hanging="652"/>
        <w:spacing w:after="0" w:line="283" w:lineRule="auto"/>
        <w:tabs>
          <w:tab w:leader="none" w:pos="65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comprised of investments that seek to ensure availability of funds to cover current and future liabilities. These investments are typically focused on both the assets and liabilities of the plan.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benefits as of December 28, 2025 expected to be paid through 2035 from the Company’s pension and other postretirement plans. The Company’s pension plans are primarily funded plans. Therefore, anticipated benefits with respect to these plans will come primarily from the trusts established for these plans. The Company’s other postretirement plans are unfunded. Therefore, anticipated benefits with respect to these plans will come from the Company’s own assets.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80" w:type="dxa"/>
            <w:vAlign w:val="bottom"/>
          </w:tcPr>
          <w:p>
            <w:pPr>
              <w:spacing w:after="0"/>
              <w:rPr>
                <w:sz w:val="13"/>
                <w:szCs w:val="13"/>
                <w:color w:val="auto"/>
              </w:rPr>
            </w:pPr>
          </w:p>
        </w:tc>
        <w:tc>
          <w:tcPr>
            <w:tcW w:w="9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81"/>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2031-2035</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43,412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34"/>
        </w:trPr>
        <w:tc>
          <w:tcPr>
            <w:tcW w:w="8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85,032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required by funding regulations or laws, the Company anticipates contributing $0.2 million and less than $0.2 million to its pension and other postretirement plans, respectively, during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Benefit Amounts in Accumulated Other Comprehensive Loss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amounts in accumulated other comprehensive loss that were not recognized as components of net periodic benefits cost and the changes in those amounts are as follows: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actuarial loss, beginning of year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4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loss (gain) on settlement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4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Actuarial loss (gain)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left="440"/>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loss (gain)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4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Currency translation loss (gain)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4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actuarial loss (gain), end of year</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Through its defined benefit plans, the Company is exposed to a number of risks, the most significant of which are detailed below:</w:t>
      </w:r>
    </w:p>
    <w:p>
      <w:pPr>
        <w:spacing w:after="0" w:line="16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 volatility. </w:t>
      </w:r>
      <w:r>
        <w:rPr>
          <w:rFonts w:ascii="Times New Roman" w:cs="Times New Roman" w:eastAsia="Times New Roman" w:hAnsi="Times New Roman"/>
          <w:sz w:val="18"/>
          <w:szCs w:val="18"/>
          <w:color w:val="auto"/>
        </w:rPr>
        <w:t>The plan liabilities are calculated using a discount rate set with reference to corporate bond yields; if plan assets under perform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this will create a deficit. The pension plans hold a significant proportion of equities, which are expected to outperform corporate bonds in the long-term while contributing volatility and risk in the short-term. The Company monitors the level of investment risk but has no current plan to significantly modify the mixture of investments. The investment position is discussed more below.</w:t>
      </w:r>
    </w:p>
    <w:p>
      <w:pPr>
        <w:spacing w:after="0" w:line="126"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bond yields. </w:t>
      </w:r>
      <w:r>
        <w:rPr>
          <w:rFonts w:ascii="Times New Roman" w:cs="Times New Roman" w:eastAsia="Times New Roman" w:hAnsi="Times New Roman"/>
          <w:sz w:val="18"/>
          <w:szCs w:val="18"/>
          <w:color w:val="auto"/>
        </w:rPr>
        <w:t>A decrease in corporate bond yields will increase plan liabilities, although this will be partially offset by an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plans’ bond holdings.</w:t>
      </w:r>
    </w:p>
    <w:p>
      <w:pPr>
        <w:spacing w:after="0" w:line="1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investment position is managed and monitored by a committee of individuals from various departments. This group actively monitors how the duration and the expected yield of the investments are matching the expected cash outflows arising from the pension obligations. The group has not changed the processes used to manage its risks from previous periods. The group does not use derivatives to manage its risk. Investments are well diversified, such that the failure of any single investment would not have a material impact on the overall level of assets. The majority of equities are in U.S. large and small cap companies with some global diversification into international entities.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Remeasurement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remeasures both plan assets and obligations on a quarterly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sponsors two defined contribution retirement savings plans in the U.S. reportable segment for eligible U.S. and Puerto Rico employees. The Company maintains three postretirement plans for eligible employees in the Mexico reportable segment, as required by Mexico law, which primarily cover termination benefits. The Company maintains two defined contribution retirement savings plans in the Europe reportable segment for eligible Europe employees, as required by Europe law. The Company’s expenses related to its defined contribution plans totaled $33.3 million, $32.5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$28.5 million in 2025, 2024 and 2023, respectively.</w:t>
      </w:r>
    </w:p>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INCENTIVE COMPENSATION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short-term incentive plans that provide the grant of either cash or stock-based bonus awards payable upon achievement of specified performance goals. As of December 28, 2025, the Company has accrued $87.2 million, $30.3 million, and $6.5 million related to cash bonus awards that are recognized in the U.S., Europe, and Mexico reportable segments, respectively.</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also sponsors a performance-based, omnibus long-term incentive plan that provides for the grant of a broad range of long-term equity-based and liability-based awards to the Company’s officers and other employees, members of the Board of Directors and any consultants (the “LTIP”). Awards that may be granted under the LTIP include “incentive stock options,” within the meaning of the IRC, nonqualified stock options, stock appreciation rights, restricted stock awards and restricted stock units (“RSUs”). Equity-based awards are converted into shares of the Company’s common stock shortly after award vesting. Compensation cost to be recognized for an equity-based awards grant is determined by multiplying the number of awards granted by the closing price of a share of the Company’s common stock on the award grant date. Liability-based awards granted under the LTIP are converted into cash shortly after award vesting. Compensation cost to be recognized for a liability-based awards grant is first determined by multiplying the number of awards granted by the closing price of a share of PPC’s common stock on the award grant date. However, the compensation cost to be recognized is adjusted at each subsequent milestone date (i.e., forfeiture date, vesting date or financial reporting date) by multiplying the number of awards granted by the closing price of a share of PPC’s common stock on the milestone date. On April 30, 2025, the Company’s stockholders approved the Amended and Restated Pilgrim’s Pride Corporation 2019 Long Term Incentive Plan (the “Amended 2019 LTIP”), which replaced the expiring Pilgrim’s Pride Corporation 2019 Long-Term Incentive Plan (the “2019 LTIP”). The Amended 2019 LTIP became effective as of April 30, 2025. As of December 28, 2025, we have in reserve about 1.2 million shares of common stock for future issuance under the Amended 2019 LTIP.</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costs and the income tax benefit recognized for our stock-based compensation arrangements are included below:</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4"/>
        </w:trPr>
        <w:tc>
          <w:tcPr>
            <w:tcW w:w="5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Equity-based awards compensation cost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1140" w:type="dxa"/>
            <w:vAlign w:val="bottom"/>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w:t>
            </w:r>
          </w:p>
        </w:tc>
      </w:tr>
      <w:tr>
        <w:trPr>
          <w:trHeight w:val="207"/>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7,587</w:t>
            </w:r>
          </w:p>
        </w:tc>
      </w:tr>
      <w:tr>
        <w:trPr>
          <w:trHeight w:val="216"/>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r>
      <w:tr>
        <w:trPr>
          <w:trHeight w:val="212"/>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cost</w:t>
            </w:r>
          </w:p>
        </w:tc>
        <w:tc>
          <w:tcPr>
            <w:tcW w:w="114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4"/>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Liability-based awards compensation cost</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8"/>
        </w:trPr>
        <w:tc>
          <w:tcPr>
            <w:tcW w:w="57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Selling, general and administrative expense</w:t>
            </w:r>
            <w:r>
              <w:rPr>
                <w:rFonts w:ascii="Times New Roman" w:cs="Times New Roman" w:eastAsia="Times New Roman" w:hAnsi="Times New Roman"/>
                <w:sz w:val="21"/>
                <w:szCs w:val="21"/>
                <w:color w:val="auto"/>
                <w:vertAlign w:val="superscript"/>
              </w:rPr>
              <w:t>(a)</w:t>
            </w:r>
          </w:p>
        </w:tc>
        <w:tc>
          <w:tcPr>
            <w:tcW w:w="114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37"/>
        </w:trPr>
        <w:tc>
          <w:tcPr>
            <w:tcW w:w="5720" w:type="dxa"/>
            <w:vAlign w:val="bottom"/>
            <w:tcBorders>
              <w:bottom w:val="single" w:sz="8" w:color="CCEEFF"/>
            </w:tcBorders>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Net cost</w:t>
            </w:r>
            <w:r>
              <w:rPr>
                <w:rFonts w:ascii="Times New Roman" w:cs="Times New Roman" w:eastAsia="Times New Roman" w:hAnsi="Times New Roman"/>
                <w:sz w:val="21"/>
                <w:szCs w:val="21"/>
                <w:color w:val="auto"/>
                <w:vertAlign w:val="superscript"/>
              </w:rPr>
              <w:t>(a)</w:t>
            </w:r>
          </w:p>
        </w:tc>
        <w:tc>
          <w:tcPr>
            <w:tcW w:w="1140" w:type="dxa"/>
            <w:vAlign w:val="bottom"/>
            <w:tcBorders>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hanging="652"/>
        <w:spacing w:after="0" w:line="302" w:lineRule="auto"/>
        <w:tabs>
          <w:tab w:leader="none" w:pos="65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2024, the liability-based awards in our Europe and Mexico segments for the 2023 performance year were determined to have not met the performance threshold for payout therefore the Company reversed the prior and current year recognized compensation costs related to these awards.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RSU activity is included below:</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22"/>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9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Milestone Date</w:t>
            </w:r>
          </w:p>
        </w:tc>
        <w:tc>
          <w:tcPr>
            <w:tcW w:w="9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Milestone Date</w:t>
            </w:r>
          </w:p>
        </w:tc>
        <w:tc>
          <w:tcPr>
            <w:tcW w:w="76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gridSpan w:val="2"/>
          </w:tcPr>
          <w:p>
            <w:pPr>
              <w:jc w:val="center"/>
              <w:ind w:left="42"/>
              <w:spacing w:after="0" w:line="135" w:lineRule="exact"/>
              <w:rPr>
                <w:sz w:val="20"/>
                <w:szCs w:val="20"/>
                <w:color w:val="auto"/>
              </w:rPr>
            </w:pPr>
            <w:r>
              <w:rPr>
                <w:rFonts w:ascii="Times New Roman" w:cs="Times New Roman" w:eastAsia="Times New Roman" w:hAnsi="Times New Roman"/>
                <w:sz w:val="14"/>
                <w:szCs w:val="14"/>
                <w:b w:val="1"/>
                <w:bCs w:val="1"/>
                <w:color w:val="auto"/>
              </w:rPr>
              <w:t>Milestone Date</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Fair Value</w:t>
            </w:r>
            <w:r>
              <w:rPr>
                <w:rFonts w:ascii="Times New Roman" w:cs="Times New Roman" w:eastAsia="Times New Roman" w:hAnsi="Times New Roman"/>
                <w:sz w:val="18"/>
                <w:szCs w:val="18"/>
                <w:b w:val="1"/>
                <w:bCs w:val="1"/>
                <w:color w:val="auto"/>
                <w:w w:val="97"/>
                <w:vertAlign w:val="superscript"/>
              </w:rPr>
              <w:t>(a)</w:t>
            </w:r>
          </w:p>
        </w:tc>
        <w:tc>
          <w:tcPr>
            <w:tcW w:w="9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Fair Value</w:t>
            </w:r>
            <w:r>
              <w:rPr>
                <w:rFonts w:ascii="Times New Roman" w:cs="Times New Roman" w:eastAsia="Times New Roman" w:hAnsi="Times New Roman"/>
                <w:sz w:val="18"/>
                <w:szCs w:val="18"/>
                <w:b w:val="1"/>
                <w:bCs w:val="1"/>
                <w:color w:val="auto"/>
                <w:w w:val="97"/>
                <w:vertAlign w:val="superscript"/>
              </w:rPr>
              <w:t>(a)</w:t>
            </w: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Fair Value</w:t>
            </w:r>
            <w:r>
              <w:rPr>
                <w:rFonts w:ascii="Times New Roman" w:cs="Times New Roman" w:eastAsia="Times New Roman" w:hAnsi="Times New Roman"/>
                <w:sz w:val="18"/>
                <w:szCs w:val="18"/>
                <w:b w:val="1"/>
                <w:bCs w:val="1"/>
                <w:color w:val="auto"/>
                <w:w w:val="97"/>
                <w:vertAlign w:val="superscript"/>
              </w:rPr>
              <w:t>(a)</w:t>
            </w:r>
          </w:p>
        </w:tc>
        <w:tc>
          <w:tcPr>
            <w:tcW w:w="0" w:type="dxa"/>
            <w:vAlign w:val="bottom"/>
          </w:tcPr>
          <w:p>
            <w:pPr>
              <w:spacing w:after="0"/>
              <w:rPr>
                <w:sz w:val="1"/>
                <w:szCs w:val="1"/>
                <w:color w:val="auto"/>
              </w:rPr>
            </w:pPr>
          </w:p>
        </w:tc>
      </w:tr>
      <w:tr>
        <w:trPr>
          <w:trHeight w:val="164"/>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7"/>
          </w:tcPr>
          <w:p>
            <w:pPr>
              <w:ind w:left="640"/>
              <w:spacing w:after="0"/>
              <w:rPr>
                <w:sz w:val="20"/>
                <w:szCs w:val="20"/>
                <w:color w:val="auto"/>
              </w:rPr>
            </w:pPr>
            <w:r>
              <w:rPr>
                <w:rFonts w:ascii="Times New Roman" w:cs="Times New Roman" w:eastAsia="Times New Roman" w:hAnsi="Times New Roman"/>
                <w:sz w:val="13"/>
                <w:szCs w:val="13"/>
                <w:b w:val="1"/>
                <w:bCs w:val="1"/>
                <w:color w:val="auto"/>
                <w:w w:val="96"/>
              </w:rPr>
              <w:t>(In thousands, except weighted average fair values)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Equity-based RSUs</w:t>
            </w: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beginning of year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47.72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324</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Awards forfeited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212"/>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end of year</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36.75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7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4"/>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9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Milestone Date</w:t>
            </w:r>
          </w:p>
        </w:tc>
        <w:tc>
          <w:tcPr>
            <w:tcW w:w="9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gridSpan w:val="4"/>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Milestone Date</w:t>
            </w:r>
          </w:p>
        </w:tc>
        <w:tc>
          <w:tcPr>
            <w:tcW w:w="76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gridSpan w:val="2"/>
          </w:tcPr>
          <w:p>
            <w:pPr>
              <w:jc w:val="center"/>
              <w:ind w:left="42"/>
              <w:spacing w:after="0" w:line="146" w:lineRule="exact"/>
              <w:rPr>
                <w:sz w:val="20"/>
                <w:szCs w:val="20"/>
                <w:color w:val="auto"/>
              </w:rPr>
            </w:pPr>
            <w:r>
              <w:rPr>
                <w:rFonts w:ascii="Times New Roman" w:cs="Times New Roman" w:eastAsia="Times New Roman" w:hAnsi="Times New Roman"/>
                <w:sz w:val="14"/>
                <w:szCs w:val="14"/>
                <w:b w:val="1"/>
                <w:bCs w:val="1"/>
                <w:color w:val="auto"/>
              </w:rPr>
              <w:t>Milestone Date</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Fair Value</w:t>
            </w:r>
            <w:r>
              <w:rPr>
                <w:rFonts w:ascii="Times New Roman" w:cs="Times New Roman" w:eastAsia="Times New Roman" w:hAnsi="Times New Roman"/>
                <w:sz w:val="18"/>
                <w:szCs w:val="18"/>
                <w:b w:val="1"/>
                <w:bCs w:val="1"/>
                <w:color w:val="auto"/>
                <w:w w:val="97"/>
                <w:vertAlign w:val="superscript"/>
              </w:rPr>
              <w:t>(a)</w:t>
            </w:r>
          </w:p>
        </w:tc>
        <w:tc>
          <w:tcPr>
            <w:tcW w:w="9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Fair Value</w:t>
            </w:r>
            <w:r>
              <w:rPr>
                <w:rFonts w:ascii="Times New Roman" w:cs="Times New Roman" w:eastAsia="Times New Roman" w:hAnsi="Times New Roman"/>
                <w:sz w:val="18"/>
                <w:szCs w:val="18"/>
                <w:b w:val="1"/>
                <w:bCs w:val="1"/>
                <w:color w:val="auto"/>
                <w:w w:val="97"/>
                <w:vertAlign w:val="superscript"/>
              </w:rPr>
              <w:t>(a)</w:t>
            </w: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Fair Value</w:t>
            </w:r>
            <w:r>
              <w:rPr>
                <w:rFonts w:ascii="Times New Roman" w:cs="Times New Roman" w:eastAsia="Times New Roman" w:hAnsi="Times New Roman"/>
                <w:sz w:val="18"/>
                <w:szCs w:val="18"/>
                <w:b w:val="1"/>
                <w:bCs w:val="1"/>
                <w:color w:val="auto"/>
                <w:w w:val="97"/>
                <w:vertAlign w:val="superscript"/>
              </w:rPr>
              <w:t>(a)</w:t>
            </w:r>
          </w:p>
        </w:tc>
        <w:tc>
          <w:tcPr>
            <w:tcW w:w="0" w:type="dxa"/>
            <w:vAlign w:val="bottom"/>
          </w:tcPr>
          <w:p>
            <w:pPr>
              <w:spacing w:after="0"/>
              <w:rPr>
                <w:sz w:val="1"/>
                <w:szCs w:val="1"/>
                <w:color w:val="auto"/>
              </w:rPr>
            </w:pPr>
          </w:p>
        </w:tc>
      </w:tr>
      <w:tr>
        <w:trPr>
          <w:trHeight w:val="164"/>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7"/>
          </w:tcPr>
          <w:p>
            <w:pPr>
              <w:ind w:left="640"/>
              <w:spacing w:after="0"/>
              <w:rPr>
                <w:sz w:val="20"/>
                <w:szCs w:val="20"/>
                <w:color w:val="auto"/>
              </w:rPr>
            </w:pPr>
            <w:r>
              <w:rPr>
                <w:rFonts w:ascii="Times New Roman" w:cs="Times New Roman" w:eastAsia="Times New Roman" w:hAnsi="Times New Roman"/>
                <w:sz w:val="13"/>
                <w:szCs w:val="13"/>
                <w:b w:val="1"/>
                <w:bCs w:val="1"/>
                <w:color w:val="auto"/>
                <w:w w:val="96"/>
              </w:rPr>
              <w:t>(In thousands, except weighted average fair values)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Liability-based RSUs</w:t>
            </w: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beginning of year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52.65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45.39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12"/>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end of year</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39.82</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line="302" w:lineRule="auto"/>
        <w:tabs>
          <w:tab w:leader="none" w:pos="65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milestone date fair value is either the closing price of the Company’s common stock on the grant date for equity-based awards or the closing price of a share of the Company’s common stock on the respective milestone date for cash-based liability-based awards (i.e., grant date, vesting date, forfeiture date or financial reporting date).</w:t>
      </w:r>
    </w:p>
    <w:p>
      <w:pPr>
        <w:spacing w:after="0" w:line="1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values of equity-based awards and liability-based awards vested during 2025 were $11.4 million and $0.7 million, respectively. The total fair values of equity-based awards vested during 2024 were $7.1 million. No liability-based awards vested during 2024.</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2025, the total unrecognized compensation cost related to all nonvested equity-based awards was $38.1 million. This cost is expected to be recognized over a weighted average period of 2.13 years. As of December 28, 2025, the total unrecognized compensation cost related to all nonvested liability-based awards was $4.1 million. This cost is expected to be recognized over a weighted average period of 2.11 years.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Historically, we have issued new shares, as opposed to treasury shares, to satisfy equity-based award conversions.</w:t>
      </w:r>
    </w:p>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Assets and liabilities measured at fair value must be categorized into one of three different levels depending on the assumptions (i.e., inputs) used in the valuation:</w:t>
      </w:r>
    </w:p>
    <w:p>
      <w:pPr>
        <w:spacing w:after="0" w:line="257"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at the measurement date;</w:t>
      </w:r>
    </w:p>
    <w:p>
      <w:pPr>
        <w:spacing w:after="0" w:line="77"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in active markets for similar assets and liabilities and inputs that are observable for the asset or liability; or</w:t>
      </w:r>
    </w:p>
    <w:p>
      <w:pPr>
        <w:spacing w:after="0" w:line="77"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such as discounted cash flow models or valuations.</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determination of where assets and liabilities fall within this hierarchy is based upon the lowest level of input that is significant to the fair value measurement in its entirety.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28, 2025 and December 29, 2024, the Company held fixed income securities, derivative assets and derivative liabilities that were required to be measured at fair value on a recurring basis. Fixed income securities consist of investments, such as money market funds and commercial paper. Derivative assets and liabilities consist of long and short positions on exchange-traded commodity futures instruments, commodity options instruments, sales contracts instruments, foreign currency instruments to manage translation and remeasurement risk.</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items were measured at fair value on a recurring basis: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920" w:type="dxa"/>
            <w:vAlign w:val="bottom"/>
          </w:tcPr>
          <w:p>
            <w:pPr>
              <w:spacing w:after="0"/>
              <w:rPr>
                <w:sz w:val="16"/>
                <w:szCs w:val="16"/>
                <w:color w:val="auto"/>
              </w:rPr>
            </w:pPr>
          </w:p>
        </w:tc>
      </w:tr>
      <w:tr>
        <w:trPr>
          <w:trHeight w:val="23"/>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3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1"/>
        </w:trPr>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income 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520,899</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520,899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1,712,917</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1,712,917</w:t>
            </w: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Commodity derivative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9,509</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6,598</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6,598</w:t>
            </w: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derivative assets</w:t>
            </w:r>
          </w:p>
        </w:tc>
        <w:tc>
          <w:tcPr>
            <w:tcW w:w="24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28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755</w:t>
            </w:r>
          </w:p>
        </w:tc>
        <w:tc>
          <w:tcPr>
            <w:tcW w:w="30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Commodity derivative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28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30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derivative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r>
      <w:tr>
        <w:trPr>
          <w:trHeight w:val="210"/>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contract derivative liabilities</w:t>
            </w:r>
          </w:p>
        </w:tc>
        <w:tc>
          <w:tcPr>
            <w:tcW w:w="24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(2,638)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(778)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r>
    </w:tbl>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4. Derivative Financial Instruments” and “Note 7. Investments in Securities” for additional information.</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valuation of financial assets and liabilities classified in Level 1 is based upon unadjusted quoted prices for identical assets or liabilities in active markets. The valuation of financial assets and liabilities in Level 2 is determined using a market approach based upon quoted prices for similar assets and liabilities in active markets or other inputs that are observable for substantially the full term of the financial instrument. The valuation of financial assets in Level 3 is determined using an income approach based on unobservable inputs such as discounted cash flow models or valuations. For each class of assets and liabilities not measured at fair value in the Consolidated Balance Sheets but for which fair value is disclosed, the Company is not required to provide the quantitative disclosure about significant unobservable inputs used in fair value measurements categorized within Level 3 of the fair value hierarchy.</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fair value disclosure requirements related to financial instruments carried at fair value, accounting standards require interim disclosures regarding the fair value of all of the Company’s financial instruments. The methods and significant assumptions used to estimate the fair value of financial instruments and any changes in methods or significant assumptions from prior periods are also required to be disclosed. There were no changes to methods or significant assumptions from prior periods.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and estimated fair values of our debt obligations recorded in the Consolidated Balance Sheets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360" w:type="dxa"/>
            <w:vAlign w:val="bottom"/>
          </w:tcPr>
          <w:p>
            <w:pPr>
              <w:spacing w:after="0"/>
              <w:rPr>
                <w:sz w:val="16"/>
                <w:szCs w:val="16"/>
                <w:color w:val="auto"/>
              </w:rPr>
            </w:pPr>
          </w:p>
        </w:tc>
        <w:tc>
          <w:tcPr>
            <w:tcW w:w="24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36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1"/>
                <w:szCs w:val="11"/>
                <w:color w:val="auto"/>
              </w:rPr>
            </w:pPr>
          </w:p>
        </w:tc>
        <w:tc>
          <w:tcPr>
            <w:tcW w:w="104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right"/>
              <w:ind w:right="34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1"/>
                <w:szCs w:val="11"/>
                <w:color w:val="auto"/>
              </w:rPr>
            </w:pPr>
          </w:p>
        </w:tc>
        <w:tc>
          <w:tcPr>
            <w:tcW w:w="1020" w:type="dxa"/>
            <w:vAlign w:val="bottom"/>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0"/>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Fixed-rate senior notes payable at 3.50%, at Level 2 inputs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(899,600)</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(900,000)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(777,033)</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Fixed-rate senior notes payable at 4.25%, at Level 2 inputs</w:t>
            </w: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(791,946)</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(775,458)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(850,342)</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(789,304)</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Fixed-rate senior notes payable at 6.25%, at Level 2 inputs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(917,852)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(988,878)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(974,381)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(1,001,178)</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Fixed-rate senior notes payable at 6.875%, at Level 2 inputs</w:t>
            </w: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(492,251)</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(491,329)</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(533,650)</w:t>
            </w:r>
          </w:p>
        </w:tc>
      </w:tr>
      <w:tr>
        <w:trPr>
          <w:trHeight w:val="23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Live Oak CHP Project Pace Loan 5.15%, at Level 3 inputs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(19,163)</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(20,599)</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(18,569)</w:t>
            </w: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 Debt” for additional information.</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carrying amounts of our cash and cash equivalents, restricted cash and cash equivalents, accounts receivable, accounts payable and certain other liabilities approximate their fair values due to their relatively short maturities. Derivative assets were recorded at fair value based on quoted market prices and are included in the line item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the Consolidated Balance Sheets. Derivative liabilities were recorded at fair value based on quoted market prices and are included in the line item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the Consolidated Balance Sheets.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values of the Company’s Level 2 fixed-rate debt obligations were based on the quoted market price at December 28, 2025 or December 29, 2024, as applicable.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the Company records certain assets and liabilities at fair value on a nonrecurring basis. Generally, assets are recorded at fair value on a nonrecurring basis as a result of impairment charges when required by U.S. GAAP. There were no significant fair value measurement losses recognized for such assets and liabilities in the periods reported.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RESTRUCTURING-RELATED ACTIVITIES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2022, the Company began restructuring initiatives in its Europe reportable segment. Additional restructuring initiatives also commenced in 2023 and 2024. The purpose of our ongoing restructuring activities is to integrate central operations and reallocate processing capacities between production facilities resulting in closures of some facilities in the Europe reportable segment.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estimates of timelines and costs associated with these restructuring initiatives by major type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Pilgrim’s Food Masters</w:t>
            </w:r>
          </w:p>
        </w:tc>
        <w:tc>
          <w:tcPr>
            <w:tcW w:w="1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Pilgrim’s Europe Central</w:t>
            </w:r>
          </w:p>
        </w:tc>
        <w:tc>
          <w:tcPr>
            <w:tcW w:w="400" w:type="dxa"/>
            <w:vAlign w:val="bottom"/>
          </w:tcPr>
          <w:p>
            <w:pPr>
              <w:spacing w:after="0"/>
              <w:rPr>
                <w:sz w:val="13"/>
                <w:szCs w:val="13"/>
                <w:color w:val="auto"/>
              </w:rPr>
            </w:pPr>
          </w:p>
        </w:tc>
        <w:tc>
          <w:tcPr>
            <w:tcW w:w="1300" w:type="dxa"/>
            <w:vAlign w:val="bottom"/>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Earliest implementation date</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April 2024</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January 2024</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Predominant completion date</w:t>
            </w:r>
          </w:p>
        </w:tc>
        <w:tc>
          <w:tcPr>
            <w:tcW w:w="10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March 2025</w:t>
            </w: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June 2025</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incurred and expected to be incurred</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Employee-related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19,413</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53,350</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72,763</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impairment costs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w:t>
            </w:r>
          </w:p>
        </w:tc>
        <w:tc>
          <w:tcPr>
            <w:tcW w:w="0" w:type="dxa"/>
            <w:vAlign w:val="bottom"/>
          </w:tcPr>
          <w:p>
            <w:pPr>
              <w:spacing w:after="0"/>
              <w:rPr>
                <w:sz w:val="1"/>
                <w:szCs w:val="1"/>
                <w:color w:val="auto"/>
              </w:rPr>
            </w:pPr>
          </w:p>
        </w:tc>
      </w:tr>
      <w:tr>
        <w:trPr>
          <w:trHeight w:val="21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Other exit and disposal costs</w:t>
            </w:r>
            <w:r>
              <w:rPr>
                <w:rFonts w:ascii="Times New Roman" w:cs="Times New Roman" w:eastAsia="Times New Roman" w:hAnsi="Times New Roman"/>
                <w:sz w:val="21"/>
                <w:szCs w:val="21"/>
                <w:color w:val="auto"/>
                <w:vertAlign w:val="superscript"/>
              </w:rPr>
              <w:t>(a)</w:t>
            </w: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13,522</w:t>
            </w:r>
          </w:p>
        </w:tc>
        <w:tc>
          <w:tcPr>
            <w:tcW w:w="0" w:type="dxa"/>
            <w:vAlign w:val="bottom"/>
          </w:tcPr>
          <w:p>
            <w:pPr>
              <w:spacing w:after="0"/>
              <w:rPr>
                <w:sz w:val="1"/>
                <w:szCs w:val="1"/>
                <w:color w:val="auto"/>
              </w:rPr>
            </w:pPr>
          </w:p>
        </w:tc>
      </w:tr>
      <w:tr>
        <w:trPr>
          <w:trHeight w:val="209"/>
        </w:trPr>
        <w:tc>
          <w:tcPr>
            <w:tcW w:w="59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 exit and disposal costs</w:t>
            </w:r>
            <w:r>
              <w:rPr>
                <w:rFonts w:ascii="Times New Roman" w:cs="Times New Roman" w:eastAsia="Times New Roman" w:hAnsi="Times New Roman"/>
                <w:sz w:val="21"/>
                <w:szCs w:val="21"/>
                <w:color w:val="auto"/>
                <w:vertAlign w:val="superscript"/>
              </w:rPr>
              <w:t>(b)</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39,061</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62,534</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incurred since earliest implementation date</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Employee-related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19,413</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53,350</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72,763</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impairment costs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w:t>
            </w:r>
          </w:p>
        </w:tc>
        <w:tc>
          <w:tcPr>
            <w:tcW w:w="0" w:type="dxa"/>
            <w:vAlign w:val="bottom"/>
          </w:tcPr>
          <w:p>
            <w:pPr>
              <w:spacing w:after="0"/>
              <w:rPr>
                <w:sz w:val="1"/>
                <w:szCs w:val="1"/>
                <w:color w:val="auto"/>
              </w:rPr>
            </w:pPr>
          </w:p>
        </w:tc>
      </w:tr>
      <w:tr>
        <w:trPr>
          <w:trHeight w:val="21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Other exit and disposal costs</w:t>
            </w:r>
            <w:r>
              <w:rPr>
                <w:rFonts w:ascii="Times New Roman" w:cs="Times New Roman" w:eastAsia="Times New Roman" w:hAnsi="Times New Roman"/>
                <w:sz w:val="21"/>
                <w:szCs w:val="21"/>
                <w:color w:val="auto"/>
                <w:vertAlign w:val="superscript"/>
              </w:rPr>
              <w:t>(a)</w:t>
            </w: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13,522</w:t>
            </w:r>
          </w:p>
        </w:tc>
        <w:tc>
          <w:tcPr>
            <w:tcW w:w="0" w:type="dxa"/>
            <w:vAlign w:val="bottom"/>
          </w:tcPr>
          <w:p>
            <w:pPr>
              <w:spacing w:after="0"/>
              <w:rPr>
                <w:sz w:val="1"/>
                <w:szCs w:val="1"/>
                <w:color w:val="auto"/>
              </w:rPr>
            </w:pPr>
          </w:p>
        </w:tc>
      </w:tr>
      <w:tr>
        <w:trPr>
          <w:trHeight w:val="274"/>
        </w:trPr>
        <w:tc>
          <w:tcPr>
            <w:tcW w:w="5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exit and disposal costs</w:t>
            </w:r>
            <w:r>
              <w:rPr>
                <w:rFonts w:ascii="Times New Roman" w:cs="Times New Roman" w:eastAsia="Times New Roman" w:hAnsi="Times New Roman"/>
                <w:sz w:val="21"/>
                <w:szCs w:val="21"/>
                <w:color w:val="auto"/>
                <w:vertAlign w:val="superscript"/>
              </w:rPr>
              <w:t>(b)</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39,061</w:t>
            </w:r>
          </w:p>
        </w:tc>
        <w:tc>
          <w:tcPr>
            <w:tcW w:w="80" w:type="dxa"/>
            <w:vAlign w:val="bottom"/>
          </w:tcPr>
          <w:p>
            <w:pPr>
              <w:spacing w:after="0"/>
              <w:rPr>
                <w:sz w:val="23"/>
                <w:szCs w:val="23"/>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62,534</w:t>
            </w:r>
          </w:p>
        </w:tc>
        <w:tc>
          <w:tcPr>
            <w:tcW w:w="8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101,595</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60" w:hanging="652"/>
        <w:spacing w:after="0" w:line="271" w:lineRule="auto"/>
        <w:tabs>
          <w:tab w:leader="none" w:pos="65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other costs directly related to the restructuring initiatives including flock depletion, the write-off of prepaid maintenance costs, consulting fees, and costs to return leased assets to original configuration.</w:t>
      </w:r>
    </w:p>
    <w:p>
      <w:pPr>
        <w:ind w:left="640" w:hanging="632"/>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costs, except for asset impairment costs, are estimated to result in cash outlays.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2025, the Company recognized the following expenses and paid the following cash related to each restructuring initiative:</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Cash Outlays</w:t>
            </w:r>
          </w:p>
        </w:tc>
      </w:tr>
      <w:tr>
        <w:trPr>
          <w:trHeight w:val="196"/>
        </w:trPr>
        <w:tc>
          <w:tcPr>
            <w:tcW w:w="7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7"/>
                <w:szCs w:val="17"/>
                <w:color w:val="auto"/>
              </w:rPr>
            </w:pPr>
          </w:p>
        </w:tc>
      </w:tr>
      <w:tr>
        <w:trPr>
          <w:trHeight w:val="22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Pilgrim’s Food Masters 2024</w:t>
            </w:r>
          </w:p>
        </w:tc>
        <w:tc>
          <w:tcPr>
            <w:tcW w:w="116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4,676</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Pilgrim’s Europe Central</w:t>
            </w:r>
          </w:p>
        </w:tc>
        <w:tc>
          <w:tcPr>
            <w:tcW w:w="116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29,839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24,591</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Prior programs substantially complete</w:t>
            </w:r>
          </w:p>
        </w:tc>
        <w:tc>
          <w:tcPr>
            <w:tcW w:w="1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3,187</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2,480</w:t>
            </w:r>
          </w:p>
        </w:tc>
      </w:tr>
      <w:tr>
        <w:trPr>
          <w:trHeight w:val="212"/>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31,354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31,747</w:t>
            </w:r>
          </w:p>
        </w:tc>
      </w:tr>
      <w:tr>
        <w:trPr>
          <w:trHeight w:val="20"/>
        </w:trPr>
        <w:tc>
          <w:tcPr>
            <w:tcW w:w="7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These expenses are reported in the line item </w:t>
      </w:r>
      <w:r>
        <w:rPr>
          <w:rFonts w:ascii="Times New Roman" w:cs="Times New Roman" w:eastAsia="Times New Roman" w:hAnsi="Times New Roman"/>
          <w:sz w:val="18"/>
          <w:szCs w:val="18"/>
          <w:i w:val="1"/>
          <w:iCs w:val="1"/>
          <w:color w:val="auto"/>
        </w:rPr>
        <w:t>Restructuring activities</w:t>
      </w:r>
      <w:r>
        <w:rPr>
          <w:rFonts w:ascii="Times New Roman" w:cs="Times New Roman" w:eastAsia="Times New Roman" w:hAnsi="Times New Roman"/>
          <w:sz w:val="18"/>
          <w:szCs w:val="18"/>
          <w:color w:val="auto"/>
        </w:rPr>
        <w:t xml:space="preserve"> on the Consolidated Statements of Income.</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reconcile liabilities and reserves associated with each restructuring initiative during 2025. Ending liability balances for employee termination benefits and other charges are reported in the line item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in our Consolidated Balance Sheets. The ending reserve balance for inventory adjustments is reported in the line item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in our Consolidated Balance Sheets. During 2025, there were no material movements in reserves related to substantially completed programs. These programs have been excluded from the tables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6"/>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Pilgrim’s Food Masters 2024</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52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Liability or reserve as</w:t>
            </w:r>
          </w:p>
        </w:tc>
        <w:tc>
          <w:tcPr>
            <w:tcW w:w="14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 charges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Cash payments and</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4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Liability or reserve as</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 December 29, 2024</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540" w:type="dxa"/>
            <w:vAlign w:val="bottom"/>
            <w:tcBorders>
              <w:bottom w:val="single" w:sz="8" w:color="auto"/>
            </w:tcBorders>
            <w:gridSpan w:val="3"/>
            <w:vMerge w:val="continue"/>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of December 28, 2025</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retention benefits</w:t>
            </w:r>
          </w:p>
        </w:tc>
        <w:tc>
          <w:tcPr>
            <w:tcW w:w="5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impairment</w:t>
            </w:r>
          </w:p>
        </w:tc>
        <w:tc>
          <w:tcPr>
            <w:tcW w:w="5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 adjustments</w:t>
            </w:r>
          </w:p>
        </w:tc>
        <w:tc>
          <w:tcPr>
            <w:tcW w:w="5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termination</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charges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354"/>
        </w:trPr>
        <w:tc>
          <w:tcPr>
            <w:tcW w:w="3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Pilgrim’s Europe Central</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15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Liability or reserve as</w:t>
            </w:r>
          </w:p>
        </w:tc>
        <w:tc>
          <w:tcPr>
            <w:tcW w:w="14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 charges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Cash payments and</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4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Liability or reserve as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 December 29, 2024</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540" w:type="dxa"/>
            <w:vAlign w:val="bottom"/>
            <w:tcBorders>
              <w:bottom w:val="single" w:sz="8" w:color="auto"/>
            </w:tcBorders>
            <w:gridSpan w:val="3"/>
            <w:vMerge w:val="continue"/>
          </w:tcPr>
          <w:p>
            <w:pPr>
              <w:spacing w:after="0"/>
              <w:rPr>
                <w:sz w:val="17"/>
                <w:szCs w:val="17"/>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of December 28, 2025</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retention benefits</w:t>
            </w:r>
          </w:p>
        </w:tc>
        <w:tc>
          <w:tcPr>
            <w:tcW w:w="5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impairment</w:t>
            </w:r>
          </w:p>
        </w:tc>
        <w:tc>
          <w:tcPr>
            <w:tcW w:w="5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 adjustments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termination</w:t>
            </w:r>
          </w:p>
        </w:tc>
        <w:tc>
          <w:tcPr>
            <w:tcW w:w="5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charges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termination</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(27,011)</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Pilgrim’s has been and, in some cases, continues to be a party to certain transactions with affiliated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to related parties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JBS Toledo N.V.</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41,947</w:t>
            </w: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JBS USA Food Company</w:t>
            </w:r>
            <w:r>
              <w:rPr>
                <w:rFonts w:ascii="Times New Roman" w:cs="Times New Roman" w:eastAsia="Times New Roman" w:hAnsi="Times New Roman"/>
                <w:sz w:val="21"/>
                <w:szCs w:val="21"/>
                <w:color w:val="auto"/>
                <w:vertAlign w:val="superscript"/>
              </w:rPr>
              <w:t>(a)</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23,307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27,687</w:t>
            </w:r>
          </w:p>
        </w:tc>
      </w:tr>
      <w:tr>
        <w:trPr>
          <w:trHeight w:val="21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JBS Chile Ltd.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r>
      <w:tr>
        <w:trPr>
          <w:trHeight w:val="21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related parties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7,483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w:t>
            </w:r>
          </w:p>
        </w:tc>
      </w:tr>
      <w:tr>
        <w:trPr>
          <w:trHeight w:val="209"/>
        </w:trPr>
        <w:tc>
          <w:tcPr>
            <w:tcW w:w="6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sales to related parties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75,534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33,333</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35,803</w:t>
            </w:r>
          </w:p>
        </w:tc>
      </w:tr>
      <w:tr>
        <w:trPr>
          <w:trHeight w:val="21"/>
        </w:trPr>
        <w:tc>
          <w:tcPr>
            <w:tcW w:w="6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94"/>
        </w:trPr>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
        </w:trPr>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goods purchased from related parties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63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JBS USA Food Company</w:t>
            </w:r>
            <w:r>
              <w:rPr>
                <w:rFonts w:ascii="Times New Roman" w:cs="Times New Roman" w:eastAsia="Times New Roman" w:hAnsi="Times New Roman"/>
                <w:sz w:val="21"/>
                <w:szCs w:val="21"/>
                <w:color w:val="auto"/>
                <w:vertAlign w:val="superscript"/>
              </w:rPr>
              <w:t>(a)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145,324</w:t>
            </w: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159,264</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185,258</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Seara Meats B.V.</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28,828</w:t>
            </w:r>
          </w:p>
        </w:tc>
      </w:tr>
      <w:tr>
        <w:trPr>
          <w:trHeight w:val="21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Penasul UK LTD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13,932</w:t>
            </w:r>
          </w:p>
        </w:tc>
      </w:tr>
      <w:tr>
        <w:trPr>
          <w:trHeight w:val="21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JBS Asia CO Limited</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w:t>
            </w:r>
          </w:p>
        </w:tc>
      </w:tr>
      <w:tr>
        <w:trPr>
          <w:trHeight w:val="213"/>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related parties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7,168</w:t>
            </w:r>
          </w:p>
        </w:tc>
      </w:tr>
      <w:tr>
        <w:trPr>
          <w:trHeight w:val="237"/>
        </w:trPr>
        <w:tc>
          <w:tcPr>
            <w:tcW w:w="6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goods purchased from related parties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289,846</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206,482</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240,139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61"/>
        </w:trPr>
        <w:tc>
          <w:tcPr>
            <w:tcW w:w="6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
        </w:trPr>
        <w:tc>
          <w:tcPr>
            <w:tcW w:w="6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Expenditures paid by related parties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63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JBS USA Food Company</w:t>
            </w:r>
            <w:r>
              <w:rPr>
                <w:rFonts w:ascii="Times New Roman" w:cs="Times New Roman" w:eastAsia="Times New Roman" w:hAnsi="Times New Roman"/>
                <w:sz w:val="21"/>
                <w:szCs w:val="21"/>
                <w:color w:val="auto"/>
                <w:vertAlign w:val="superscript"/>
              </w:rPr>
              <w:t>(b)</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249,329</w:t>
            </w: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121,962</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156,439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related parties</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6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expenditures paid by related parties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249,329</w:t>
            </w: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121,962</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156,454</w:t>
            </w:r>
          </w:p>
        </w:tc>
      </w:tr>
      <w:tr>
        <w:trPr>
          <w:trHeight w:val="20"/>
        </w:trPr>
        <w:tc>
          <w:tcPr>
            <w:tcW w:w="6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94"/>
        </w:trPr>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
        </w:trPr>
        <w:tc>
          <w:tcPr>
            <w:tcW w:w="6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Expenditures paid on behalf of related parties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63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JBS USA Food Company</w:t>
            </w:r>
            <w:r>
              <w:rPr>
                <w:rFonts w:ascii="Times New Roman" w:cs="Times New Roman" w:eastAsia="Times New Roman" w:hAnsi="Times New Roman"/>
                <w:sz w:val="21"/>
                <w:szCs w:val="21"/>
                <w:color w:val="auto"/>
                <w:vertAlign w:val="superscript"/>
              </w:rPr>
              <w:t>(b)</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12,931</w:t>
            </w: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14,593</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related parties</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6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expenditures paid on behalf of related parties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12,931</w:t>
            </w: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14,593</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22,739</w:t>
            </w:r>
          </w:p>
        </w:tc>
      </w:tr>
      <w:tr>
        <w:trPr>
          <w:trHeight w:val="20"/>
        </w:trPr>
        <w:tc>
          <w:tcPr>
            <w:tcW w:w="6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62"/>
        </w:trPr>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
        </w:trPr>
        <w:tc>
          <w:tcPr>
            <w:tcW w:w="6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related party transactions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 under tax sharing agreement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r>
      <w:tr>
        <w:trPr>
          <w:trHeight w:val="374"/>
        </w:trPr>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6"/>
          </w:tcPr>
          <w:p>
            <w:pPr>
              <w:spacing w:after="0"/>
              <w:rPr>
                <w:sz w:val="2"/>
                <w:szCs w:val="2"/>
                <w:color w:val="auto"/>
              </w:rPr>
            </w:pPr>
          </w:p>
        </w:tc>
      </w:tr>
      <w:tr>
        <w:trPr>
          <w:trHeight w:val="164"/>
        </w:trPr>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6"/>
          </w:tcPr>
          <w:p>
            <w:pPr>
              <w:jc w:val="right"/>
              <w:ind w:right="1161"/>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from related parties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JBS Toledo N.V.</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10,486</w:t>
            </w:r>
          </w:p>
        </w:tc>
        <w:tc>
          <w:tcPr>
            <w:tcW w:w="40" w:type="dxa"/>
            <w:vAlign w:val="bottom"/>
          </w:tcPr>
          <w:p>
            <w:pPr>
              <w:spacing w:after="0"/>
              <w:rPr>
                <w:sz w:val="18"/>
                <w:szCs w:val="18"/>
                <w:color w:val="auto"/>
              </w:rPr>
            </w:pPr>
          </w:p>
        </w:tc>
        <w:tc>
          <w:tcPr>
            <w:tcW w:w="2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JBS USA Food Company</w:t>
            </w:r>
            <w:r>
              <w:rPr>
                <w:rFonts w:ascii="Times New Roman" w:cs="Times New Roman" w:eastAsia="Times New Roman" w:hAnsi="Times New Roman"/>
                <w:sz w:val="21"/>
                <w:szCs w:val="21"/>
                <w:color w:val="auto"/>
                <w:vertAlign w:val="superscript"/>
              </w:rPr>
              <w:t>(a)</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1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JBS Chile Ltd.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related parties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0"/>
        </w:trPr>
        <w:tc>
          <w:tcPr>
            <w:tcW w:w="6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 from related parties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13,398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w:t>
            </w:r>
          </w:p>
        </w:tc>
      </w:tr>
      <w:tr>
        <w:trPr>
          <w:trHeight w:val="20"/>
        </w:trPr>
        <w:tc>
          <w:tcPr>
            <w:tcW w:w="6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r>
      <w:tr>
        <w:trPr>
          <w:trHeight w:val="164"/>
        </w:trPr>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4"/>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payable to related parties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Seara Meats B.V.</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w:t>
            </w:r>
          </w:p>
        </w:tc>
      </w:tr>
      <w:tr>
        <w:trPr>
          <w:trHeight w:val="219"/>
        </w:trPr>
        <w:tc>
          <w:tcPr>
            <w:tcW w:w="79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JBS USA Food Company</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Penasul UK LTD</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JBS Asia Co Limited</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r>
      <w:tr>
        <w:trPr>
          <w:trHeight w:val="213"/>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related parties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37"/>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payable to related parties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right="340" w:hanging="652"/>
        <w:spacing w:after="0" w:line="271" w:lineRule="auto"/>
        <w:tabs>
          <w:tab w:leader="none" w:pos="65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routinely executes transactions to both purchase products from JBS USA Food Company (“JBS USA”) and sell products to them. As of December 28, 2025, goods purchased and in transit from JBS USA were $1.5 million and not reflected on our Consolidated Balance Sheets.</w:t>
      </w:r>
    </w:p>
    <w:p>
      <w:pPr>
        <w:jc w:val="both"/>
        <w:ind w:left="660" w:hanging="652"/>
        <w:spacing w:after="0" w:line="265" w:lineRule="auto"/>
        <w:tabs>
          <w:tab w:leader="none" w:pos="6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The Company also has an agreement with JBS USA to allocate the costs of supporting the business operations by one consolidated corporate team, which have historically been supported by their respective corporate teams. Expenditures paid by JBS USA on behalf of the Company will be reimbursed by the Company and expenditures paid by the Company on behalf of JBS USA will be reimbursed by JBS USA. This agreement expired on December 31, 2025, but effectively continues month-to-month until a new agreement is finalized.</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REPORTABLE SEGMENTS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three reportable segments: U.S., Europe and Mexico. The Company’s reportable segments are identified by a combination of factors, including geographic area, regulatory environment, economic environment and product portfolios. Each reportable segment is managed separately through a local management team. The results of each operating, or reportable, segment are provided to the chief operating decision maker (“CODM”) on a regular basis. The Company’s CODM is the President and Chief Executive Officer. The information provided to the CODM at the operating segment level is then used to assess performance and make decisions regarding allocation of key resources. The CODM primarily measures segment profit and evaluates performance based on operating income. The accounting policies of the segments are the same as those described in the summary of significant accounting policies.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 separate operations in the continental U.S. and in Puerto Rico. For segment reporting purposes, the Puerto Rico operations are included in the U.S. reportable segment. The chicken products processed by the U.S. reportable segment are sold to foodservice, retail and frozen entrée customers. The segment’s primary distribution is through retailers, foodservice distributors and restaurants.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Europe reportable segment processes primarily fresh chicken, pork products, lamb products, specialty meats, ready meals and other prepared foods that are sold to foodservice, retail and direct to consumer customers. The segment’s primary distribution is through retailers, foodservice distributors and restaurants.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chicken products processed by the Mexico reportable segment are sold to foodservice, retail and frozen entrée customers. The segment’s primary distribution is through retailers, foodservice distributors and restaurants.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regarding reportable segments is as follows: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5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December 28, 2025</w:t>
            </w:r>
            <w:r>
              <w:rPr>
                <w:rFonts w:ascii="Times New Roman" w:cs="Times New Roman" w:eastAsia="Times New Roman" w:hAnsi="Times New Roman"/>
                <w:sz w:val="18"/>
                <w:szCs w:val="18"/>
                <w:b w:val="1"/>
                <w:bCs w:val="1"/>
                <w:color w:val="auto"/>
                <w:vertAlign w:val="superscript"/>
              </w:rPr>
              <w:t>(a)</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4"/>
                <w:szCs w:val="14"/>
                <w:b w:val="1"/>
                <w:bCs w:val="1"/>
                <w:color w:val="auto"/>
                <w:w w:val="99"/>
              </w:rPr>
              <w:t>December 29, 2024</w:t>
            </w:r>
            <w:r>
              <w:rPr>
                <w:rFonts w:ascii="Times New Roman" w:cs="Times New Roman" w:eastAsia="Times New Roman" w:hAnsi="Times New Roman"/>
                <w:sz w:val="18"/>
                <w:szCs w:val="18"/>
                <w:b w:val="1"/>
                <w:bCs w:val="1"/>
                <w:color w:val="auto"/>
                <w:w w:val="99"/>
                <w:vertAlign w:val="superscript"/>
              </w:rPr>
              <w:t>(a)</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1"/>
              <w:spacing w:after="0" w:line="196" w:lineRule="exact"/>
              <w:rPr>
                <w:sz w:val="20"/>
                <w:szCs w:val="20"/>
                <w:color w:val="auto"/>
              </w:rPr>
            </w:pPr>
            <w:r>
              <w:rPr>
                <w:rFonts w:ascii="Times New Roman" w:cs="Times New Roman" w:eastAsia="Times New Roman" w:hAnsi="Times New Roman"/>
                <w:sz w:val="14"/>
                <w:szCs w:val="14"/>
                <w:b w:val="1"/>
                <w:bCs w:val="1"/>
                <w:color w:val="auto"/>
              </w:rPr>
              <w:t>December 31, 2023</w:t>
            </w:r>
            <w:r>
              <w:rPr>
                <w:rFonts w:ascii="Times New Roman" w:cs="Times New Roman" w:eastAsia="Times New Roman" w:hAnsi="Times New Roman"/>
                <w:sz w:val="18"/>
                <w:szCs w:val="18"/>
                <w:b w:val="1"/>
                <w:bCs w:val="1"/>
                <w:color w:val="auto"/>
                <w:vertAlign w:val="superscript"/>
              </w:rPr>
              <w:t>(b)</w:t>
            </w:r>
          </w:p>
        </w:tc>
      </w:tr>
      <w:tr>
        <w:trPr>
          <w:trHeight w:val="164"/>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10,998,732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10,629,929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10,027,742</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5,136,747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5,203,322</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2,119,956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2,111,615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2,131,153</w:t>
            </w:r>
          </w:p>
        </w:tc>
      </w:tr>
      <w:tr>
        <w:trPr>
          <w:trHeight w:val="234"/>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18,497,553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17,878,291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17,362,217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hanging="652"/>
        <w:spacing w:after="0" w:line="271" w:lineRule="auto"/>
        <w:tabs>
          <w:tab w:leader="none" w:pos="65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2025, the U.S. reportable segment had intercompany sales to the Mexico reportable segment of $99.8 million. These sales consisted of fresh products, prepared products and grain and are eliminated in our consolidation.</w:t>
      </w:r>
    </w:p>
    <w:p>
      <w:pPr>
        <w:ind w:left="660" w:hanging="652"/>
        <w:spacing w:after="0" w:line="271"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2024, the U.S. reportable segment had intercompany sales to the Mexico reportable segment of $121.6 million. These sales consisted of fresh products, prepared products, eggs and grain and are eliminated in our consolidation.</w:t>
      </w:r>
    </w:p>
    <w:p>
      <w:pPr>
        <w:ind w:left="660" w:right="20" w:hanging="652"/>
        <w:spacing w:after="0" w:line="282" w:lineRule="auto"/>
        <w:tabs>
          <w:tab w:leader="none" w:pos="65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2023, the U.S. reportable segment had intercompany sales to the Mexico reportable segment of $370.1 million. These sales consisted of fresh products, prepared products and grain and are eliminated in our consolidation.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9,364,633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9,065,837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9,505,258</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4,828,623</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1,888,672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1,909,721</w:t>
            </w:r>
          </w:p>
        </w:tc>
      </w:tr>
      <w:tr>
        <w:trPr>
          <w:trHeight w:val="216"/>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2"/>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cost of sales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16,139,410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15,565,524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16,243,816</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48"/>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1,634,099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1,564,092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522,484</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374,699</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221,432</w:t>
            </w:r>
          </w:p>
        </w:tc>
      </w:tr>
      <w:tr>
        <w:trPr>
          <w:trHeight w:val="216"/>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2"/>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gross profit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2,358,143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2,312,767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1,118,401</w:t>
            </w:r>
          </w:p>
        </w:tc>
      </w:tr>
      <w:tr>
        <w:trPr>
          <w:trHeight w:val="21"/>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34"/>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administrative expenses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460,695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283,590</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202,203</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65,977</w:t>
            </w: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SG&amp;A expenses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713,310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551,770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329"/>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Restructuring activities charges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93,388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44,345</w:t>
            </w:r>
          </w:p>
        </w:tc>
      </w:tr>
      <w:tr>
        <w:trPr>
          <w:trHeight w:val="360"/>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1,173,404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1,113,001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238,894</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128,151</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155,455</w:t>
            </w:r>
          </w:p>
        </w:tc>
      </w:tr>
      <w:tr>
        <w:trPr>
          <w:trHeight w:val="216"/>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2"/>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1,613,539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1,506,069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522,286</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profit or loss (segment operating income)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1,613,539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1,506,069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522,286</w:t>
            </w:r>
          </w:p>
        </w:tc>
      </w:tr>
      <w:tr>
        <w:trPr>
          <w:trHeight w:val="21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 of capitalized interest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202,272</w:t>
            </w:r>
          </w:p>
        </w:tc>
      </w:tr>
      <w:tr>
        <w:trPr>
          <w:trHeight w:val="213"/>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(35,651)</w:t>
            </w:r>
          </w:p>
        </w:tc>
      </w:tr>
      <w:tr>
        <w:trPr>
          <w:trHeight w:val="21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transaction losses (gains)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20,570</w:t>
            </w:r>
          </w:p>
        </w:tc>
      </w:tr>
      <w:tr>
        <w:trPr>
          <w:trHeight w:val="213"/>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Miscellaneous, 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(30,127)</w:t>
            </w:r>
          </w:p>
        </w:tc>
      </w:tr>
      <w:tr>
        <w:trPr>
          <w:trHeight w:val="212"/>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1,412,269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365,222</w:t>
            </w:r>
          </w:p>
        </w:tc>
      </w:tr>
      <w:tr>
        <w:trPr>
          <w:trHeight w:val="213"/>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42,905</w:t>
            </w: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322,317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329"/>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208,000</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6"/>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r>
      <w:tr>
        <w:trPr>
          <w:trHeight w:val="212"/>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interest expense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161,388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161,175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202,272</w:t>
            </w:r>
          </w:p>
        </w:tc>
      </w:tr>
      <w:tr>
        <w:trPr>
          <w:trHeight w:val="21"/>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34"/>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13,987</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25,022</w:t>
            </w:r>
          </w:p>
        </w:tc>
      </w:tr>
      <w:tr>
        <w:trPr>
          <w:trHeight w:val="216"/>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r>
      <w:tr>
        <w:trPr>
          <w:trHeight w:val="212"/>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interest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72,666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35,651</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48"/>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25,375</w:t>
            </w: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income tax expense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328"/>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288,495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270,618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255,052</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142,190</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22,658</w:t>
            </w: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419,900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1"/>
        </w:trPr>
        <w:tc>
          <w:tcPr>
            <w:tcW w:w="56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b w:val="1"/>
                <w:bCs w:val="1"/>
                <w:color w:val="auto"/>
              </w:rPr>
              <w:t>Capital expenditures</w:t>
            </w:r>
            <w:r>
              <w:rPr>
                <w:rFonts w:ascii="Times New Roman" w:cs="Times New Roman" w:eastAsia="Times New Roman" w:hAnsi="Times New Roman"/>
                <w:sz w:val="21"/>
                <w:szCs w:val="21"/>
                <w:b w:val="1"/>
                <w:bCs w:val="1"/>
                <w:color w:val="auto"/>
                <w:vertAlign w:val="superscript"/>
              </w:rPr>
              <w:t>(a)</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508,458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336,973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417,919</w:t>
            </w: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91,177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109,590</w:t>
            </w:r>
          </w:p>
        </w:tc>
      </w:tr>
      <w:tr>
        <w:trPr>
          <w:trHeight w:val="21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30,306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30,244</w:t>
            </w:r>
          </w:p>
        </w:tc>
      </w:tr>
      <w:tr>
        <w:trPr>
          <w:trHeight w:val="237"/>
        </w:trPr>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718,526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458,456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557,753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incurred include those that were paid out in cash and those that are still outstanding in accounts payable as of the end of each of the last three fiscal years.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6"/>
                <w:szCs w:val="16"/>
                <w:color w:val="auto"/>
              </w:rPr>
            </w:pPr>
          </w:p>
        </w:tc>
        <w:tc>
          <w:tcPr>
            <w:tcW w:w="15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r>
      <w:tr>
        <w:trPr>
          <w:trHeight w:val="175"/>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gridSpan w:val="4"/>
          </w:tcPr>
          <w:p>
            <w:pPr>
              <w:jc w:val="right"/>
              <w:ind w:right="1361"/>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7,023,156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7,848,510</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4,376,305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4,051,150</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Pr>
          <w:p>
            <w:pPr>
              <w:spacing w:after="0"/>
              <w:rPr>
                <w:sz w:val="18"/>
                <w:szCs w:val="18"/>
                <w:color w:val="auto"/>
              </w:rPr>
            </w:pP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1,132,834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1,172,728</w:t>
            </w:r>
          </w:p>
        </w:tc>
      </w:tr>
      <w:tr>
        <w:trPr>
          <w:trHeight w:val="216"/>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(2,188,765)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(2,421,812)</w:t>
            </w:r>
          </w:p>
        </w:tc>
      </w:tr>
      <w:tr>
        <w:trPr>
          <w:trHeight w:val="212"/>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10,343,530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10,650,576</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35"/>
        </w:trPr>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24"/>
                <w:szCs w:val="24"/>
                <w:color w:val="auto"/>
              </w:rPr>
            </w:pPr>
          </w:p>
        </w:tc>
        <w:tc>
          <w:tcPr>
            <w:tcW w:w="15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7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r>
      <w:tr>
        <w:trPr>
          <w:trHeight w:val="174"/>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gridSpan w:val="4"/>
          </w:tcPr>
          <w:p>
            <w:pPr>
              <w:jc w:val="right"/>
              <w:ind w:right="1361"/>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4"/>
        </w:trPr>
        <w:tc>
          <w:tcPr>
            <w:tcW w:w="75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b w:val="1"/>
                <w:bCs w:val="1"/>
                <w:color w:val="auto"/>
              </w:rPr>
              <w:t>Long-lived assets</w:t>
            </w:r>
            <w:r>
              <w:rPr>
                <w:rFonts w:ascii="Times New Roman" w:cs="Times New Roman" w:eastAsia="Times New Roman" w:hAnsi="Times New Roman"/>
                <w:sz w:val="21"/>
                <w:szCs w:val="21"/>
                <w:b w:val="1"/>
                <w:bCs w:val="1"/>
                <w:color w:val="auto"/>
                <w:vertAlign w:val="superscript"/>
              </w:rPr>
              <w:t>(a)</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2,376,549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2,156,858</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1,040,986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979,116</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Pr>
          <w:p>
            <w:pPr>
              <w:spacing w:after="0"/>
              <w:rPr>
                <w:sz w:val="18"/>
                <w:szCs w:val="18"/>
                <w:color w:val="auto"/>
              </w:rPr>
            </w:pP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377,164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261,518</w:t>
            </w:r>
          </w:p>
        </w:tc>
      </w:tr>
      <w:tr>
        <w:trPr>
          <w:trHeight w:val="216"/>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r>
      <w:tr>
        <w:trPr>
          <w:trHeight w:val="212"/>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3,790,811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3,393,604</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60" w:hanging="652"/>
        <w:spacing w:after="0" w:line="305" w:lineRule="auto"/>
        <w:tabs>
          <w:tab w:leader="none" w:pos="65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this disclosure, we exclude financial instruments, deferred tax assets and intangible assets in accordance with ASC 280-10-50-41,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Long-lived assets, as used in ASC 280-10-50-41, implies hard assets that cannot be readily removed.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to customers by customer location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10,550,171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10,165,049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9,496,709</w:t>
            </w: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5,087,606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5,148,931</w:t>
            </w: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2,160,490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2,180,418</w:t>
            </w: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Asia-Pacific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384,946</w:t>
            </w: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Canada, Caribbean and Central America</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89,068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72,339</w:t>
            </w: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Africa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66,519</w:t>
            </w:r>
          </w:p>
        </w:tc>
      </w:tr>
      <w:tr>
        <w:trPr>
          <w:trHeight w:val="213"/>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South America</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20,179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12,355</w:t>
            </w:r>
          </w:p>
        </w:tc>
      </w:tr>
      <w:tr>
        <w:trPr>
          <w:trHeight w:val="237"/>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18,497,553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17,878,291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17,362,217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net sales attributable to each of our primary product lines and markets served with those products is included in “Note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 We based the table on our internal sales reports and their classification of products.</w:t>
      </w:r>
    </w:p>
    <w:p>
      <w:pPr>
        <w:spacing w:after="0" w:line="149" w:lineRule="exact"/>
        <w:rPr>
          <w:sz w:val="20"/>
          <w:szCs w:val="20"/>
          <w:color w:val="auto"/>
        </w:rPr>
      </w:pPr>
    </w:p>
    <w:p>
      <w:pPr>
        <w:ind w:right="7380" w:firstLine="8"/>
        <w:spacing w:after="0" w:line="440" w:lineRule="auto"/>
        <w:tabs>
          <w:tab w:leader="none" w:pos="40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General</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 party to many routine contracts in which it provides general indemnities in the normal course of business to third parties for various risks. Among other considerations, the Company has not recorded a liability for any of these indemnities because, based upon the likelihood of payment, the fair value of such indemnities would not have a material impact on its financial condition, results of operations and cash flows.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sometimes enter into noncancelable contracts to purchase capital equipment and certain commodities such as corn, soybean meal, wheat and energy. As of December 28, 2025, the Company was party to outstanding purchase contracts totaling $483.7 million payable in 2026, $281.6 million payable in 2027, $1.8 million payable in 2028, $1.7 million payable in 2029 and $9.0 million payable thereafter.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regarding operating leases is included in “Note 3. 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loan agreements generally obligate the Company to reimburse the applicable lender for incremental increased costs due to a change in law that imposes (1) any reserve or special deposit requirement against assets of, deposits with or credit extended by such lender related to the loan, (2) any tax, duty or other charge with respect to the loan (except standard income tax) or (3) capital adequacy requirements. In addition, some of the Company’s loan agreements contain a withholding tax provision that requires the Company to pay additional amounts to the applicable lender or other financing party, generally if withholding taxes are imposed on such lender or other financing party as a result of a change in the applicable tax law. These increased cost and withholding tax provisions continue for the entire term of the applicable transaction, and there is no limitation on the maximum additional amounts the Company could be obligated to pay under such provisions. Any failure to pay amounts due under such provisions generally would trigger an event of default and, in a secured financing transaction, would entitle the lender to foreclose upon the collateral to realize the amount due.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which arise in the ordinary course of business. In the Company’s opinion, it has made appropriate and adequate accruals for claims where necessary; however, the ultimate liability for these matters is uncertain, and if significantly different than the amounts accrued, the ultimate outcome could have a material effect on the financial condition or results of operations of the Company. The Company cannot predict the outcome of the litigation matters or other actions nor when they will be resolved. The consequences of the pending litigation matters are inherently uncertain, and settlements, adverse actions, or adverse judgments in some or all of these matters, including investigations by the U.S. Department of Justice (“DOJ”) or the Attorneys General, may result in monetary damages, fines, penalties, or injunctive relief against the Company, which could be material and could adversely affect its financial condition or results of operations. Any claims or litigation, even if fully indemnified or insured, could damage the Company’s reputation and make it more difficult to compete effectively or to obtain adequate insurance in the future. In addition, the U.S. government’s recent focus on market dynamics in the meat processing industry could expose the Company to additional costs and risks.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Claims and Proceedings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2014 and 2015, the Mexican Tax Administration Service (the “SAT”) opened a review of Avícola Pilgrim's Pride de Mexico, S. A. de C.V. (“Avícola”) with regard to tax years 2009 and 2010. In both instances, the SAT claims that controlled company status did not exist for certain subsidiaries because Avícola did not own 50% of the shares in voting rights of Incubadora Hidalgo, S. de R.L de C.V. and Comercializadora de Carnes de México S. de R.L de C.V. (both in 2009) and Pilgrim’s Pride, S. de R.L. de C.V. (in 2010). Avícola appealed the opinion, and on January 31, 2023, the appeal as to tax year 2009 was dismissed by the Mexico Supreme Court. During 2023 Avícola paid $25.9 million for tax year 2009. The opinion for tax year 2010 is still under appeal. Accordingly, Avícola has an accrual of $16.3 million as of December 28, 2025 with regard to the tax year 2010.</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12, 2022, the SAT issued tax assessments against Pilgrim’s Pride, S. de R.L. de C.V. and Provemex Holdings, LLC in connection with PPC’s acquisition of Tyson de México. Additionally, the seller in this acquisition also received an assessment from the SAT related to the sale of its indirect equity interest of Tyson de México. The transaction agreement related to such acquisition contains certain mutual indemnification provisions, and both seller and buyer provided notice of indemnification claims to the other party. In response to the indemnification claims, on November 14, 2025, in a strategic effort to mitigate risk and in exchange for monetary compensation, PPC settled the indemnification claims and entered into an agreement with the seller in which PPC agreed to assume all tax liabilities in connection with the seller’s assessment, assume defense of such assessment, and waive all potential indemnification claims against the seller. In response to the underlying substantive assessments by the SAT, the Mexican subsidiaries of PPC filed a petition to nullify these assessments. The District Court issued a judgment on January 20, 2025, in which the court now claims that the seller (a Tyson entity) owed tax due to the indirect transfer of Mexican assets in connection with the sale, and that PPC or its subsidiaries should have withheld such taxes. The Collegiate (appellate) Court (the “Collegiate Court”) issued a decision on February 7, 2025 remanding the dispute to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Tax Court. On March 19, 2025, the Tax Court ruled that, for tax purposes and with respect to both assessments, the sale of the equity of Provemex occurred on June 29, 2015, and that Provemex was a Mexican tax resident on that date. PPC appealed this ruling to the Collegiate Court on April 23, 2025 and will continue to defend this matter or seek a reasonable settlement with the SAT where available. The amount under appeal for the remaining assessment, including any penalties and interest, is approximately $230.0 million. PPC will seek a reasonable settlement with the tax authority where it is available. PPC has determined the loss is probable and as such have recorded an accrual of $88.2 million, which is reflected in </w:t>
      </w:r>
      <w:r>
        <w:rPr>
          <w:rFonts w:ascii="Times New Roman" w:cs="Times New Roman" w:eastAsia="Times New Roman" w:hAnsi="Times New Roman"/>
          <w:sz w:val="18"/>
          <w:szCs w:val="18"/>
          <w:i w:val="1"/>
          <w:iCs w:val="1"/>
          <w:color w:val="auto"/>
        </w:rPr>
        <w:t>Accrued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Balance Sheet as of December 28, 2025.</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2019 and 2020, the U.K. Revenue &amp; Customs Authority (“HMRC”) opened reviews of the 2017 and 2018 tax returns of Onix Investments UK Ltd (“Onix”) in which HMRC evaluated the deductibility of certain interest related expenses incurred by Onix (the “Deductions”). The Deductions total $7.9 million for tax year 2017 and $32.1 million for tax year 2018. On April 12, 2024, HMRC concluded that the Deductions should be disallowed and Onix appealed. On October 8, 2024, HMRC issued a Review Conclusion Letter affirming the prior decision to disallow the Deductions. Onix has timely filed a Grounds of Appeal, and on March 10, 2025, HMRC filed their Statement of Case (a preliminary summary of arguments). A case management timetable has been agreed upon between Onix and HMRC, and approved by the court, which includes a tentative hearing window between June and October of 2026. Onix will continue to defend this matter. No accrual has been recorded for this matter.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Litigation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Between September 2, 2016 and October 13, 2016, a series of federal class action lawsuits were filed with the U.S. District Court for the Northern District of Illinois (“Illinois Court”) against PPC and other defendants by and on behalf of direct and indirect purchasers of broiler chickens alleging violations of antitrust and unfair competition laws and styled as </w:t>
      </w:r>
      <w:r>
        <w:rPr>
          <w:rFonts w:ascii="Times New Roman" w:cs="Times New Roman" w:eastAsia="Times New Roman" w:hAnsi="Times New Roman"/>
          <w:sz w:val="18"/>
          <w:szCs w:val="18"/>
          <w:i w:val="1"/>
          <w:iCs w:val="1"/>
          <w:color w:val="auto"/>
        </w:rPr>
        <w:t>In re Broiler Chicken Antitrust Litigation,</w:t>
      </w:r>
      <w:r>
        <w:rPr>
          <w:rFonts w:ascii="Times New Roman" w:cs="Times New Roman" w:eastAsia="Times New Roman" w:hAnsi="Times New Roman"/>
          <w:sz w:val="18"/>
          <w:szCs w:val="18"/>
          <w:color w:val="auto"/>
        </w:rPr>
        <w:t xml:space="preserve"> Case No. 1:16-cv-08637 (the “Broiler Antitrust Litigation”). The complaints seek, among other relief, treble damages for an alleged conspiracy among defendants to reduce output and increase prices of broiler chickens from the period of January 2008 to the present. PPC entered into agreements to settle all claims made by the three certified classes for an aggregate total of $195.5 million, each of which has received final approval from the Illinois Court and settlements were paid in fiscal year 2021. PPC continues to defend itself against the direct-action plaintiffs as well as parties that have opted out of the class settlements (collectively, the “Broiler Opt Outs”). On February 11, 2025, the motions to dismiss Phase 2 of the Broiler Antitrust Litigation that had been filed by PPC and other defendants were denied. Phase 2 discovery has commenced. PPC will seek reasonable settlements with the Broiler Opt Outs where they are available. To date, PPC has recognized an expense of $683.1 million, including a $100.6 million incremental expense in the year ended December 28, 2025, to cover settlements with various Broiler Opt Outs. PPC recognized all settlement expenses related to this matter within </w:t>
      </w:r>
      <w:r>
        <w:rPr>
          <w:rFonts w:ascii="Times New Roman" w:cs="Times New Roman" w:eastAsia="Times New Roman" w:hAnsi="Times New Roman"/>
          <w:sz w:val="18"/>
          <w:szCs w:val="18"/>
          <w:i w:val="1"/>
          <w:iCs w:val="1"/>
          <w:color w:val="auto"/>
        </w:rPr>
        <w:t>SG&amp;A expense</w:t>
      </w:r>
      <w:r>
        <w:rPr>
          <w:rFonts w:ascii="Times New Roman" w:cs="Times New Roman" w:eastAsia="Times New Roman" w:hAnsi="Times New Roman"/>
          <w:sz w:val="18"/>
          <w:szCs w:val="18"/>
          <w:color w:val="auto"/>
        </w:rPr>
        <w:t xml:space="preserve"> in our Consolidated Statements of Income.</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Between August 30, 2019 and October 16, 2019, a series of purported class action lawsuits were filed in the U.S. District Court for the District of Maryland (“Maryland Court”) against PPC and a number of other chicken producers, as well as Webber, Meng, Sahl &amp; Company and Agri Stats, styled as </w:t>
      </w:r>
      <w:r>
        <w:rPr>
          <w:rFonts w:ascii="Times New Roman" w:cs="Times New Roman" w:eastAsia="Times New Roman" w:hAnsi="Times New Roman"/>
          <w:sz w:val="18"/>
          <w:szCs w:val="18"/>
          <w:i w:val="1"/>
          <w:iCs w:val="1"/>
          <w:color w:val="auto"/>
        </w:rPr>
        <w:t xml:space="preserve">Jien, et al. v. Perdue Farms, Inc., et al., </w:t>
      </w:r>
      <w:r>
        <w:rPr>
          <w:rFonts w:ascii="Times New Roman" w:cs="Times New Roman" w:eastAsia="Times New Roman" w:hAnsi="Times New Roman"/>
          <w:sz w:val="18"/>
          <w:szCs w:val="18"/>
          <w:color w:val="auto"/>
        </w:rPr>
        <w:t>No.19-cv-02521. The plaintiffs are a putative class of poultry processing plant production and maintenance workers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(“Poultry Workers Class”) and allege that the defendants conspired to fix and depress the compensation paid to Poultry Workers Class in violation of the Sherman Antitrust Act. PPC entered into an agreement to settle all claims made by the Poultry Workers Class for $29.0 million and paid the plaintiffs this amount during 2021, though the agreement is still subject to final approval by the Maryland Court. PPC recognized this settlement expense 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w:t>
      </w:r>
      <w:r>
        <w:rPr>
          <w:rFonts w:ascii="Times New Roman" w:cs="Times New Roman" w:eastAsia="Times New Roman" w:hAnsi="Times New Roman"/>
          <w:sz w:val="18"/>
          <w:szCs w:val="18"/>
          <w:color w:val="auto"/>
        </w:rPr>
        <w:t>in our Consolidated Statements of Income in fiscal year 2021 and incrementally in fiscal year 2022.</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January 27, 2017, a purported class action on behalf of broiler chicken farmers was brought against PPC and other chicken producers in the U.S. District Court for the Eastern District of Oklahoma alleging, among other things, a conspiracy to reduce competition for grower services and depress the price paid to growers. The complaint was consolidated with several subsequently filed consolidated amended class action complaints and styled as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Broiler Chicken Grower Litigation</w:t>
      </w:r>
      <w:r>
        <w:rPr>
          <w:rFonts w:ascii="Times New Roman" w:cs="Times New Roman" w:eastAsia="Times New Roman" w:hAnsi="Times New Roman"/>
          <w:sz w:val="18"/>
          <w:szCs w:val="18"/>
          <w:color w:val="auto"/>
        </w:rPr>
        <w:t>, Case No. CIV-17-033. On June 24, 2024, a settlement was reached in the amount of $100.0 million. This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paid in fiscal year 2024. PPC recognized these settlement expenses within </w:t>
      </w:r>
      <w:r>
        <w:rPr>
          <w:rFonts w:ascii="Times New Roman" w:cs="Times New Roman" w:eastAsia="Times New Roman" w:hAnsi="Times New Roman"/>
          <w:sz w:val="18"/>
          <w:szCs w:val="18"/>
          <w:i w:val="1"/>
          <w:iCs w:val="1"/>
          <w:color w:val="auto"/>
        </w:rPr>
        <w:t>SG&amp;A expense</w:t>
      </w:r>
      <w:r>
        <w:rPr>
          <w:rFonts w:ascii="Times New Roman" w:cs="Times New Roman" w:eastAsia="Times New Roman" w:hAnsi="Times New Roman"/>
          <w:sz w:val="18"/>
          <w:szCs w:val="18"/>
          <w:color w:val="auto"/>
        </w:rPr>
        <w:t xml:space="preserve"> in our Consolidated Statements of Income. On January 7, 2025, the Court granted final approval of the Company’s settlement and dismissed the case.</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October 20, 2016, Patrick Hogan, acting on behalf of himself and a putative class of certain PPC stockholders, filed a class action complaint in the U.S. District Court for the District of Colorado against PPC and its named executive officers styled as </w:t>
      </w:r>
      <w:r>
        <w:rPr>
          <w:rFonts w:ascii="Times New Roman" w:cs="Times New Roman" w:eastAsia="Times New Roman" w:hAnsi="Times New Roman"/>
          <w:sz w:val="18"/>
          <w:szCs w:val="18"/>
          <w:i w:val="1"/>
          <w:iCs w:val="1"/>
          <w:color w:val="auto"/>
        </w:rPr>
        <w:t>Hogan v. Pilgrim’s Pride Corporation, et al.</w:t>
      </w:r>
      <w:r>
        <w:rPr>
          <w:rFonts w:ascii="Times New Roman" w:cs="Times New Roman" w:eastAsia="Times New Roman" w:hAnsi="Times New Roman"/>
          <w:sz w:val="18"/>
          <w:szCs w:val="18"/>
          <w:color w:val="auto"/>
        </w:rPr>
        <w:t xml:space="preserve">, No. 16-CV-02611. The complaint alleges, among other things, that PPC’s SEC filings contained statements that were rendered materially false and misleading. On December 6, 2024, the Company entered into a settlement agreement in principal with the putative class in the amount of $41.5 million. On June 27, 2025, the settlement agreement received final court approval. PPC paid the settlement amount in fiscal year 2025. We have recognized this expense in </w:t>
      </w:r>
      <w:r>
        <w:rPr>
          <w:rFonts w:ascii="Times New Roman" w:cs="Times New Roman" w:eastAsia="Times New Roman" w:hAnsi="Times New Roman"/>
          <w:sz w:val="18"/>
          <w:szCs w:val="18"/>
          <w:i w:val="1"/>
          <w:iCs w:val="1"/>
          <w:color w:val="auto"/>
        </w:rPr>
        <w:t xml:space="preserve">SG&amp;A expense </w:t>
      </w:r>
      <w:r>
        <w:rPr>
          <w:rFonts w:ascii="Times New Roman" w:cs="Times New Roman" w:eastAsia="Times New Roman" w:hAnsi="Times New Roman"/>
          <w:sz w:val="18"/>
          <w:szCs w:val="18"/>
          <w:color w:val="auto"/>
        </w:rPr>
        <w:t>in the Consolidated Statements of Income.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July 17, 2025, a stockholder derivative action entitled </w:t>
      </w:r>
      <w:r>
        <w:rPr>
          <w:rFonts w:ascii="Times New Roman" w:cs="Times New Roman" w:eastAsia="Times New Roman" w:hAnsi="Times New Roman"/>
          <w:sz w:val="18"/>
          <w:szCs w:val="18"/>
          <w:i w:val="1"/>
          <w:iCs w:val="1"/>
          <w:color w:val="auto"/>
        </w:rPr>
        <w:t>City of Miami Beach Fire and Police Pension et al. v. JBS Wisconsin Properties. LLC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 </w:t>
      </w:r>
      <w:r>
        <w:rPr>
          <w:rFonts w:ascii="Times New Roman" w:cs="Times New Roman" w:eastAsia="Times New Roman" w:hAnsi="Times New Roman"/>
          <w:sz w:val="18"/>
          <w:szCs w:val="18"/>
          <w:color w:val="auto"/>
        </w:rPr>
        <w:t>was filed in the Delaware Court of Chancery against PPC, as nominal defendant, as well as PPC’s directors, and majority stockholder, JBS Wisconsin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LLC. The complaint alleges, among other things, breaches of fiduciary duties connected to an amendment to PPC’s certificate of incorporation in 2024, that, according to the plaintiffs benefited JBS Wisconsin Properties, LLC to the detriment of public shareholder, and seeks, among other things, equitable relief. Defendants filed a motion to dismiss on October 2, 2025. No amounts have been accrued for any potential losses under this matter, as we cannot reasonably predict the outcome of the litigation or any potential losses at this early stage in the matter.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State Matters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February 21, 2017 through May 4, 2021, the Attorneys General for multiple U.S. states issued civil investigative demands (“CIDs”). The CIDs requested, among other things, data and information related to the acquisition and processing of broiler chickens and the sale of chicken products. PPC cooperated with the Attorneys General in these states in producing documents pursuant to the CIDs.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Matters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9, 2022, PPC learned that the DOJ opened a civil investigation into human resources antitrust matters, on October 6, 2022, PPC learned that the DOJ opened a civil investigation into grower contracts and payment practices and on October 2, 2023, received a civil investigative demand requesting information from PPC. PPC cooperated with the DOJ in its investigations and CID.</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MARKET RISKS AND CONCENTRATIONS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primarily of cash equivalents, investment securities and trade accounts receivable. The Company’s cash equivalents and investment securities are high-quality debt and equity securities placed with major banks and financial institutions. The Company’s trade accounts receivable are generally unsecured. Credit evaluations are performed on all significant customers and updated as circumstances dictate. Concentrations of credit risk with respect to trade accounts receivable are limited due to the large number of customers and their dispersion across geographic areas. The Company does not have a single customer that exceeds 10% of net sales. The Company does not believe it has significant concentrations of credit risk in its trade accounts receivable.</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28, 2025, the Company employed over 63,000 people. Approximately 35% of the Company’s employees were covered under collective bargaining agreements. Substantially, all employees covered under collective bargaining agreements are covered under agreements that expire in 2026 or later. The Company has not experienced any labor-related work stoppage at any location in over ten years. The Company believes its relationship with its employees and union leadership is satisfactory. At any given time, the Company will likely be in some stage of contract negotiations with various collective bargaining units. In the absence of an agreement, the Company may become subject to labor disruption at one or more of these locations, which could have an adverse effect on financial results.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2025, the aggregate carrying amount of net assets belonging to our Mexico and Europe reportable segments was $0.6 billion and $3.1 billion, respectively. As of December 29, 2024, the aggregate carrying amount of net assets belonging to our Mexico and Europe reportable segments was $0.7 billion and $2.9 billion,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Rules 13a-15(e) and 15d-15(e) of the Securities Exchange Act of 1934 (the “Exchange Act”), “disclosure controls and procedures” means controls and other procedures that are designed to ensure that information required to be disclosed by the Company in the reports that it files or submits under the Exchange Act is recorded, processed, summarized and reported, within the time periods specified in the Securities and Exchange Commission’s (the “SEC”) rules and forms. Disclosure controls and procedures include, without limitation, controls and procedures designed to ensure that information required to be disclosed by our Company in the reports that it files or submits under the Exchange Act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design and operation of the Company’s disclosure controls and procedures as of December 28, 2025. Based on that evaluation and subject to the foregoing, the Company’s Chief Executive Officer and Chief Financial Officer, concluded that, as of December 28, 2025, the Company’s disclosure controls and procedures were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Company’s quarter ended December 28, 2025 that has materially affected, or is reasonably likely to materially affect, the Company’s internal control over financial reporting.</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the Company completed the second phase of a multi-year implementation of an enterprise resource planning (“ERP”) system. The final phase of this project is expected to conclude in the second quarter of 2026. The implementation did not and is not expected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Pilgrim’s Pride Corporation’s management is responsible for establishing and maintaining adequate internal control over financial reporting, as such term is defined in Exchange Act Rule 13a-15(f). PPC’s internal control is designed to provide reasonable assurance regarding the reliability of financial reporting and the preparation of financial statements in accordance with generally accepted accounting principles.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PPC’s management assessed the effectiveness of the Company’s internal control over financial reporting as of December 28, 2025 based on the Committee of Sponsoring Organizations of the Treadway Commission (“COSO”) Internal Control Integrated Framework (2013). Based on this assessment, management concluded that PPC’s internal control over financial reporting was effective as of December 28, 2025.</w:t>
      </w:r>
    </w:p>
    <w:p>
      <w:pPr>
        <w:spacing w:after="0" w:line="12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KPMG LLP, an independent registered public accounting firm which audited our Consolidated Financial Statements included in this Form 10-K, has issued an unqualified report on the effectiveness of the Company’s internal control over financial reporting as of December 28, 2025. That report is included in Part I, Item 8. Financial Statements and Supplementary Data,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440" w:hanging="432"/>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4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year ended December 28, 2025, none of our directors or officers adopted or terminated a “Rule 10b5-1 trading arrangement” or “non-Rule 10b5-1 trading arrangement,” as each term is defined in Item 408(a)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information regarding our executive officers has been presented under “Information about our Executive Officers” included in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above.</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which applies to all employees, including our Chief Executive Officer and our Chief Financial Officer and Chief Accounting Officer. The full text of our Code of Business Conduct and Ethics is published on our website, at www.ir.pilgrims.com, under the “Corporate Governance-Documents &amp; Charters” caption. We intend to disclose, if required, future amendments to, or waivers from, certain provisions of this Code on our website within four business days following the date of such amendment or waiver.</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which applies to all directors, officers, and designated employees, including our Chief Executive Officer and our Chief Financial Officer and Chief Accounting Officer, as well as their family members or other persons with whom they have a relationship with who are subject to this policy and entities under their control. We believe this policy is reasonably designed to promote compliance with insider trading laws, rules, and regulations and listing standards applicable to the Company. This policy is included in Exhibit 19 to this Annual Report on Form 10-K.</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Item 10 is incorporated by reference herein from the Company’s Definitive Proxy Statement for its 2026 Annual Meeting of Stockholders to be filed no later than 120 days after the close of the fiscal year covered by this report, which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herein from the Company’s Definitive Proxy Statement for its 2026 Annual Meeting of Stockholders to be filed no later than 120 days after the close of the fiscal year covered by this report, which sections are incorporated herein by reference.</w:t>
      </w:r>
    </w:p>
    <w:p>
      <w:pPr>
        <w:spacing w:after="0" w:line="118" w:lineRule="exact"/>
        <w:rPr>
          <w:sz w:val="20"/>
          <w:szCs w:val="20"/>
          <w:color w:val="auto"/>
        </w:rPr>
      </w:pPr>
    </w:p>
    <w:p>
      <w:pPr>
        <w:ind w:right="2760"/>
        <w:spacing w:after="0" w:line="452"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8"/>
          <w:szCs w:val="18"/>
          <w:i w:val="1"/>
          <w:iCs w:val="1"/>
          <w:color w:val="auto"/>
        </w:rPr>
        <w:t>Equity Compensation Plan Information</w:t>
      </w:r>
    </w:p>
    <w:tbl>
      <w:tblPr>
        <w:tblLayout w:type="fixed"/>
        <w:tblInd w:w="0" w:type="dxa"/>
        <w:tblCellMar>
          <w:top w:w="0" w:type="dxa"/>
          <w:left w:w="0" w:type="dxa"/>
          <w:bottom w:w="0" w:type="dxa"/>
          <w:right w:w="0" w:type="dxa"/>
        </w:tblCellMar>
      </w:tblPr>
      <w:tr>
        <w:trPr>
          <w:trHeight w:val="147"/>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2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180" w:type="dxa"/>
            <w:vAlign w:val="bottom"/>
            <w:gridSpan w:val="3"/>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r>
              <w:rPr>
                <w:rFonts w:ascii="Times New Roman" w:cs="Times New Roman" w:eastAsia="Times New Roman" w:hAnsi="Times New Roman"/>
                <w:sz w:val="18"/>
                <w:szCs w:val="18"/>
                <w:b w:val="1"/>
                <w:bCs w:val="1"/>
                <w:color w:val="auto"/>
                <w:vertAlign w:val="superscript"/>
              </w:rPr>
              <w:t>(a)</w:t>
            </w:r>
          </w:p>
        </w:tc>
        <w:tc>
          <w:tcPr>
            <w:tcW w:w="2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20" w:type="dxa"/>
            <w:vAlign w:val="bottom"/>
          </w:tcPr>
          <w:p>
            <w:pPr>
              <w:spacing w:after="0"/>
              <w:rPr>
                <w:sz w:val="12"/>
                <w:szCs w:val="12"/>
                <w:color w:val="auto"/>
              </w:rPr>
            </w:pPr>
          </w:p>
        </w:tc>
        <w:tc>
          <w:tcPr>
            <w:tcW w:w="1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203"/>
        </w:trPr>
        <w:tc>
          <w:tcPr>
            <w:tcW w:w="4780" w:type="dxa"/>
            <w:vAlign w:val="bottom"/>
            <w:gridSpan w:val="2"/>
            <w:vMerge w:val="continue"/>
          </w:tcPr>
          <w:p>
            <w:pPr>
              <w:spacing w:after="0"/>
              <w:rPr>
                <w:sz w:val="17"/>
                <w:szCs w:val="17"/>
                <w:color w:val="auto"/>
              </w:rPr>
            </w:pPr>
          </w:p>
        </w:tc>
        <w:tc>
          <w:tcPr>
            <w:tcW w:w="214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7"/>
              </w:rPr>
              <w:t>and Rights</w:t>
            </w:r>
            <w:r>
              <w:rPr>
                <w:rFonts w:ascii="Times New Roman" w:cs="Times New Roman" w:eastAsia="Times New Roman" w:hAnsi="Times New Roman"/>
                <w:sz w:val="18"/>
                <w:szCs w:val="18"/>
                <w:b w:val="1"/>
                <w:bCs w:val="1"/>
                <w:color w:val="auto"/>
                <w:w w:val="97"/>
                <w:vertAlign w:val="superscript"/>
              </w:rPr>
              <w:t>(b)</w:t>
            </w:r>
          </w:p>
        </w:tc>
        <w:tc>
          <w:tcPr>
            <w:tcW w:w="220" w:type="dxa"/>
            <w:vAlign w:val="bottom"/>
          </w:tcPr>
          <w:p>
            <w:pPr>
              <w:spacing w:after="0"/>
              <w:rPr>
                <w:sz w:val="17"/>
                <w:szCs w:val="17"/>
                <w:color w:val="auto"/>
              </w:rPr>
            </w:pPr>
          </w:p>
        </w:tc>
        <w:tc>
          <w:tcPr>
            <w:tcW w:w="19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8"/>
                <w:szCs w:val="18"/>
                <w:b w:val="1"/>
                <w:bCs w:val="1"/>
                <w:color w:val="auto"/>
                <w:vertAlign w:val="superscript"/>
              </w:rPr>
              <w:t>(c)</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the First Column)</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compensation plans approved by securities holders</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2,149,693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1,212,642</w:t>
            </w:r>
          </w:p>
        </w:tc>
        <w:tc>
          <w:tcPr>
            <w:tcW w:w="0" w:type="dxa"/>
            <w:vAlign w:val="bottom"/>
          </w:tcPr>
          <w:p>
            <w:pPr>
              <w:spacing w:after="0"/>
              <w:rPr>
                <w:sz w:val="1"/>
                <w:szCs w:val="1"/>
                <w:color w:val="auto"/>
              </w:rPr>
            </w:pPr>
          </w:p>
        </w:tc>
      </w:tr>
      <w:tr>
        <w:trPr>
          <w:trHeight w:val="21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Equity compensation plans not approved by securities holders</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2,149,693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1,212,642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60" w:hanging="652"/>
        <w:spacing w:after="0" w:line="271" w:lineRule="auto"/>
        <w:tabs>
          <w:tab w:leader="none" w:pos="65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provides certain information about our common stock that may be issued under the Long Term Incentive Plan (the “LTIP”), as of December 28, 2025. For additional information concerning terms of the LTIP, see Part II. Item 8, Notes to Consolidated Financial Statements, “Note 16. Incentive Compensation” in this annual report.</w:t>
      </w:r>
    </w:p>
    <w:p>
      <w:pPr>
        <w:ind w:left="640" w:hanging="632"/>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restricted stock units outstanding, but not yet vested, under the LTIP as of December 28, 2025.</w:t>
      </w:r>
    </w:p>
    <w:p>
      <w:pPr>
        <w:spacing w:after="0" w:line="14" w:lineRule="exact"/>
        <w:rPr>
          <w:rFonts w:ascii="Times New Roman" w:cs="Times New Roman" w:eastAsia="Times New Roman" w:hAnsi="Times New Roman"/>
          <w:sz w:val="14"/>
          <w:szCs w:val="14"/>
          <w:color w:val="auto"/>
        </w:rPr>
      </w:pPr>
    </w:p>
    <w:p>
      <w:pPr>
        <w:ind w:left="660" w:hanging="652"/>
        <w:spacing w:after="0" w:line="283" w:lineRule="auto"/>
        <w:tabs>
          <w:tab w:leader="none" w:pos="65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does not include restricted stock units outstanding, therefore there is no weighted-average exercise price reported as the Company does not have any outstanding options, warrants, or rights.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Item 12 is incorporated by reference herein from the Company’s Definitive Proxy Statement for its 2026 Annual Meeting of Stockholders to be filed no later than 120 days after the close of the fiscal year covered by this report, which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herein from the Company’s Definitive Proxy Statement for its 2026 Annual Meeting of Stockholders to be filed no later than 120 days after the close of the fiscal year covered by this report, which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Kansas City, MO, Auditor Firm ID: 185.</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herein from the Company’s Definitive Proxy Statement for its 2026 Annual Meeting of Stockholders to be filed no later than 120 days after the close of the fiscal year covered by this report, which sections are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71" w:lineRule="exact"/>
        <w:rPr>
          <w:rFonts w:ascii="Times New Roman" w:cs="Times New Roman" w:eastAsia="Times New Roman" w:hAnsi="Times New Roman"/>
          <w:sz w:val="18"/>
          <w:szCs w:val="18"/>
          <w:color w:val="auto"/>
        </w:rPr>
      </w:pPr>
    </w:p>
    <w:p>
      <w:pPr>
        <w:ind w:left="1300" w:hanging="49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schedules listed in the index to financial statements and schedules on page 1 of this annual report are filed as part of this annual report.</w:t>
      </w:r>
    </w:p>
    <w:p>
      <w:pPr>
        <w:spacing w:after="0" w:line="107" w:lineRule="exact"/>
        <w:rPr>
          <w:rFonts w:ascii="Times New Roman" w:cs="Times New Roman" w:eastAsia="Times New Roman" w:hAnsi="Times New Roman"/>
          <w:sz w:val="18"/>
          <w:szCs w:val="18"/>
          <w:color w:val="auto"/>
        </w:rPr>
      </w:pPr>
    </w:p>
    <w:p>
      <w:pPr>
        <w:ind w:left="1300" w:hanging="54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schedules for which provision is made in the applicable accounting regulations of the Securities and Exchange Commission are not required under the related instructions or are not applicable and therefore have been omitted.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Exhibits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file, as exhibits to this annual report, those exhibits listed on the Exhibit Index below. As in previous filings, pursuant to Item 601(b)(4) (iii)(A) of Regulation S-K, the Company has not filed exhibits to this annual report certain long-term debt instruments (including indentures) under which the total amount of securities authorized does not exceed 10% of the total assets of the Company and its subsidiaries on a consolidated basis. The Company agrees to furnish a copy of any such instrument to the SEC upon request.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Number</w:t>
      </w:r>
    </w:p>
    <w:p>
      <w:pPr>
        <w:spacing w:after="0" w:line="198" w:lineRule="exact"/>
        <w:rPr>
          <w:sz w:val="20"/>
          <w:szCs w:val="20"/>
          <w:color w:val="auto"/>
        </w:rPr>
      </w:pPr>
    </w:p>
    <w:p>
      <w:pPr>
        <w:jc w:val="both"/>
        <w:ind w:left="1460" w:right="60" w:hanging="422"/>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68">
        <w:r>
          <w:rPr>
            <w:rFonts w:ascii="Times New Roman" w:cs="Times New Roman" w:eastAsia="Times New Roman" w:hAnsi="Times New Roman"/>
            <w:sz w:val="18"/>
            <w:szCs w:val="18"/>
            <w:u w:val="single" w:color="auto"/>
            <w:color w:val="0000FF"/>
          </w:rPr>
          <w:t>Amended and Restated Certificate of Incorporation of the Company (incorporated by reference from Exhibit 3.1 of the Company's</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Current Form 8-K (No. 001-09273) filed on December 30, 2024).</w:t>
        </w:r>
      </w:hyperlink>
    </w:p>
    <w:p>
      <w:pPr>
        <w:spacing w:after="0" w:line="64" w:lineRule="exact"/>
        <w:rPr>
          <w:sz w:val="20"/>
          <w:szCs w:val="20"/>
          <w:color w:val="auto"/>
        </w:rPr>
      </w:pPr>
    </w:p>
    <w:p>
      <w:pPr>
        <w:jc w:val="both"/>
        <w:ind w:left="1460" w:right="60" w:hanging="422"/>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68">
        <w:r>
          <w:rPr>
            <w:rFonts w:ascii="Times New Roman" w:cs="Times New Roman" w:eastAsia="Times New Roman" w:hAnsi="Times New Roman"/>
            <w:sz w:val="18"/>
            <w:szCs w:val="18"/>
            <w:u w:val="single" w:color="auto"/>
            <w:color w:val="0000FF"/>
          </w:rPr>
          <w:t>Amended and Restated Corporate By laws of the Company. (incorporated by reference from Exhibit 3.2 of the Company's Current</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Form 8-K (No. 001-09273) filed on December 30, 2024).</w:t>
        </w:r>
      </w:hyperlink>
    </w:p>
    <w:p>
      <w:pPr>
        <w:spacing w:after="0" w:line="64" w:lineRule="exact"/>
        <w:rPr>
          <w:sz w:val="20"/>
          <w:szCs w:val="20"/>
          <w:color w:val="auto"/>
        </w:rPr>
      </w:pPr>
    </w:p>
    <w:p>
      <w:pPr>
        <w:jc w:val="both"/>
        <w:ind w:left="1460" w:right="60" w:hanging="422"/>
        <w:spacing w:after="0" w:line="22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69">
        <w:r>
          <w:rPr>
            <w:rFonts w:ascii="Times New Roman" w:cs="Times New Roman" w:eastAsia="Times New Roman" w:hAnsi="Times New Roman"/>
            <w:sz w:val="18"/>
            <w:szCs w:val="18"/>
            <w:u w:val="single" w:color="auto"/>
            <w:color w:val="0000FF"/>
          </w:rPr>
          <w:t>Stockholders Agreement dated December 28, 2009 between the Company and JBS USA Holding Lux, S.à.r.l., formerly known as JBS</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USA Holdings, LLC, as amended (incorporated by reference from Exhibit 10.2 to the Company’s Form 8-K filed on December 30,</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2024).</w:t>
        </w:r>
      </w:hyperlink>
    </w:p>
    <w:p>
      <w:pPr>
        <w:spacing w:after="0" w:line="52" w:lineRule="exact"/>
        <w:rPr>
          <w:rFonts w:ascii="Times New Roman" w:cs="Times New Roman" w:eastAsia="Times New Roman" w:hAnsi="Times New Roman"/>
          <w:sz w:val="18"/>
          <w:szCs w:val="18"/>
          <w:u w:val="single" w:color="auto"/>
          <w:color w:val="0000FF"/>
        </w:rPr>
      </w:pPr>
    </w:p>
    <w:p>
      <w:pPr>
        <w:ind w:left="1020"/>
        <w:spacing w:after="0"/>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70">
        <w:r>
          <w:rPr>
            <w:rFonts w:ascii="Times New Roman" w:cs="Times New Roman" w:eastAsia="Times New Roman" w:hAnsi="Times New Roman"/>
            <w:sz w:val="18"/>
            <w:szCs w:val="18"/>
            <w:u w:val="single" w:color="auto"/>
            <w:color w:val="0000FF"/>
          </w:rPr>
          <w:t>Form of Common Stock Certificate (incorporated by reference from Exhibit 4.1 to the Company’s Current Report on Form 8-K (No.</w:t>
        </w:r>
      </w:hyperlink>
    </w:p>
    <w:p>
      <w:pPr>
        <w:ind w:left="146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001-09273) filed on December 29, 2009).</w:t>
        </w:r>
      </w:hyperlink>
    </w:p>
    <w:p>
      <w:pPr>
        <w:spacing w:after="0" w:line="70" w:lineRule="exact"/>
        <w:rPr>
          <w:rFonts w:ascii="Times New Roman" w:cs="Times New Roman" w:eastAsia="Times New Roman" w:hAnsi="Times New Roman"/>
          <w:sz w:val="18"/>
          <w:szCs w:val="18"/>
          <w:u w:val="single" w:color="auto"/>
          <w:color w:val="0000FF"/>
        </w:rPr>
      </w:pPr>
    </w:p>
    <w:p>
      <w:pPr>
        <w:jc w:val="both"/>
        <w:ind w:left="1460" w:right="60" w:hanging="422"/>
        <w:spacing w:after="0" w:line="22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71">
        <w:r>
          <w:rPr>
            <w:rFonts w:ascii="Times New Roman" w:cs="Times New Roman" w:eastAsia="Times New Roman" w:hAnsi="Times New Roman"/>
            <w:sz w:val="18"/>
            <w:szCs w:val="18"/>
            <w:u w:val="single" w:color="auto"/>
            <w:color w:val="0000FF"/>
          </w:rPr>
          <w:t>Indenture dated as of April 8, 2021 among the Company, Pilgrim’s Pride Corporation of West Virginia, Inc., Gold’n Plump Poultry,</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LLC, Gold’n Plump Farms, LLC, JFC LLC and Regions Bank, as Trustee (incorporated by reference from Exhibit 4.1 of the</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Company’s Current Report on Form 8-K (No. 001-09273) filed on April 9, 2021).</w:t>
        </w:r>
      </w:hyperlink>
    </w:p>
    <w:p>
      <w:pPr>
        <w:spacing w:after="0" w:line="63" w:lineRule="exact"/>
        <w:rPr>
          <w:rFonts w:ascii="Times New Roman" w:cs="Times New Roman" w:eastAsia="Times New Roman" w:hAnsi="Times New Roman"/>
          <w:sz w:val="18"/>
          <w:szCs w:val="18"/>
          <w:u w:val="single" w:color="auto"/>
          <w:color w:val="0000FF"/>
        </w:rPr>
      </w:pPr>
    </w:p>
    <w:p>
      <w:pPr>
        <w:ind w:left="102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71">
        <w:r>
          <w:rPr>
            <w:rFonts w:ascii="Times New Roman" w:cs="Times New Roman" w:eastAsia="Times New Roman" w:hAnsi="Times New Roman"/>
            <w:sz w:val="17"/>
            <w:szCs w:val="17"/>
            <w:u w:val="single" w:color="auto"/>
            <w:color w:val="0000FF"/>
          </w:rPr>
          <w:t>Form of Senior 4.25% Note due 2031 (included in Exhibit 4.3).</w:t>
        </w:r>
      </w:hyperlink>
    </w:p>
    <w:p>
      <w:pPr>
        <w:spacing w:after="0" w:line="77" w:lineRule="exact"/>
        <w:rPr>
          <w:rFonts w:ascii="Times New Roman" w:cs="Times New Roman" w:eastAsia="Times New Roman" w:hAnsi="Times New Roman"/>
          <w:sz w:val="18"/>
          <w:szCs w:val="18"/>
          <w:u w:val="single" w:color="auto"/>
          <w:color w:val="0000FF"/>
        </w:rPr>
      </w:pPr>
    </w:p>
    <w:p>
      <w:pPr>
        <w:jc w:val="both"/>
        <w:ind w:left="1460" w:right="60" w:hanging="422"/>
        <w:spacing w:after="0" w:line="22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172">
        <w:r>
          <w:rPr>
            <w:rFonts w:ascii="Times New Roman" w:cs="Times New Roman" w:eastAsia="Times New Roman" w:hAnsi="Times New Roman"/>
            <w:sz w:val="18"/>
            <w:szCs w:val="18"/>
            <w:u w:val="single" w:color="auto"/>
            <w:color w:val="0000FF"/>
          </w:rPr>
          <w:t>Indenture, dated as of September 2, 2021 among the Company, as issuer, Pilgrim's Pride Corporation of West Virginia, Inc., Gold'n</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Plump Poultry, LLC, Gold'n Plump Farms, LLC and JFC LLC, as Guarantors, and Regions Bank, as Trustee (incorporated by</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reference from Exhibit 4.1 of the Company’s Current Report on Form 8-K (No. 001-09273) filed on September 2, 2021).</w:t>
        </w:r>
      </w:hyperlink>
    </w:p>
    <w:p>
      <w:pPr>
        <w:spacing w:after="0" w:line="63" w:lineRule="exact"/>
        <w:rPr>
          <w:rFonts w:ascii="Times New Roman" w:cs="Times New Roman" w:eastAsia="Times New Roman" w:hAnsi="Times New Roman"/>
          <w:sz w:val="18"/>
          <w:szCs w:val="18"/>
          <w:u w:val="single" w:color="auto"/>
          <w:color w:val="0000FF"/>
        </w:rPr>
      </w:pPr>
    </w:p>
    <w:p>
      <w:pPr>
        <w:ind w:left="102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172">
        <w:r>
          <w:rPr>
            <w:rFonts w:ascii="Times New Roman" w:cs="Times New Roman" w:eastAsia="Times New Roman" w:hAnsi="Times New Roman"/>
            <w:sz w:val="17"/>
            <w:szCs w:val="17"/>
            <w:u w:val="single" w:color="auto"/>
            <w:color w:val="0000FF"/>
          </w:rPr>
          <w:t>Form of Senior 3.50% Note due 2032 (included in Exhibit 4.5).</w:t>
        </w:r>
      </w:hyperlink>
    </w:p>
    <w:p>
      <w:pPr>
        <w:spacing w:after="0" w:line="77" w:lineRule="exact"/>
        <w:rPr>
          <w:rFonts w:ascii="Times New Roman" w:cs="Times New Roman" w:eastAsia="Times New Roman" w:hAnsi="Times New Roman"/>
          <w:sz w:val="18"/>
          <w:szCs w:val="18"/>
          <w:u w:val="single" w:color="auto"/>
          <w:color w:val="0000FF"/>
        </w:rPr>
      </w:pPr>
    </w:p>
    <w:p>
      <w:pPr>
        <w:jc w:val="both"/>
        <w:ind w:left="1460" w:right="60" w:hanging="422"/>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173">
        <w:r>
          <w:rPr>
            <w:rFonts w:ascii="Times New Roman" w:cs="Times New Roman" w:eastAsia="Times New Roman" w:hAnsi="Times New Roman"/>
            <w:sz w:val="18"/>
            <w:szCs w:val="18"/>
            <w:u w:val="single" w:color="auto"/>
            <w:color w:val="0000FF"/>
          </w:rPr>
          <w:t>Description of Securities Registered Pursuant to Section 12(b) of the Exchange Act (incorporated by reference to Exhibit 4.7 to the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Company’s Annual Report on Form 10-K filed on February 13, 2025).</w:t>
        </w:r>
      </w:hyperlink>
    </w:p>
    <w:p>
      <w:pPr>
        <w:spacing w:after="0" w:line="118" w:lineRule="exact"/>
        <w:rPr>
          <w:sz w:val="20"/>
          <w:szCs w:val="20"/>
          <w:color w:val="auto"/>
        </w:rPr>
      </w:pPr>
    </w:p>
    <w:p>
      <w:pPr>
        <w:jc w:val="both"/>
        <w:ind w:left="1460" w:right="60" w:hanging="422"/>
        <w:spacing w:after="0" w:line="21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174">
        <w:r>
          <w:rPr>
            <w:rFonts w:ascii="Times New Roman" w:cs="Times New Roman" w:eastAsia="Times New Roman" w:hAnsi="Times New Roman"/>
            <w:sz w:val="18"/>
            <w:szCs w:val="18"/>
            <w:u w:val="single" w:color="auto"/>
            <w:color w:val="0000FF"/>
          </w:rPr>
          <w:t>First Supplemental Indenture, dated as of September 22, 2022 among the Company, as issuer, Pilgrim’s Pride Corporation of West</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Virginia, Inc., Gold’n Plump Poultry, LLC, Gold’n Plump Farms, LLC and JFC LLC, as Guarantors, and Regions Bank, as Trustee</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(incorporated by reference from Exhibit 4.1 of the Company's Current Report on Form 8-K (No. 001-09273) filed on September 26,</w:t>
        </w:r>
      </w:hyperlink>
    </w:p>
    <w:p>
      <w:pPr>
        <w:spacing w:after="0" w:line="1" w:lineRule="exact"/>
        <w:rPr>
          <w:rFonts w:ascii="Times New Roman" w:cs="Times New Roman" w:eastAsia="Times New Roman" w:hAnsi="Times New Roman"/>
          <w:sz w:val="18"/>
          <w:szCs w:val="18"/>
          <w:u w:val="single" w:color="auto"/>
          <w:color w:val="0000FF"/>
        </w:rPr>
      </w:pPr>
    </w:p>
    <w:p>
      <w:pPr>
        <w:ind w:left="1460"/>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2022).</w:t>
        </w:r>
      </w:hyperlink>
    </w:p>
    <w:p>
      <w:pPr>
        <w:spacing w:after="0" w:line="57" w:lineRule="exact"/>
        <w:rPr>
          <w:rFonts w:ascii="Times New Roman" w:cs="Times New Roman" w:eastAsia="Times New Roman" w:hAnsi="Times New Roman"/>
          <w:sz w:val="18"/>
          <w:szCs w:val="18"/>
          <w:u w:val="single" w:color="auto"/>
          <w:color w:val="0000FF"/>
        </w:rPr>
      </w:pPr>
    </w:p>
    <w:p>
      <w:pPr>
        <w:jc w:val="both"/>
        <w:ind w:left="1460" w:right="60" w:hanging="368"/>
        <w:spacing w:after="0" w:line="21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175">
        <w:r>
          <w:rPr>
            <w:rFonts w:ascii="Times New Roman" w:cs="Times New Roman" w:eastAsia="Times New Roman" w:hAnsi="Times New Roman"/>
            <w:sz w:val="18"/>
            <w:szCs w:val="18"/>
            <w:u w:val="single" w:color="auto"/>
            <w:color w:val="0000FF"/>
          </w:rPr>
          <w:t>First Supplemental Indenture, dated as of September 22, 2022 among the Company, as issuer, Pilgrim’s Pride Corporation of West</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Virginia, Inc., Gold’n Plump Poultry, LLC, Gold’n Plump Farms, LLC and JFC LLC, as Guarantors, and Regions Bank, as Trustee</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(incorporated by reference from Exhibit 4.1 of the Company's Current Report on Form 8-K (No. 001-09273) filed on September 26,</w:t>
        </w:r>
      </w:hyperlink>
    </w:p>
    <w:p>
      <w:pPr>
        <w:spacing w:after="0" w:line="1" w:lineRule="exact"/>
        <w:rPr>
          <w:rFonts w:ascii="Times New Roman" w:cs="Times New Roman" w:eastAsia="Times New Roman" w:hAnsi="Times New Roman"/>
          <w:sz w:val="18"/>
          <w:szCs w:val="18"/>
          <w:u w:val="single" w:color="auto"/>
          <w:color w:val="0000FF"/>
        </w:rPr>
      </w:pPr>
    </w:p>
    <w:p>
      <w:pPr>
        <w:ind w:left="1460"/>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2022).</w:t>
        </w:r>
      </w:hyperlink>
    </w:p>
    <w:p>
      <w:pPr>
        <w:spacing w:after="0" w:line="57" w:lineRule="exact"/>
        <w:rPr>
          <w:rFonts w:ascii="Times New Roman" w:cs="Times New Roman" w:eastAsia="Times New Roman" w:hAnsi="Times New Roman"/>
          <w:sz w:val="18"/>
          <w:szCs w:val="18"/>
          <w:u w:val="single" w:color="auto"/>
          <w:color w:val="0000FF"/>
        </w:rPr>
      </w:pPr>
    </w:p>
    <w:p>
      <w:pPr>
        <w:ind w:left="1460" w:right="60" w:hanging="458"/>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176">
        <w:r>
          <w:rPr>
            <w:rFonts w:ascii="Times New Roman" w:cs="Times New Roman" w:eastAsia="Times New Roman" w:hAnsi="Times New Roman"/>
            <w:sz w:val="18"/>
            <w:szCs w:val="18"/>
            <w:u w:val="single" w:color="auto"/>
            <w:color w:val="0000FF"/>
          </w:rPr>
          <w:t>Indenture dated as of April 19, 2023, among the Company, the Guarantors and Regions Bank, as Trustee (incorporated by reference</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from Exhibit 4.1 of the Company's Current Report on Form 8-K (No. 001-02973) filed on April 19, 2023).</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7" w:lineRule="exact"/>
        <w:rPr>
          <w:sz w:val="20"/>
          <w:szCs w:val="20"/>
          <w:color w:val="auto"/>
        </w:rPr>
      </w:pPr>
    </w:p>
    <w:p>
      <w:pPr>
        <w:ind w:left="1460" w:right="580" w:hanging="451"/>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178">
        <w:r>
          <w:rPr>
            <w:rFonts w:ascii="Times New Roman" w:cs="Times New Roman" w:eastAsia="Times New Roman" w:hAnsi="Times New Roman"/>
            <w:sz w:val="18"/>
            <w:szCs w:val="18"/>
            <w:u w:val="single" w:color="auto"/>
            <w:color w:val="0000FF"/>
          </w:rPr>
          <w:t>First Supplemental Indenture dated as of April 19, 2023, among the Company, the Guarantors and the Trustee (incorporated by</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reference from Exhibit 4.2 of the Company's Current Report on Form 8-K (No. 001-02973) filed on April 19, 2023).</w:t>
        </w:r>
      </w:hyperlink>
    </w:p>
    <w:p>
      <w:pPr>
        <w:spacing w:after="0" w:line="64" w:lineRule="exact"/>
        <w:rPr>
          <w:sz w:val="20"/>
          <w:szCs w:val="20"/>
          <w:color w:val="auto"/>
        </w:rPr>
      </w:pPr>
    </w:p>
    <w:p>
      <w:pPr>
        <w:ind w:left="100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4.12</w:t>
      </w:r>
      <w:r>
        <w:rPr>
          <w:sz w:val="20"/>
          <w:szCs w:val="20"/>
          <w:color w:val="auto"/>
        </w:rPr>
        <w:tab/>
      </w:r>
      <w:hyperlink r:id="rId178">
        <w:r>
          <w:rPr>
            <w:rFonts w:ascii="Times New Roman" w:cs="Times New Roman" w:eastAsia="Times New Roman" w:hAnsi="Times New Roman"/>
            <w:sz w:val="17"/>
            <w:szCs w:val="17"/>
            <w:u w:val="single" w:color="auto"/>
            <w:color w:val="0000FF"/>
          </w:rPr>
          <w:t>Form of Senior 6.25% Note due 2033 (included in Exhibit 4.11).</w:t>
        </w:r>
      </w:hyperlink>
    </w:p>
    <w:p>
      <w:pPr>
        <w:spacing w:after="0" w:line="77" w:lineRule="exact"/>
        <w:rPr>
          <w:sz w:val="20"/>
          <w:szCs w:val="20"/>
          <w:color w:val="auto"/>
        </w:rPr>
      </w:pPr>
    </w:p>
    <w:p>
      <w:pPr>
        <w:jc w:val="both"/>
        <w:ind w:left="1460" w:hanging="458"/>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179">
        <w:r>
          <w:rPr>
            <w:rFonts w:ascii="Times New Roman" w:cs="Times New Roman" w:eastAsia="Times New Roman" w:hAnsi="Times New Roman"/>
            <w:sz w:val="18"/>
            <w:szCs w:val="18"/>
            <w:u w:val="single" w:color="auto"/>
            <w:color w:val="0000FF"/>
          </w:rPr>
          <w:t>Second Supplemental Indenture, dated as of October 12, 2023, between the Company and Regions Bank, as trustee (incorporated by</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reference from Exhibit 4.1 of the Company's Current Report on Form 8-K (No. 001-02973) filed on October 13, 2023).</w:t>
        </w:r>
      </w:hyperlink>
    </w:p>
    <w:p>
      <w:pPr>
        <w:spacing w:after="0" w:line="64" w:lineRule="exact"/>
        <w:rPr>
          <w:sz w:val="20"/>
          <w:szCs w:val="20"/>
          <w:color w:val="auto"/>
        </w:rPr>
      </w:pPr>
    </w:p>
    <w:p>
      <w:pPr>
        <w:ind w:left="100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179">
        <w:r>
          <w:rPr>
            <w:rFonts w:ascii="Times New Roman" w:cs="Times New Roman" w:eastAsia="Times New Roman" w:hAnsi="Times New Roman"/>
            <w:sz w:val="17"/>
            <w:szCs w:val="17"/>
            <w:u w:val="single" w:color="auto"/>
            <w:color w:val="0000FF"/>
          </w:rPr>
          <w:t>Form of Senior 6.875% Note due 2034 (included in Exhibit 4.13).</w:t>
        </w:r>
      </w:hyperlink>
    </w:p>
    <w:p>
      <w:pPr>
        <w:spacing w:after="0" w:line="77" w:lineRule="exact"/>
        <w:rPr>
          <w:sz w:val="20"/>
          <w:szCs w:val="20"/>
          <w:color w:val="auto"/>
        </w:rPr>
      </w:pPr>
    </w:p>
    <w:p>
      <w:pPr>
        <w:ind w:left="1460" w:right="120" w:hanging="458"/>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80">
        <w:r>
          <w:rPr>
            <w:rFonts w:ascii="Times New Roman" w:cs="Times New Roman" w:eastAsia="Times New Roman" w:hAnsi="Times New Roman"/>
            <w:sz w:val="18"/>
            <w:szCs w:val="18"/>
            <w:u w:val="single" w:color="auto"/>
            <w:color w:val="0000FF"/>
          </w:rPr>
          <w:t>2019 Pilgrim’s Pride Corporation Long-Term Incentive Plan (incorporated by reference from Exhibit 10.14 of the Company’s Annual</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Report on Form 10-K filed on February 21, 2020).†</w:t>
        </w:r>
      </w:hyperlink>
    </w:p>
    <w:p>
      <w:pPr>
        <w:spacing w:after="0" w:line="64" w:lineRule="exact"/>
        <w:rPr>
          <w:sz w:val="20"/>
          <w:szCs w:val="20"/>
          <w:color w:val="auto"/>
        </w:rPr>
      </w:pPr>
    </w:p>
    <w:p>
      <w:pPr>
        <w:jc w:val="both"/>
        <w:ind w:left="1460" w:hanging="458"/>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81">
        <w:r>
          <w:rPr>
            <w:rFonts w:ascii="Times New Roman" w:cs="Times New Roman" w:eastAsia="Times New Roman" w:hAnsi="Times New Roman"/>
            <w:sz w:val="18"/>
            <w:szCs w:val="18"/>
            <w:u w:val="single" w:color="auto"/>
            <w:color w:val="0000FF"/>
          </w:rPr>
          <w:t>Form of Stock Award Agreement under the Pilgrim’s Pride Corporation Long Term Incentive Plan (incorporated by reference from</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Exhibit 10.1 to the Company’s Quarterly Report on Form 10-Q filed on April 28, 2021).†</w:t>
        </w:r>
      </w:hyperlink>
    </w:p>
    <w:p>
      <w:pPr>
        <w:spacing w:after="0" w:line="64" w:lineRule="exact"/>
        <w:rPr>
          <w:sz w:val="20"/>
          <w:szCs w:val="20"/>
          <w:color w:val="auto"/>
        </w:rPr>
      </w:pPr>
    </w:p>
    <w:p>
      <w:pPr>
        <w:jc w:val="both"/>
        <w:ind w:left="1460" w:hanging="458"/>
        <w:spacing w:after="0" w:line="22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82">
        <w:r>
          <w:rPr>
            <w:rFonts w:ascii="Times New Roman" w:cs="Times New Roman" w:eastAsia="Times New Roman" w:hAnsi="Times New Roman"/>
            <w:sz w:val="18"/>
            <w:szCs w:val="18"/>
            <w:u w:val="single" w:color="auto"/>
            <w:color w:val="0000FF"/>
          </w:rPr>
          <w:t>Multicurrency Revolving Facility Agreement, dated as of June 24, 2022, by and among Moy Park Holdings (Europe) Limited and</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other Pilgrim's subsidiaries, the Governor and Company of the Bank of Ireland, as agent, and the other lenders party thereto</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(incorporated by reference from Exhibit 10.1 of the Company's Quarterly Report on Form 10-Q filed on July 28, 2022).</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1460" w:hanging="458"/>
        <w:spacing w:after="0" w:line="22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83">
        <w:r>
          <w:rPr>
            <w:rFonts w:ascii="Times New Roman" w:cs="Times New Roman" w:eastAsia="Times New Roman" w:hAnsi="Times New Roman"/>
            <w:sz w:val="18"/>
            <w:szCs w:val="18"/>
            <w:u w:val="single" w:color="auto"/>
            <w:color w:val="0000FF"/>
          </w:rPr>
          <w:t>Revolving Syndicated Facility Agreement, dated as of October 4, 2023, by and among Pilgrim’s Pride Corporation, certain of its</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subsidiaries, CoBank, ACB, as administrative agent and the other lenders party thereto (incorporated by reference from Exhibit 10.1 of</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the Company's Current Report on Form 8-K (No. 001-02973) filed on October 10, 2023).</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1460" w:hanging="458"/>
        <w:spacing w:after="0" w:line="226"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84">
        <w:r>
          <w:rPr>
            <w:rFonts w:ascii="Times New Roman" w:cs="Times New Roman" w:eastAsia="Times New Roman" w:hAnsi="Times New Roman"/>
            <w:sz w:val="18"/>
            <w:szCs w:val="18"/>
            <w:u w:val="single" w:color="auto"/>
            <w:color w:val="0000FF"/>
          </w:rPr>
          <w:t>Revolving Line of Credit Agreement, dated as of August 15, 2023, by and among BBVA México as lender, and Pilgrim’s Pride,</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Sociedad de Responsabilidad Limitada de Capital Variable, as borrower (incorporated by reference from Exhibit 4.6 of the Company’s</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Quarterly Report on Form 10-Q (No. 001-02973) filed on October 26, 2023).</w:t>
        </w:r>
      </w:hyperlink>
    </w:p>
    <w:p>
      <w:pPr>
        <w:spacing w:after="0" w:line="52" w:lineRule="exact"/>
        <w:rPr>
          <w:rFonts w:ascii="Times New Roman" w:cs="Times New Roman" w:eastAsia="Times New Roman" w:hAnsi="Times New Roman"/>
          <w:sz w:val="18"/>
          <w:szCs w:val="18"/>
          <w:u w:val="single" w:color="auto"/>
          <w:color w:val="0000FF"/>
        </w:rPr>
      </w:pPr>
    </w:p>
    <w:p>
      <w:pPr>
        <w:jc w:val="center"/>
        <w:ind w:left="860"/>
        <w:spacing w:after="0"/>
        <w:tabs>
          <w:tab w:leader="none" w:pos="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68">
        <w:r>
          <w:rPr>
            <w:rFonts w:ascii="Times New Roman" w:cs="Times New Roman" w:eastAsia="Times New Roman" w:hAnsi="Times New Roman"/>
            <w:sz w:val="18"/>
            <w:szCs w:val="18"/>
            <w:u w:val="single" w:color="auto"/>
            <w:color w:val="0000FF"/>
          </w:rPr>
          <w:t>Tax Sharing Agreement by and among JBS USA Food Company Holdings and Pilgrim’s Pride Corporation, dated as of December 30,</w:t>
        </w:r>
      </w:hyperlink>
    </w:p>
    <w:p>
      <w:pPr>
        <w:jc w:val="center"/>
        <w:ind w:left="860"/>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2024 (incorporated by reference from Exhibit 10.1 to the Company’s Current Report on Form 8-K filed on December 30, 2024).</w:t>
        </w:r>
      </w:hyperlink>
    </w:p>
    <w:p>
      <w:pPr>
        <w:spacing w:after="0" w:line="70" w:lineRule="exact"/>
        <w:rPr>
          <w:rFonts w:ascii="Times New Roman" w:cs="Times New Roman" w:eastAsia="Times New Roman" w:hAnsi="Times New Roman"/>
          <w:sz w:val="18"/>
          <w:szCs w:val="18"/>
          <w:u w:val="single" w:color="auto"/>
          <w:color w:val="0000FF"/>
        </w:rPr>
      </w:pPr>
    </w:p>
    <w:p>
      <w:pPr>
        <w:ind w:left="1460" w:hanging="512"/>
        <w:spacing w:after="0" w:line="237"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85">
        <w:r>
          <w:rPr>
            <w:rFonts w:ascii="Times New Roman" w:cs="Times New Roman" w:eastAsia="Times New Roman" w:hAnsi="Times New Roman"/>
            <w:sz w:val="18"/>
            <w:szCs w:val="18"/>
            <w:u w:val="single" w:color="auto"/>
            <w:color w:val="0000FF"/>
          </w:rPr>
          <w:t>Amended and Restated 2019 Long-Term Incentive Plan of the Company (incorporated by reference from Exhibit 10.1 of the</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Company’s Current Report on Form 8-K filed on May 1, 2025).†</w:t>
        </w:r>
      </w:hyperlink>
    </w:p>
    <w:p>
      <w:pPr>
        <w:spacing w:after="0" w:line="64" w:lineRule="exact"/>
        <w:rPr>
          <w:sz w:val="20"/>
          <w:szCs w:val="20"/>
          <w:color w:val="auto"/>
        </w:rPr>
      </w:pPr>
    </w:p>
    <w:p>
      <w:pPr>
        <w:ind w:left="1460" w:hanging="388"/>
        <w:spacing w:after="0" w:line="237" w:lineRule="auto"/>
        <w:tabs>
          <w:tab w:leader="none" w:pos="1460" w:val="left"/>
        </w:tabs>
        <w:numPr>
          <w:ilvl w:val="0"/>
          <w:numId w:val="46"/>
        </w:numPr>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Insider Trading Policy (incorporated by reference to Exhibit 19.1 to the Company’s annual Report on Form 10-K filed on February 13,</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2025).</w:t>
        </w:r>
      </w:hyperlink>
    </w:p>
    <w:p>
      <w:pPr>
        <w:spacing w:after="0" w:line="64" w:lineRule="exact"/>
        <w:rPr>
          <w:rFonts w:ascii="Times New Roman" w:cs="Times New Roman" w:eastAsia="Times New Roman" w:hAnsi="Times New Roman"/>
          <w:sz w:val="18"/>
          <w:szCs w:val="18"/>
          <w:color w:val="auto"/>
        </w:rPr>
      </w:pPr>
    </w:p>
    <w:p>
      <w:pPr>
        <w:ind w:left="1460" w:hanging="388"/>
        <w:spacing w:after="0"/>
        <w:tabs>
          <w:tab w:leader="none" w:pos="1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131" w:lineRule="exact"/>
        <w:rPr>
          <w:rFonts w:ascii="Times New Roman" w:cs="Times New Roman" w:eastAsia="Times New Roman" w:hAnsi="Times New Roman"/>
          <w:sz w:val="18"/>
          <w:szCs w:val="18"/>
          <w:color w:val="auto"/>
        </w:rPr>
      </w:pPr>
    </w:p>
    <w:p>
      <w:pPr>
        <w:ind w:left="940"/>
        <w:spacing w:after="0"/>
        <w:tabs>
          <w:tab w:leader="none" w:pos="14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KPMG LLP.*</w:t>
      </w:r>
    </w:p>
    <w:p>
      <w:pPr>
        <w:spacing w:after="0" w:line="77" w:lineRule="exact"/>
        <w:rPr>
          <w:rFonts w:ascii="Times New Roman" w:cs="Times New Roman" w:eastAsia="Times New Roman" w:hAnsi="Times New Roman"/>
          <w:sz w:val="18"/>
          <w:szCs w:val="18"/>
          <w:color w:val="auto"/>
        </w:rPr>
      </w:pPr>
    </w:p>
    <w:p>
      <w:pPr>
        <w:ind w:left="940"/>
        <w:spacing w:after="0"/>
        <w:tabs>
          <w:tab w:leader="none" w:pos="14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Section 302 of the Sarbanes-Oxley Act of 2002.*</w:t>
      </w:r>
    </w:p>
    <w:p>
      <w:pPr>
        <w:spacing w:after="0" w:line="77" w:lineRule="exact"/>
        <w:rPr>
          <w:rFonts w:ascii="Times New Roman" w:cs="Times New Roman" w:eastAsia="Times New Roman" w:hAnsi="Times New Roman"/>
          <w:sz w:val="18"/>
          <w:szCs w:val="18"/>
          <w:color w:val="auto"/>
        </w:rPr>
      </w:pPr>
    </w:p>
    <w:p>
      <w:pPr>
        <w:ind w:left="940"/>
        <w:spacing w:after="0"/>
        <w:tabs>
          <w:tab w:leader="none" w:pos="14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Principal Financial Officer pursuant to Section 302 of the Sarbanes-Oxley Act of 2002.*</w:t>
      </w:r>
    </w:p>
    <w:p>
      <w:pPr>
        <w:spacing w:after="0" w:line="65" w:lineRule="exact"/>
        <w:rPr>
          <w:rFonts w:ascii="Times New Roman" w:cs="Times New Roman" w:eastAsia="Times New Roman" w:hAnsi="Times New Roman"/>
          <w:sz w:val="18"/>
          <w:szCs w:val="18"/>
          <w:color w:val="auto"/>
        </w:rPr>
      </w:pPr>
    </w:p>
    <w:p>
      <w:pPr>
        <w:ind w:left="940"/>
        <w:spacing w:after="0"/>
        <w:tabs>
          <w:tab w:leader="none" w:pos="14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of Pilgrim’s Pride Corporation pursuant to Section 906 of the Sarbanes-Oxley Act of</w:t>
      </w:r>
    </w:p>
    <w:p>
      <w:pPr>
        <w:ind w:left="146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59" w:lineRule="exact"/>
        <w:rPr>
          <w:rFonts w:ascii="Times New Roman" w:cs="Times New Roman" w:eastAsia="Times New Roman" w:hAnsi="Times New Roman"/>
          <w:sz w:val="18"/>
          <w:szCs w:val="18"/>
          <w:color w:val="auto"/>
        </w:rPr>
      </w:pPr>
    </w:p>
    <w:p>
      <w:pPr>
        <w:ind w:left="940"/>
        <w:spacing w:after="0"/>
        <w:tabs>
          <w:tab w:leader="none" w:pos="14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of Pilgrim’s Pride Corporation pursuant to Section 906 of the Sarbanes-Oxley Act of</w:t>
      </w:r>
    </w:p>
    <w:p>
      <w:pPr>
        <w:ind w:left="146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70" w:lineRule="exact"/>
        <w:rPr>
          <w:rFonts w:ascii="Times New Roman" w:cs="Times New Roman" w:eastAsia="Times New Roman" w:hAnsi="Times New Roman"/>
          <w:sz w:val="18"/>
          <w:szCs w:val="18"/>
          <w:color w:val="auto"/>
        </w:rPr>
      </w:pPr>
    </w:p>
    <w:p>
      <w:pPr>
        <w:ind w:left="1460" w:right="280" w:hanging="334"/>
        <w:spacing w:after="0" w:line="237" w:lineRule="auto"/>
        <w:tabs>
          <w:tab w:leader="none" w:pos="1460" w:val="left"/>
        </w:tabs>
        <w:numPr>
          <w:ilvl w:val="0"/>
          <w:numId w:val="48"/>
        </w:numPr>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Clawback Policy (incorporated by reference from Exhibit 97 of the Company’s Annual Report on Form 10-K filed on February 27,</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2024).</w:t>
        </w:r>
      </w:hyperlink>
    </w:p>
    <w:p>
      <w:pPr>
        <w:spacing w:after="0" w:line="64" w:lineRule="exact"/>
        <w:rPr>
          <w:rFonts w:ascii="Times New Roman" w:cs="Times New Roman" w:eastAsia="Times New Roman" w:hAnsi="Times New Roman"/>
          <w:sz w:val="18"/>
          <w:szCs w:val="18"/>
          <w:color w:val="auto"/>
        </w:rPr>
      </w:pPr>
    </w:p>
    <w:tbl>
      <w:tblPr>
        <w:tblLayout w:type="fixed"/>
        <w:tblInd w:w="640" w:type="dxa"/>
        <w:tblCellMar>
          <w:top w:w="0" w:type="dxa"/>
          <w:left w:w="0" w:type="dxa"/>
          <w:bottom w:w="0" w:type="dxa"/>
          <w:right w:w="0" w:type="dxa"/>
        </w:tblCellMar>
      </w:tblPr>
      <w:tr>
        <w:trPr>
          <w:trHeight w:val="234"/>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84"/>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101.SCH</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83"/>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101.CAL</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Inline XBRL Taxonomy Extension Calculation</w:t>
            </w:r>
          </w:p>
        </w:tc>
      </w:tr>
      <w:tr>
        <w:trPr>
          <w:trHeight w:val="283"/>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101.DEF</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84"/>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101.LAB</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w:t>
            </w:r>
          </w:p>
        </w:tc>
      </w:tr>
    </w:tbl>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1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w:t>
      </w:r>
    </w:p>
    <w:p>
      <w:pPr>
        <w:spacing w:after="0" w:line="77" w:lineRule="exact"/>
        <w:rPr>
          <w:sz w:val="20"/>
          <w:szCs w:val="20"/>
          <w:color w:val="auto"/>
        </w:rPr>
      </w:pPr>
    </w:p>
    <w:p>
      <w:pPr>
        <w:jc w:val="both"/>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104</w:t>
        <w:tab/>
        <w:t>Cover Page Interactive Data File (formatted as Inline XBRL and contained in Exhibit 101)</w:t>
      </w:r>
    </w:p>
    <w:p>
      <w:pPr>
        <w:sectPr>
          <w:pgSz w:w="11900" w:h="16838" w:orient="portrait"/>
          <w:cols w:equalWidth="0" w:num="1">
            <w:col w:w="10139"/>
          </w:cols>
          <w:pgMar w:left="320" w:top="121" w:right="1440" w:bottom="1440" w:gutter="0" w:footer="0" w:header="0"/>
        </w:sectPr>
      </w:pPr>
    </w:p>
    <w:p>
      <w:pPr>
        <w:spacing w:after="0" w:line="12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Filed herewith</w:t>
      </w:r>
    </w:p>
    <w:p>
      <w:pPr>
        <w:spacing w:after="0" w:line="129" w:lineRule="exact"/>
        <w:rPr>
          <w:sz w:val="20"/>
          <w:szCs w:val="20"/>
          <w:color w:val="auto"/>
        </w:rPr>
      </w:pPr>
    </w:p>
    <w:p>
      <w:pPr>
        <w:sectPr>
          <w:pgSz w:w="11900" w:h="16838" w:orient="portrait"/>
          <w:cols w:equalWidth="0" w:num="2">
            <w:col w:w="1580" w:space="720"/>
            <w:col w:w="7839"/>
          </w:cols>
          <w:pgMar w:left="320" w:top="121" w:right="1440"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Furnished herewith</w:t>
      </w:r>
    </w:p>
    <w:p>
      <w:pPr>
        <w:spacing w:after="0" w:line="115" w:lineRule="exact"/>
        <w:rPr>
          <w:sz w:val="20"/>
          <w:szCs w:val="20"/>
          <w:color w:val="auto"/>
        </w:rPr>
      </w:pPr>
    </w:p>
    <w:p>
      <w:pPr>
        <w:sectPr>
          <w:pgSz w:w="11900" w:h="16838" w:orient="portrait"/>
          <w:cols w:equalWidth="0" w:num="2">
            <w:col w:w="1580" w:space="720"/>
            <w:col w:w="7839"/>
          </w:cols>
          <w:pgMar w:left="320" w:top="121" w:right="1440" w:bottom="1440" w:gutter="0" w:footer="0" w:header="0"/>
          <w:type w:val="continuous"/>
        </w:sectPr>
      </w:pPr>
    </w:p>
    <w:p>
      <w:pPr>
        <w:ind w:left="2300" w:hanging="1248"/>
        <w:spacing w:after="0"/>
        <w:tabs>
          <w:tab w:leader="none" w:pos="2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Represents a management contract or compensation plan arrangement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3"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Exchange Act of 1934, the Registrant has duly caused this report to be signed on its behalf by the undersigned, thereunto duly authorized, on February 11, 2026.</w:t>
      </w:r>
    </w:p>
    <w:p>
      <w:pPr>
        <w:spacing w:after="0" w:line="13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PILGRIM’S PRIDE CORPORATION</w:t>
      </w:r>
    </w:p>
    <w:p>
      <w:pPr>
        <w:spacing w:after="0" w:line="333" w:lineRule="exact"/>
        <w:rPr>
          <w:sz w:val="20"/>
          <w:szCs w:val="20"/>
          <w:color w:val="auto"/>
        </w:rPr>
      </w:pPr>
    </w:p>
    <w:p>
      <w:pPr>
        <w:ind w:left="634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Galvanoni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43180</wp:posOffset>
            </wp:positionV>
            <wp:extent cx="21945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Matthew Galvanoni</w:t>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 and Chief Accounting</w:t>
      </w:r>
    </w:p>
    <w:p>
      <w:pPr>
        <w:ind w:left="6780"/>
        <w:spacing w:after="0"/>
        <w:rPr>
          <w:sz w:val="20"/>
          <w:szCs w:val="20"/>
          <w:color w:val="auto"/>
        </w:rPr>
      </w:pPr>
      <w:r>
        <w:rPr>
          <w:rFonts w:ascii="Times New Roman" w:cs="Times New Roman" w:eastAsia="Times New Roman" w:hAnsi="Times New Roman"/>
          <w:sz w:val="18"/>
          <w:szCs w:val="18"/>
          <w:color w:val="auto"/>
        </w:rPr>
        <w:t>Officer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 that the undersigned officers and directors of Pilgrim’s Pride Corporation do hereby constitute and appoint Matthew Galvanoni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that all said attorney-in-fact and agent, or any of them or their or his or her substitute or substitutes, may lawfully do or cause to be done by virtue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060" w:type="dxa"/>
            <w:vAlign w:val="bottom"/>
          </w:tcPr>
          <w:p>
            <w:pPr>
              <w:spacing w:after="0"/>
              <w:rPr>
                <w:sz w:val="20"/>
                <w:szCs w:val="20"/>
                <w:color w:val="auto"/>
              </w:rPr>
            </w:pPr>
          </w:p>
        </w:tc>
      </w:tr>
      <w:tr>
        <w:trPr>
          <w:trHeight w:val="724"/>
        </w:trPr>
        <w:tc>
          <w:tcPr>
            <w:tcW w:w="31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4"/>
                <w:szCs w:val="24"/>
                <w:color w:val="auto"/>
              </w:rPr>
            </w:pPr>
          </w:p>
        </w:tc>
        <w:tc>
          <w:tcPr>
            <w:tcW w:w="2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Date</w:t>
            </w:r>
          </w:p>
        </w:tc>
      </w:tr>
      <w:tr>
        <w:trPr>
          <w:trHeight w:val="533"/>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Gilberto Tomazoni</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Gilberto Tomazoni</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562"/>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Fabio Sandri</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5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Fabio Sandri</w:t>
            </w: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60" w:type="dxa"/>
            <w:vAlign w:val="bottom"/>
          </w:tcPr>
          <w:p>
            <w:pPr>
              <w:spacing w:after="0"/>
              <w:rPr>
                <w:sz w:val="21"/>
                <w:szCs w:val="21"/>
                <w:color w:val="auto"/>
              </w:rPr>
            </w:pPr>
          </w:p>
        </w:tc>
      </w:tr>
      <w:tr>
        <w:trPr>
          <w:trHeight w:val="459"/>
        </w:trPr>
        <w:tc>
          <w:tcPr>
            <w:tcW w:w="3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Chief Accounting</w:t>
            </w:r>
          </w:p>
        </w:tc>
        <w:tc>
          <w:tcPr>
            <w:tcW w:w="2060" w:type="dxa"/>
            <w:vAlign w:val="bottom"/>
          </w:tcPr>
          <w:p>
            <w:pPr>
              <w:spacing w:after="0"/>
              <w:rPr>
                <w:sz w:val="24"/>
                <w:szCs w:val="24"/>
                <w:color w:val="auto"/>
              </w:rPr>
            </w:pPr>
          </w:p>
        </w:tc>
      </w:tr>
      <w:tr>
        <w:trPr>
          <w:trHeight w:val="243"/>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Galvanoni</w:t>
            </w:r>
          </w:p>
        </w:tc>
        <w:tc>
          <w:tcPr>
            <w:tcW w:w="156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169"/>
        </w:trPr>
        <w:tc>
          <w:tcPr>
            <w:tcW w:w="3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Matthew Galvanoni</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(Principal Financial Officer and Principal</w:t>
            </w:r>
          </w:p>
        </w:tc>
        <w:tc>
          <w:tcPr>
            <w:tcW w:w="2060" w:type="dxa"/>
            <w:vAlign w:val="bottom"/>
          </w:tcPr>
          <w:p>
            <w:pPr>
              <w:spacing w:after="0"/>
              <w:rPr>
                <w:sz w:val="14"/>
                <w:szCs w:val="14"/>
                <w:color w:val="auto"/>
              </w:rPr>
            </w:pPr>
          </w:p>
        </w:tc>
      </w:tr>
      <w:tr>
        <w:trPr>
          <w:trHeight w:val="234"/>
        </w:trPr>
        <w:tc>
          <w:tcPr>
            <w:tcW w:w="3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Accounting Officer)</w:t>
            </w:r>
          </w:p>
        </w:tc>
        <w:tc>
          <w:tcPr>
            <w:tcW w:w="2060" w:type="dxa"/>
            <w:vAlign w:val="bottom"/>
          </w:tcPr>
          <w:p>
            <w:pPr>
              <w:spacing w:after="0"/>
              <w:rPr>
                <w:sz w:val="20"/>
                <w:szCs w:val="20"/>
                <w:color w:val="auto"/>
              </w:rPr>
            </w:pPr>
          </w:p>
        </w:tc>
      </w:tr>
      <w:tr>
        <w:trPr>
          <w:trHeight w:val="54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Farha Aslam</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Farha Aslam</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576"/>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Joesley Mendonça Batista</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Joesley Mendonça Batista</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54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Wesley Mendonça Batista</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Mendonça Batista</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5"/>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Arquimedes A. Celis</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54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Raul Padilla</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54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Wallim Cruz de Vasconcellos Junior</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576"/>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Ajay Menon</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Ajay Menon</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54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 Nogueira de Souza</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 Nogueira de Souza</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54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Joanita Maria Maestri Karoleski</w:t>
            </w:r>
          </w:p>
        </w:tc>
        <w:tc>
          <w:tcPr>
            <w:tcW w:w="1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2026</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Joanita Maria Maestri Karoleski</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20"/>
          </w:cols>
          <w:pgMar w:left="320" w:top="121" w:right="3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81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2560" w:type="dxa"/>
            <w:vAlign w:val="bottom"/>
          </w:tcPr>
          <w:p>
            <w:pPr>
              <w:spacing w:after="0"/>
              <w:rPr>
                <w:sz w:val="18"/>
                <w:szCs w:val="18"/>
                <w:color w:val="auto"/>
              </w:rPr>
            </w:pPr>
          </w:p>
        </w:tc>
      </w:tr>
      <w:tr>
        <w:trPr>
          <w:trHeight w:val="216"/>
        </w:trPr>
        <w:tc>
          <w:tcPr>
            <w:tcW w:w="81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PILGRIM'S PRIDE CORPORATION</w:t>
            </w:r>
          </w:p>
        </w:tc>
        <w:tc>
          <w:tcPr>
            <w:tcW w:w="2560" w:type="dxa"/>
            <w:vAlign w:val="bottom"/>
          </w:tcPr>
          <w:p>
            <w:pPr>
              <w:spacing w:after="0"/>
              <w:rPr>
                <w:sz w:val="18"/>
                <w:szCs w:val="18"/>
                <w:color w:val="auto"/>
              </w:rPr>
            </w:pPr>
          </w:p>
        </w:tc>
      </w:tr>
      <w:tr>
        <w:trPr>
          <w:trHeight w:val="238"/>
        </w:trPr>
        <w:tc>
          <w:tcPr>
            <w:tcW w:w="81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SUBSIDIARIES OF REGISTRANT</w:t>
            </w:r>
          </w:p>
        </w:tc>
        <w:tc>
          <w:tcPr>
            <w:tcW w:w="2560" w:type="dxa"/>
            <w:vAlign w:val="bottom"/>
          </w:tcPr>
          <w:p>
            <w:pPr>
              <w:spacing w:after="0"/>
              <w:rPr>
                <w:sz w:val="20"/>
                <w:szCs w:val="20"/>
                <w:color w:val="auto"/>
              </w:rPr>
            </w:pPr>
          </w:p>
        </w:tc>
      </w:tr>
      <w:tr>
        <w:trPr>
          <w:trHeight w:val="297"/>
        </w:trPr>
        <w:tc>
          <w:tcPr>
            <w:tcW w:w="8160" w:type="dxa"/>
            <w:vAlign w:val="bottom"/>
          </w:tcPr>
          <w:p>
            <w:pPr>
              <w:spacing w:after="0"/>
              <w:rPr>
                <w:sz w:val="24"/>
                <w:szCs w:val="24"/>
                <w:color w:val="auto"/>
              </w:rPr>
            </w:pP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175"/>
        </w:trPr>
        <w:tc>
          <w:tcPr>
            <w:tcW w:w="8160" w:type="dxa"/>
            <w:vAlign w:val="bottom"/>
          </w:tcPr>
          <w:p>
            <w:pPr>
              <w:spacing w:after="0"/>
              <w:rPr>
                <w:sz w:val="15"/>
                <w:szCs w:val="15"/>
                <w:color w:val="auto"/>
              </w:rPr>
            </w:pPr>
          </w:p>
        </w:tc>
        <w:tc>
          <w:tcPr>
            <w:tcW w:w="2560" w:type="dxa"/>
            <w:vAlign w:val="bottom"/>
          </w:tcPr>
          <w:p>
            <w:pPr>
              <w:jc w:val="center"/>
              <w:ind w:left="10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Incorporation or</w:t>
            </w:r>
          </w:p>
        </w:tc>
      </w:tr>
      <w:tr>
        <w:trPr>
          <w:trHeight w:val="234"/>
        </w:trPr>
        <w:tc>
          <w:tcPr>
            <w:tcW w:w="8160" w:type="dxa"/>
            <w:vAlign w:val="bottom"/>
          </w:tcPr>
          <w:p>
            <w:pPr>
              <w:spacing w:after="0"/>
              <w:rPr>
                <w:sz w:val="20"/>
                <w:szCs w:val="20"/>
                <w:color w:val="auto"/>
              </w:rPr>
            </w:pP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7"/>
              </w:rPr>
              <w:t>Organization</w:t>
            </w:r>
          </w:p>
        </w:tc>
      </w:tr>
      <w:tr>
        <w:trPr>
          <w:trHeight w:val="233"/>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Subsidiaries</w:t>
            </w:r>
          </w:p>
        </w:tc>
        <w:tc>
          <w:tcPr>
            <w:tcW w:w="2560" w:type="dxa"/>
            <w:vAlign w:val="bottom"/>
          </w:tcPr>
          <w:p>
            <w:pPr>
              <w:spacing w:after="0"/>
              <w:rPr>
                <w:sz w:val="20"/>
                <w:szCs w:val="20"/>
                <w:color w:val="auto"/>
              </w:rPr>
            </w:pP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Pilgrim's Pride Finance LLC</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POPPSA 3, LLC</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POPPSA 4, LLC</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PPC Transportation Company</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Merit Provisions, LLC</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Pilgrim's Pride Affordable Housing Corporation</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Nevada</w:t>
            </w:r>
          </w:p>
        </w:tc>
      </w:tr>
      <w:tr>
        <w:trPr>
          <w:trHeight w:val="234"/>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Hadgraft Industrial Properties LLC</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387"/>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Subsidiaries</w:t>
            </w:r>
          </w:p>
        </w:tc>
        <w:tc>
          <w:tcPr>
            <w:tcW w:w="2560" w:type="dxa"/>
            <w:vAlign w:val="bottom"/>
          </w:tcPr>
          <w:p>
            <w:pPr>
              <w:spacing w:after="0"/>
              <w:rPr>
                <w:sz w:val="24"/>
                <w:szCs w:val="24"/>
                <w:color w:val="auto"/>
              </w:rPr>
            </w:pP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To-Ricos Distribution, Ltd.</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6"/>
              </w:rPr>
              <w:t>Bermuda</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To-Ricos, Ltd.</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6"/>
              </w:rPr>
              <w:t>Bermuda</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Moy Park Beef Orléans Sàrl</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Moy Park France Holdings SAS</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Moy Park France SAS</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Ivory Investments Luxembourg Holding S.C.S.</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Sandstone Holdings Sàrl</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Pilgrim's Pride Malta Finance Limited</w:t>
            </w:r>
          </w:p>
        </w:tc>
        <w:tc>
          <w:tcPr>
            <w:tcW w:w="25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Malta</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Avícola Pilgrim's Pride de Mexico, S. A. de C.V.</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FAMPAT, S.A. de C.V.</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Gallina Pesada S.A.P.I. de C.V.</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Inmobiliaria Avicola Pilgrim's Pride, .S de .RL. de C.V.</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Pilgrim's Pride S. de R.L. de C.V.</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Pro Restaurantes, S.A. de C.V.</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Servicios Administrativos Pilgrim's Pride S. de R.L. de C.V.</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Albert van Zoonen B.V.</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Arkose Investments Unlimited Company</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Republic of Ireland</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Foods Van Sales (Ireland) Ltd.</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Republic of Ireland</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Pilgrim's Food Masters Ireland Ltd.</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Republic of Ireland</w:t>
            </w:r>
          </w:p>
        </w:tc>
      </w:tr>
      <w:tr>
        <w:trPr>
          <w:trHeight w:val="234"/>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Rye Valley Foods Ltd.</w:t>
            </w:r>
          </w:p>
        </w:tc>
        <w:tc>
          <w:tcPr>
            <w:tcW w:w="2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Republic of Ireland</w:t>
            </w:r>
          </w:p>
        </w:tc>
      </w:tr>
    </w:tbl>
    <w:p>
      <w:pPr>
        <w:sectPr>
          <w:pgSz w:w="11900" w:h="16838" w:orient="portrait"/>
          <w:cols w:equalWidth="0" w:num="1">
            <w:col w:w="10720"/>
          </w:cols>
          <w:pgMar w:left="440" w:top="887" w:right="7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26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26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PILGRIM'S PRIDE CORPORATION</w:t>
            </w: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726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SUBSIDIARIES OF REGISTRANT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7260" w:type="dxa"/>
            <w:vAlign w:val="bottom"/>
          </w:tcPr>
          <w:p>
            <w:pPr>
              <w:jc w:val="center"/>
              <w:ind w:left="58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7260" w:type="dxa"/>
            <w:vAlign w:val="bottom"/>
          </w:tcPr>
          <w:p>
            <w:pPr>
              <w:jc w:val="center"/>
              <w:ind w:left="5870"/>
              <w:spacing w:after="0" w:line="180" w:lineRule="exact"/>
              <w:rPr>
                <w:sz w:val="20"/>
                <w:szCs w:val="20"/>
                <w:color w:val="auto"/>
              </w:rPr>
            </w:pPr>
            <w:r>
              <w:rPr>
                <w:rFonts w:ascii="Times New Roman" w:cs="Times New Roman" w:eastAsia="Times New Roman" w:hAnsi="Times New Roman"/>
                <w:sz w:val="18"/>
                <w:szCs w:val="18"/>
                <w:b w:val="1"/>
                <w:bCs w:val="1"/>
                <w:color w:val="auto"/>
              </w:rPr>
              <w:t>Incorporation or</w:t>
            </w:r>
          </w:p>
        </w:tc>
        <w:tc>
          <w:tcPr>
            <w:tcW w:w="0" w:type="dxa"/>
            <w:vAlign w:val="bottom"/>
          </w:tcPr>
          <w:p>
            <w:pPr>
              <w:spacing w:after="0"/>
              <w:rPr>
                <w:sz w:val="1"/>
                <w:szCs w:val="1"/>
                <w:color w:val="auto"/>
              </w:rPr>
            </w:pPr>
          </w:p>
        </w:tc>
      </w:tr>
      <w:tr>
        <w:trPr>
          <w:trHeight w:val="238"/>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Foreign Subsidiaries (Continued)</w:t>
            </w:r>
          </w:p>
        </w:tc>
        <w:tc>
          <w:tcPr>
            <w:tcW w:w="7260" w:type="dxa"/>
            <w:vAlign w:val="bottom"/>
          </w:tcPr>
          <w:p>
            <w:pPr>
              <w:jc w:val="center"/>
              <w:ind w:left="583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25"/>
        </w:trPr>
        <w:tc>
          <w:tcPr>
            <w:tcW w:w="3580" w:type="dxa"/>
            <w:vAlign w:val="bottom"/>
            <w:vMerge w:val="continue"/>
          </w:tcPr>
          <w:p>
            <w:pPr>
              <w:spacing w:after="0"/>
              <w:rPr>
                <w:sz w:val="19"/>
                <w:szCs w:val="19"/>
                <w:color w:val="auto"/>
              </w:rPr>
            </w:pPr>
          </w:p>
        </w:tc>
        <w:tc>
          <w:tcPr>
            <w:tcW w:w="7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Attleborough Foods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Bakewell Foods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Consumer Foods Van Sales (UK)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Dungannon Proteins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Hamer International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Kitchen Range Foods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Moy Park (Bondco) Plc</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Moy Park Holdings (Europe)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Moy Park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Moy Park Newco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Noon Products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Oakhouse Foods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O'Kane Blue Rose (Newco 1)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O'Kane Poultry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Onix Investments UK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Pilgrim's Food Masters Holdings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Pilgrim's Food Masters UK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Pilgrim's Pride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Pilgrim's Shared Services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Pioneer Brands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Pilgrim's UK Lamb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Rollover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Spurway Foods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4"/>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 &amp; J. Parker (Wholesale) Ltd.</w:t>
            </w:r>
          </w:p>
        </w:tc>
        <w:tc>
          <w:tcPr>
            <w:tcW w:w="726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0840"/>
          </w:cols>
          <w:pgMar w:left="360" w:top="887" w:right="699" w:bottom="1440" w:gutter="0" w:footer="0" w:header="0"/>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consent to the incorporation by reference in the registration statements (Nos. 333-179563, 333-182586, 333-237154, and 333-288395) on Form S-8, registration statement (No. 333-268974) on Form S-4, and registration statement (No. 333-270754) on Form S-3 of our report dated February 11, 2026, with respect to the consolidated financial statements of Pilgrim's Pride Corporation and the effectiveness of internal control over financial reporting.</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2026</w:t>
      </w:r>
    </w:p>
    <w:p>
      <w:pPr>
        <w:sectPr>
          <w:pgSz w:w="11900" w:h="16838" w:orient="portrait"/>
          <w:cols w:equalWidth="0" w:num="1">
            <w:col w:w="11200"/>
          </w:cols>
          <w:pgMar w:left="320" w:top="1130" w:right="379" w:bottom="1440" w:gutter="0" w:footer="0" w:header="0"/>
        </w:sectPr>
      </w:pPr>
    </w:p>
    <w:bookmarkStart w:id="106" w:name="page107"/>
    <w:bookmarkEnd w:id="106"/>
    <w:p>
      <w:pPr>
        <w:ind w:left="50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Fabio Sandri, certify that:</w:t>
      </w:r>
    </w:p>
    <w:p>
      <w:pPr>
        <w:spacing w:after="0" w:line="17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28, 2025, of Pilgrim's Pride Corporation;</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Fabio Sandri</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Fabio Sandri</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07" w:name="page108"/>
    <w:bookmarkEnd w:id="107"/>
    <w:p>
      <w:pPr>
        <w:ind w:left="50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Galvanoni, certify that:</w:t>
      </w:r>
    </w:p>
    <w:p>
      <w:pPr>
        <w:spacing w:after="0" w:line="171"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28, 2025, of Pilgrim's Pride Corporation;</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Galvanoni</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Galvanoni</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08" w:name="page109"/>
    <w:bookmarkEnd w:id="108"/>
    <w:p>
      <w:pPr>
        <w:ind w:left="5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28, 2025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Fabio Sandri</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Fabio Sandri</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09" w:name="page110"/>
    <w:bookmarkEnd w:id="109"/>
    <w:p>
      <w:pPr>
        <w:ind w:left="50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28, 2025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Galvanoni</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Galvanoni</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4"/>
    </w:lvl>
  </w:abstractNum>
  <w:abstractNum w:abstractNumId="18">
    <w:nsid w:val="5577F8E1"/>
    <w:multiLevelType w:val="hybridMultilevel"/>
    <w:lvl w:ilvl="0">
      <w:lvlJc w:val="left"/>
      <w:lvlText w:val="(%1)"/>
      <w:numFmt w:val="decimal"/>
      <w:start w:val="3"/>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decimal"/>
      <w:start w:val="1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2"/>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2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lvl w:ilvl="1">
      <w:lvlJc w:val="left"/>
      <w:lvlText w:val="(%2)"/>
      <w:numFmt w:val="lowerRoman"/>
      <w:start w:val="1"/>
    </w:lvl>
  </w:abstractNum>
  <w:abstractNum w:abstractNumId="45">
    <w:nsid w:val="32FFF902"/>
    <w:multiLevelType w:val="hybridMultilevel"/>
    <w:lvl w:ilvl="0">
      <w:lvlJc w:val="left"/>
      <w:lvlText w:val="%1"/>
      <w:numFmt w:val="decimal"/>
      <w:start w:val="19"/>
    </w:lvl>
  </w:abstractNum>
  <w:abstractNum w:abstractNumId="46">
    <w:nsid w:val="684A481A"/>
    <w:multiLevelType w:val="hybridMultilevel"/>
    <w:lvl w:ilvl="0">
      <w:lvlJc w:val="left"/>
      <w:lvlText w:val="%1"/>
      <w:numFmt w:val="decimal"/>
      <w:start w:val="21"/>
    </w:lvl>
  </w:abstractNum>
  <w:abstractNum w:abstractNumId="47">
    <w:nsid w:val="579478FE"/>
    <w:multiLevelType w:val="hybridMultilevel"/>
    <w:lvl w:ilvl="0">
      <w:lvlJc w:val="left"/>
      <w:lvlText w:val="%1"/>
      <w:numFmt w:val="decimal"/>
      <w:start w:val="97"/>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68" Type="http://schemas.openxmlformats.org/officeDocument/2006/relationships/hyperlink" Target="https://www.sec.gov/ix?doc=/Archives/edgar/data/802481/000080248124000098/ppc-20241223.htm" TargetMode="External"/><Relationship Id="rId169" Type="http://schemas.openxmlformats.org/officeDocument/2006/relationships/hyperlink" Target="https://www.sec.gov/Archives/edgar/data/802481/000080248124000098/ppcstockholderagmtex102.htm" TargetMode="External"/><Relationship Id="rId170" Type="http://schemas.openxmlformats.org/officeDocument/2006/relationships/hyperlink" Target="https://www.sec.gov/Archives/edgar/data/802481/000080248109000061/ex4_1.htm" TargetMode="External"/><Relationship Id="rId171" Type="http://schemas.openxmlformats.org/officeDocument/2006/relationships/hyperlink" Target="https://www.sec.gov/Archives/edgar/data/802481/000080248121000040/exhibit41-ppcxindenture2.htm" TargetMode="External"/><Relationship Id="rId172" Type="http://schemas.openxmlformats.org/officeDocument/2006/relationships/hyperlink" Target="https://www.sec.gov/Archives/edgar/data/802481/000080248121000082/ex41indenture2032notes.htm" TargetMode="External"/><Relationship Id="rId173" Type="http://schemas.openxmlformats.org/officeDocument/2006/relationships/hyperlink" Target="https://www.sec.gov/Archives/edgar/data/802481/000080248122000012/ppc-12262021exhibit49.htm" TargetMode="External"/><Relationship Id="rId174" Type="http://schemas.openxmlformats.org/officeDocument/2006/relationships/hyperlink" Target="https://www.sec.gov/Archives/edgar/data/802481/000080248122000088/ex41ppcindenture2031note.htm" TargetMode="External"/><Relationship Id="rId175" Type="http://schemas.openxmlformats.org/officeDocument/2006/relationships/hyperlink" Target="https://www.sec.gov/Archives/edgar/data/802481/000080248122000088/ex42ppcindenture2032note.htm" TargetMode="External"/><Relationship Id="rId176" Type="http://schemas.openxmlformats.org/officeDocument/2006/relationships/hyperlink" Target="https://www.sec.gov/Archives/edgar/data/802481/000119312523106498/d461971dex41.htm" TargetMode="External"/><Relationship Id="rId178" Type="http://schemas.openxmlformats.org/officeDocument/2006/relationships/hyperlink" Target="https://www.sec.gov/Archives/edgar/data/802481/000080248123000074/ppc-06252023exhibit43.htm" TargetMode="External"/><Relationship Id="rId179" Type="http://schemas.openxmlformats.org/officeDocument/2006/relationships/hyperlink" Target="https://www.sec.gov/Archives/edgar/data/802481/000080248123000078/ex41ppcsecondsupplementa.htm" TargetMode="External"/><Relationship Id="rId180" Type="http://schemas.openxmlformats.org/officeDocument/2006/relationships/hyperlink" Target="https://www.sec.gov/Archives/edgar/data/802481/000080248120000014/exhibit101ppc2019ltip.htm" TargetMode="External"/><Relationship Id="rId181" Type="http://schemas.openxmlformats.org/officeDocument/2006/relationships/hyperlink" Target="https://www.sec.gov/Archives/edgar/data/802481/000080248121000051/ppc-03282021exhibit101.htm" TargetMode="External"/><Relationship Id="rId182" Type="http://schemas.openxmlformats.org/officeDocument/2006/relationships/hyperlink" Target="https://www.sec.gov/Archives/edgar/data/802481/000080248122000081/ex101moyparkrevolvingfac.htm" TargetMode="External"/><Relationship Id="rId183" Type="http://schemas.openxmlformats.org/officeDocument/2006/relationships/hyperlink" Target="https://www.sec.gov/Archives/edgar/data/802481/000080248123000076/ex101ppcrevolvingfacilit.htm" TargetMode="External"/><Relationship Id="rId184" Type="http://schemas.openxmlformats.org/officeDocument/2006/relationships/hyperlink" Target="https://www.sec.gov/Archives/edgar/data/802481/000080248123000081/ex46bbvarevolvingfacilit.htm" TargetMode="External"/><Relationship Id="rId185" Type="http://schemas.openxmlformats.org/officeDocument/2006/relationships/hyperlink" Target="https://www.sec.gov/Archives/edgar/data/802481/000080248125000066/ppcrestated2019ltip.htm" TargetMode="External"/><Relationship Id="rId186" Type="http://schemas.openxmlformats.org/officeDocument/2006/relationships/hyperlink" Target="https://www.sec.gov/Archives/edgar/data/802481/000080248125000011/ex19insidertradingpolicy.htm" TargetMode="External"/><Relationship Id="rId187" Type="http://schemas.openxmlformats.org/officeDocument/2006/relationships/hyperlink" Target="https://www.sec.gov/Archives/edgar/data/802481/000080248124000015/ppc-2023x12x31xexh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2026-02-12T06:39:48Z</dcterms:created>
  <dcterms:modified xsi:type="dcterms:W3CDTF">2026-02-12T06:39:48Z</dcterms:modified>
</cp:coreProperties>
</file>