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74295</wp:posOffset>
            </wp:positionV>
            <wp:extent cx="219075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075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0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29, 2011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PILGRIM'S PRIDE CORPORATION</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500" w:type="dxa"/>
        <w:tblCellMar>
          <w:top w:w="0" w:type="dxa"/>
          <w:left w:w="0" w:type="dxa"/>
          <w:bottom w:w="0" w:type="dxa"/>
          <w:right w:w="0" w:type="dxa"/>
        </w:tblCellMar>
      </w:tblPr>
      <w:tr>
        <w:trPr>
          <w:trHeight w:val="220"/>
        </w:trPr>
        <w:tc>
          <w:tcPr>
            <w:tcW w:w="3660" w:type="dxa"/>
            <w:vAlign w:val="bottom"/>
          </w:tcPr>
          <w:p>
            <w:pPr>
              <w:jc w:val="center"/>
              <w:ind w:right="390"/>
              <w:spacing w:after="0"/>
              <w:rPr>
                <w:sz w:val="20"/>
                <w:szCs w:val="20"/>
                <w:color w:val="auto"/>
              </w:rPr>
            </w:pPr>
            <w:r>
              <w:rPr>
                <w:rFonts w:ascii="Arial" w:cs="Arial" w:eastAsia="Arial" w:hAnsi="Arial"/>
                <w:sz w:val="18"/>
                <w:szCs w:val="18"/>
                <w:b w:val="1"/>
                <w:bCs w:val="1"/>
                <w:color w:val="auto"/>
                <w:w w:val="93"/>
              </w:rPr>
              <w:t>Delaware</w:t>
            </w:r>
          </w:p>
        </w:tc>
        <w:tc>
          <w:tcPr>
            <w:tcW w:w="3180" w:type="dxa"/>
            <w:vAlign w:val="bottom"/>
          </w:tcPr>
          <w:p>
            <w:pPr>
              <w:jc w:val="right"/>
              <w:ind w:right="1350"/>
              <w:spacing w:after="0"/>
              <w:rPr>
                <w:sz w:val="20"/>
                <w:szCs w:val="20"/>
                <w:color w:val="auto"/>
              </w:rPr>
            </w:pPr>
            <w:r>
              <w:rPr>
                <w:rFonts w:ascii="Arial" w:cs="Arial" w:eastAsia="Arial" w:hAnsi="Arial"/>
                <w:sz w:val="18"/>
                <w:szCs w:val="18"/>
                <w:b w:val="1"/>
                <w:bCs w:val="1"/>
                <w:color w:val="auto"/>
              </w:rPr>
              <w:t>1-9273</w:t>
            </w:r>
          </w:p>
        </w:tc>
        <w:tc>
          <w:tcPr>
            <w:tcW w:w="3160" w:type="dxa"/>
            <w:vAlign w:val="bottom"/>
          </w:tcPr>
          <w:p>
            <w:pPr>
              <w:jc w:val="center"/>
              <w:ind w:left="610"/>
              <w:spacing w:after="0"/>
              <w:rPr>
                <w:sz w:val="20"/>
                <w:szCs w:val="20"/>
                <w:color w:val="auto"/>
              </w:rPr>
            </w:pPr>
            <w:r>
              <w:rPr>
                <w:rFonts w:ascii="Arial" w:cs="Arial" w:eastAsia="Arial" w:hAnsi="Arial"/>
                <w:sz w:val="18"/>
                <w:szCs w:val="18"/>
                <w:b w:val="1"/>
                <w:bCs w:val="1"/>
                <w:color w:val="auto"/>
                <w:w w:val="89"/>
              </w:rPr>
              <w:t>75-1285071</w:t>
            </w:r>
          </w:p>
        </w:tc>
      </w:tr>
      <w:tr>
        <w:trPr>
          <w:trHeight w:val="230"/>
        </w:trPr>
        <w:tc>
          <w:tcPr>
            <w:tcW w:w="3660" w:type="dxa"/>
            <w:vAlign w:val="bottom"/>
          </w:tcPr>
          <w:p>
            <w:pPr>
              <w:jc w:val="center"/>
              <w:ind w:right="390"/>
              <w:spacing w:after="0"/>
              <w:rPr>
                <w:sz w:val="20"/>
                <w:szCs w:val="20"/>
                <w:color w:val="auto"/>
              </w:rPr>
            </w:pPr>
            <w:r>
              <w:rPr>
                <w:rFonts w:ascii="Arial" w:cs="Arial" w:eastAsia="Arial" w:hAnsi="Arial"/>
                <w:sz w:val="18"/>
                <w:szCs w:val="18"/>
                <w:color w:val="auto"/>
                <w:w w:val="93"/>
              </w:rPr>
              <w:t>(State or other jurisdiction of incorporation)</w:t>
            </w:r>
          </w:p>
        </w:tc>
        <w:tc>
          <w:tcPr>
            <w:tcW w:w="3180" w:type="dxa"/>
            <w:vAlign w:val="bottom"/>
          </w:tcPr>
          <w:p>
            <w:pPr>
              <w:jc w:val="center"/>
              <w:ind w:right="130"/>
              <w:spacing w:after="0"/>
              <w:rPr>
                <w:sz w:val="20"/>
                <w:szCs w:val="20"/>
                <w:color w:val="auto"/>
              </w:rPr>
            </w:pPr>
            <w:r>
              <w:rPr>
                <w:rFonts w:ascii="Arial" w:cs="Arial" w:eastAsia="Arial" w:hAnsi="Arial"/>
                <w:sz w:val="18"/>
                <w:szCs w:val="18"/>
                <w:color w:val="auto"/>
                <w:w w:val="93"/>
              </w:rPr>
              <w:t>(Commission File Number)</w:t>
            </w:r>
          </w:p>
        </w:tc>
        <w:tc>
          <w:tcPr>
            <w:tcW w:w="3160" w:type="dxa"/>
            <w:vAlign w:val="bottom"/>
          </w:tcPr>
          <w:p>
            <w:pPr>
              <w:jc w:val="center"/>
              <w:ind w:left="5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66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1770 Promontory Circle</w:t>
            </w:r>
          </w:p>
        </w:tc>
        <w:tc>
          <w:tcPr>
            <w:tcW w:w="3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20"/>
        </w:trPr>
        <w:tc>
          <w:tcPr>
            <w:tcW w:w="366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Greeley, CO</w:t>
            </w:r>
          </w:p>
        </w:tc>
        <w:tc>
          <w:tcPr>
            <w:tcW w:w="3180" w:type="dxa"/>
            <w:vAlign w:val="bottom"/>
          </w:tcPr>
          <w:p>
            <w:pPr>
              <w:spacing w:after="0"/>
              <w:rPr>
                <w:sz w:val="19"/>
                <w:szCs w:val="19"/>
                <w:color w:val="auto"/>
              </w:rPr>
            </w:pPr>
          </w:p>
        </w:tc>
        <w:tc>
          <w:tcPr>
            <w:tcW w:w="3160" w:type="dxa"/>
            <w:vAlign w:val="bottom"/>
          </w:tcPr>
          <w:p>
            <w:pPr>
              <w:jc w:val="center"/>
              <w:ind w:left="610"/>
              <w:spacing w:after="0"/>
              <w:rPr>
                <w:sz w:val="20"/>
                <w:szCs w:val="20"/>
                <w:color w:val="auto"/>
              </w:rPr>
            </w:pPr>
            <w:r>
              <w:rPr>
                <w:rFonts w:ascii="Arial" w:cs="Arial" w:eastAsia="Arial" w:hAnsi="Arial"/>
                <w:sz w:val="18"/>
                <w:szCs w:val="18"/>
                <w:b w:val="1"/>
                <w:bCs w:val="1"/>
                <w:color w:val="auto"/>
                <w:w w:val="89"/>
              </w:rPr>
              <w:t>80634-9038</w:t>
            </w:r>
          </w:p>
        </w:tc>
      </w:tr>
      <w:tr>
        <w:trPr>
          <w:trHeight w:val="230"/>
        </w:trPr>
        <w:tc>
          <w:tcPr>
            <w:tcW w:w="3660" w:type="dxa"/>
            <w:vAlign w:val="bottom"/>
          </w:tcPr>
          <w:p>
            <w:pPr>
              <w:jc w:val="center"/>
              <w:ind w:right="390"/>
              <w:spacing w:after="0"/>
              <w:rPr>
                <w:sz w:val="20"/>
                <w:szCs w:val="20"/>
                <w:color w:val="auto"/>
              </w:rPr>
            </w:pPr>
            <w:r>
              <w:rPr>
                <w:rFonts w:ascii="Arial" w:cs="Arial" w:eastAsia="Arial" w:hAnsi="Arial"/>
                <w:sz w:val="18"/>
                <w:szCs w:val="18"/>
                <w:color w:val="auto"/>
                <w:w w:val="92"/>
              </w:rPr>
              <w:t>(Address of principal executive offices)</w:t>
            </w:r>
          </w:p>
        </w:tc>
        <w:tc>
          <w:tcPr>
            <w:tcW w:w="3180" w:type="dxa"/>
            <w:vAlign w:val="bottom"/>
          </w:tcPr>
          <w:p>
            <w:pPr>
              <w:spacing w:after="0"/>
              <w:rPr>
                <w:sz w:val="20"/>
                <w:szCs w:val="20"/>
                <w:color w:val="auto"/>
              </w:rPr>
            </w:pPr>
          </w:p>
        </w:tc>
        <w:tc>
          <w:tcPr>
            <w:tcW w:w="3160" w:type="dxa"/>
            <w:vAlign w:val="bottom"/>
          </w:tcPr>
          <w:p>
            <w:pPr>
              <w:jc w:val="center"/>
              <w:ind w:left="59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2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(970) 506-8000</w:t>
      </w: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72390</wp:posOffset>
            </wp:positionV>
            <wp:extent cx="219075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9075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04" w:right="359" w:bottom="1440" w:gutter="0" w:footer="0" w:header="0"/>
        </w:sectPr>
      </w:pPr>
    </w:p>
    <w:bookmarkStart w:id="1" w:name="page2"/>
    <w:bookmarkEnd w:id="1"/>
    <w:p>
      <w:pPr>
        <w:ind w:left="80"/>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Item 2.02 and the Exhibit attached hereto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July 29, 2011 Pilgrim's Pride Corporation reported a net loss of $128.1 million, or $0.60 per share, on net sales of $1.9 billion for the second quarter ended June 26, 2011. For the comparable quarter a year ago, the company reported net earnings of $32.9 million, or $0.15 per share, on total sales of $1.7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608965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 w:name="page3"/>
    <w:bookmarkEnd w:id="2"/>
    <w:p>
      <w:pPr>
        <w:ind w:left="60"/>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is furnished as Exhibit 99.1 to this Form 8−K.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  Description</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67" w:right="1440" w:bottom="1440" w:gutter="0" w:footer="0" w:header="0"/>
        </w:sectPr>
      </w:pPr>
    </w:p>
    <w:bookmarkStart w:id="3" w:name="page4"/>
    <w:bookmarkEnd w:id="3"/>
    <w:p>
      <w:pPr>
        <w:ind w:left="530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PILGRIM'S PRIDE CORPORATION</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ind w:left="660"/>
              <w:spacing w:after="0"/>
              <w:rPr>
                <w:sz w:val="20"/>
                <w:szCs w:val="20"/>
                <w:color w:val="auto"/>
              </w:rPr>
            </w:pPr>
            <w:r>
              <w:rPr>
                <w:rFonts w:ascii="Arial" w:cs="Arial" w:eastAsia="Arial" w:hAnsi="Arial"/>
                <w:sz w:val="18"/>
                <w:szCs w:val="18"/>
                <w:color w:val="auto"/>
              </w:rPr>
              <w:t>Date: July 29, 2011</w:t>
            </w:r>
          </w:p>
        </w:tc>
        <w:tc>
          <w:tcPr>
            <w:tcW w:w="2600" w:type="dxa"/>
            <w:vAlign w:val="bottom"/>
            <w:gridSpan w:val="2"/>
          </w:tcPr>
          <w:p>
            <w:pPr>
              <w:ind w:left="1160"/>
              <w:spacing w:after="0"/>
              <w:rPr>
                <w:sz w:val="20"/>
                <w:szCs w:val="20"/>
                <w:color w:val="auto"/>
              </w:rPr>
            </w:pPr>
            <w:r>
              <w:rPr>
                <w:rFonts w:ascii="Arial" w:cs="Arial" w:eastAsia="Arial" w:hAnsi="Arial"/>
                <w:sz w:val="18"/>
                <w:szCs w:val="18"/>
                <w:color w:val="auto"/>
                <w:w w:val="90"/>
              </w:rPr>
              <w:t>By: /s/ Fabio Sandri</w:t>
            </w: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Fabio Sandri</w:t>
            </w:r>
          </w:p>
        </w:tc>
        <w:tc>
          <w:tcPr>
            <w:tcW w:w="1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bl>
    <w:p>
      <w:pPr>
        <w:ind w:left="6120"/>
        <w:spacing w:after="0"/>
        <w:rPr>
          <w:sz w:val="20"/>
          <w:szCs w:val="20"/>
          <w:color w:val="auto"/>
        </w:rPr>
      </w:pPr>
      <w:r>
        <w:rPr>
          <w:rFonts w:ascii="Arial" w:cs="Arial" w:eastAsia="Arial" w:hAnsi="Arial"/>
          <w:sz w:val="22"/>
          <w:szCs w:val="22"/>
          <w:color w:val="auto"/>
        </w:rPr>
        <w:t xml:space="preserve">Chief </w:t>
      </w: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1377" w:right="89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  Description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April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466725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37" w:right="1440"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Exhibit 99.1</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PILGRIM'S PRIDE REPORTS FINANCIAL RESULTS FOR SECOND QUARTER OF FISCAL 2011</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GREELEY, CO, July 29, 2011 – Pilgrim's Pride Corporation (NYSE: PPC) today reported a net loss of $128.1 million, or $0.60 per share, on net sales of $1.9 billion for the second quarter ended June 26, 2011. For the comparable quarter a year ago, the company reported net earnings of $32.9 million, or $0.15 per share, on total sales of $1.7 billion.</w:t>
      </w:r>
    </w:p>
    <w:p>
      <w:pPr>
        <w:spacing w:after="0" w:line="20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second-quarter financial results reflect the significant challenges facing our industry this year from the combination of record-high feed costs, weaker-than-expected consumer demand and an oversupply of chicken,” said Bill Lovette, president and chief executive officer. “Pilgrim’s total feed-ingredient purchases through the first six months of 2011 were more than $400 million higher than a year ago. At this time of year we are usually benefitting from stronger market pricing and increased demand from both foodservice and retail, but to date neither that demand nor pricing has materialized.”</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Market prices for some key chicken products were down sharply compared to a year ago. Boneless skinless breast meat in the second quarter averaged $1.34 per pound versus $1.61 a year ago, while the market price for wings was $0.77, compared to $1.23/lb. last year. The average market price for leg quarters was $0.46/pound, up $0.10 from a year ago, while Georgia Dock prices stayed essentially flat at $0.865/lb.</w:t>
      </w:r>
    </w:p>
    <w:p>
      <w:pPr>
        <w:spacing w:after="0" w:line="20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At the same time, feed-ingredient costs climbed dramatically. Market prices for corn averaged $6.99 per bushel, up 92.5% from a year ago, while soybean meal averaged $361.15 per ton, a 29.4% increase. Feed ingredient purchases, which represent the largest component of Pilgrim’s cost of goods sold, were nearly $255 million higher during the quarter than the year-ago period. The company recognized $5.7 million in net mark-to-market losses related to changes in the fair value of its derivatives during the second quarter, as corn prices dropped sharply in late June as the quarter closed.</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Lovette said that Pilgrim’s is making structural changes in its book of business in order to share the cost burden from higher grain prices. The company is in discussion with customers to move toward a more viable business model that ties pricing for chicken products closer to the market, such as through a combination of market- and cost-based pricing.</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second quarter, Pilgrim’s sales and volume in foodservice and retail rose slightly. Export demand remained very strong during the quarter, with sales, volume and pricing hitting all-time highs for the period. Year-to-date export sales are up 65% and volumes have climbed 50% -- far outpacing growth in overall U.S. chicken exports.</w:t>
      </w:r>
    </w:p>
    <w:p>
      <w:pPr>
        <w:spacing w:after="0" w:line="2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partnership with JBS USA is helping us enter new markets and increase our penetration in many existing markets,” Lovette explained, noting that Pilgrim’s share of the U.S. export market for chicken has climbed from 17% to 24%.</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He said the company is making good improvement toward its target of $400 million annualized improvement in plant costs and yield improvements by end of 2011. Through the first six months of the year, Pilgrim’s had achieved an estimated $270 million in annualized improvement. In addition, Pilgrim’s is moving closer to its goal of performing in the top 25% of chicken companies as measured by Agristats, an industry benchmarking service.</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is a clear sign that we are focused on the right things that can move the needle for us, including improving the mix impact. We need to capture every opportunity to improve our business and maximize the sales mix from each bird that comes through our plants,” he said.</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Pilgrim’s cost-reduction efforts are continuing, as Selling, General &amp; Administrative (SG&amp;A) expense as a percent of sales was 2.7%, down from 3.7% a year ago. The company also continues to realize synergies from its integration with JBS USA. To date, the two companies have captured an estimated $258 million in combined synergies through areas such as transportation and logistics, purchasing, information technology and insurance.</w:t>
      </w:r>
    </w:p>
    <w:p>
      <w:pPr>
        <w:spacing w:after="0" w:line="19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June 24, Pilgrim’s announced an amendment to the financial covenants in its credit facility. The amendment suspends the existing fixed-charge coverage covenant and the senior secured debt covenant until the fourth quarter of fiscal 2012 and sets certain financial covenant levels at terms more favorable to the company. In support of that agreement, JBS USA provided a $50 million loan to Pilgrim’s.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ind w:right="100"/>
        <w:spacing w:after="0" w:line="257" w:lineRule="auto"/>
        <w:rPr>
          <w:sz w:val="20"/>
          <w:szCs w:val="20"/>
          <w:color w:val="auto"/>
        </w:rPr>
      </w:pPr>
      <w:r>
        <w:rPr>
          <w:rFonts w:ascii="Arial" w:cs="Arial" w:eastAsia="Arial" w:hAnsi="Arial"/>
          <w:sz w:val="18"/>
          <w:szCs w:val="18"/>
          <w:color w:val="auto"/>
        </w:rPr>
        <w:t>“This is an unprecedented time for our industry,” Lovette said. “But industry production cuts are accelerating, with egg sets so far in July declining 6% when compared to a year ago. At the same time, we remain focused on the fundamentals of our business – improving yields and sales mix, reducing costs and operating more efficiently. We have attracted new talent in key leadership positions, and we are showing good improvement in those areas of our business that we can control. We have ample liquidity and the amendment to our financial covenants gives us runway to significantly improve our business and to position Pilgrim’s as a much leaner and better managed company for 2012.”</w:t>
      </w:r>
    </w:p>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first six months of fiscal 2011, Pilgrim’s reported a net loss of $248.9 million, or $1.16 per share, on sales of $3.8 billion. This compares to a net loss of $12.6 million, or $0.06 per share for the comparable period in 2010. The year-ago results included net reorganization expenses of $18.5 million and administrative restructuring expenses of $52.7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 conference call to discuss the company's quarterly results will be held today at 11 a.m. Eastern. To listen live via telephone, call toll-free 800-441-0022, passcode 8443047. International callers should dial 719-325-2431, passcode 8443047. The presentation will be broadcast live over the Internet at </w:t>
      </w:r>
      <w:r>
        <w:rPr>
          <w:rFonts w:ascii="Arial" w:cs="Arial" w:eastAsia="Arial" w:hAnsi="Arial"/>
          <w:sz w:val="18"/>
          <w:szCs w:val="18"/>
          <w:u w:val="single" w:color="auto"/>
          <w:color w:val="auto"/>
        </w:rPr>
        <w:t>http://www.videonewswire.com/event.asp?id=80734</w:t>
      </w:r>
      <w:r>
        <w:rPr>
          <w:rFonts w:ascii="Arial" w:cs="Arial" w:eastAsia="Arial" w:hAnsi="Arial"/>
          <w:sz w:val="18"/>
          <w:szCs w:val="18"/>
          <w:color w:val="auto"/>
        </w:rPr>
        <w:t>. (Please copy and paste the link into the browser.)</w:t>
      </w:r>
    </w:p>
    <w:p>
      <w:pPr>
        <w:spacing w:after="0" w:line="2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Additionally, the company will post a slide presentation on its website at </w:t>
      </w:r>
      <w:r>
        <w:rPr>
          <w:rFonts w:ascii="Arial" w:cs="Arial" w:eastAsia="Arial" w:hAnsi="Arial"/>
          <w:sz w:val="18"/>
          <w:szCs w:val="18"/>
          <w:u w:val="single" w:color="auto"/>
          <w:color w:val="auto"/>
        </w:rPr>
        <w:t>http://www.pilgrims.com</w:t>
      </w:r>
      <w:r>
        <w:rPr>
          <w:rFonts w:ascii="Arial" w:cs="Arial" w:eastAsia="Arial" w:hAnsi="Arial"/>
          <w:sz w:val="18"/>
          <w:szCs w:val="18"/>
          <w:color w:val="auto"/>
        </w:rPr>
        <w:t xml:space="preserve"> which may be viewed by listeners in connection with today’s conference call. The webcast will be available for replay within approximately two hours of the conclusion of the call. A toll-free telephone replay will be available that same day beginning at approximately noon Mountain time by calling 888-203-1112, passcode 8443047. International callers may dial 719-457-0820, passcode 8443047. The replay will be available for 30 days.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Pilgrim’s Pride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Pilgrim's employs approximately 42,000 people and operates chicken processing plants and prepared-foods facilities in 12 states, Puerto Rico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Mexico. The Company's primary distribution is through retailers and foodservice distributors. For more information, please visit </w:t>
      </w:r>
      <w:r>
        <w:rPr>
          <w:rFonts w:ascii="Arial" w:cs="Arial" w:eastAsia="Arial" w:hAnsi="Arial"/>
          <w:sz w:val="17"/>
          <w:szCs w:val="17"/>
          <w:u w:val="single" w:color="auto"/>
          <w:color w:val="auto"/>
        </w:rPr>
        <w:t>http://www.pilgrims.com</w:t>
      </w:r>
      <w:r>
        <w:rPr>
          <w:rFonts w:ascii="Arial" w:cs="Arial" w:eastAsia="Arial" w:hAnsi="Arial"/>
          <w:sz w:val="17"/>
          <w:szCs w:val="17"/>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i w:val="1"/>
          <w:iCs w:val="1"/>
          <w:color w:val="auto"/>
        </w:rPr>
        <w:t>Statements contained in this press release that state the intentions, plans, hopes, beliefs, anticipations, expectations or predictions of the future of Pilgrim's Pride Corporation and its management are forward-looking statements. It is important to note that the actual results could differ materially from those projected in such forward-looking statements. Factors that could cause actual results to differ materially from those projected in such forward-looking statements include: matters affecting the poultry industry generally; the ability to execute the company’s business plan to achieve desired cost savings and profitability; the ability of the company to achieve the anticipated synergistic gains from the sale of 64% of its common stock to JBS USA Holdings, Inc; the ability of the company to re-open its idled facilities in the manner and on the time schedule planned due to, among other things, the company’s dependence on commodity prices and economic conditions; future pricing for feed ingredients and the company’s products; additional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particularly in light of Pilgrim’s Pride’s substantial leverage; restrictions imposed by, and as a result of, Pilgrim’s Pride’s substantial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 including exports into Russia, the anti-dumping proceeding in Ukraine and the anti-dumping and countervailing duty proceeding in China; and the impact of uncertainties of litigation as well as other risks described under "Risk Factors" in the Company’s Annual Report on Form 10-K and subsequent filings with the Securities and Exchange Commission. Pilgrim's Pride Corporation undertakes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PILGRIM'S PRIDE CORPORATION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2380" w:type="dxa"/>
            <w:vAlign w:val="bottom"/>
            <w:tcBorders>
              <w:top w:val="single" w:sz="8" w:color="auto"/>
              <w:bottom w:val="single" w:sz="8" w:color="auto"/>
            </w:tcBorders>
            <w:gridSpan w:val="5"/>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2320" w:type="dxa"/>
            <w:vAlign w:val="bottom"/>
            <w:tcBorders>
              <w:top w:val="single" w:sz="8" w:color="auto"/>
              <w:bottom w:val="single" w:sz="8" w:color="auto"/>
            </w:tcBorders>
            <w:gridSpan w:val="4"/>
            <w:shd w:val="clear" w:color="auto" w:fill="CCEEFF"/>
          </w:tcPr>
          <w:p>
            <w:pPr>
              <w:ind w:left="100"/>
              <w:spacing w:after="0"/>
              <w:rPr>
                <w:sz w:val="20"/>
                <w:szCs w:val="20"/>
                <w:color w:val="auto"/>
              </w:rPr>
            </w:pPr>
            <w:r>
              <w:rPr>
                <w:rFonts w:ascii="Arial" w:cs="Arial" w:eastAsia="Arial" w:hAnsi="Arial"/>
                <w:sz w:val="18"/>
                <w:szCs w:val="18"/>
                <w:b w:val="1"/>
                <w:bCs w:val="1"/>
                <w:color w:val="auto"/>
              </w:rPr>
              <w:t>Twenty-Six Weeks Ended</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9"/>
              </w:rPr>
              <w:t>June 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27,</w:t>
            </w:r>
          </w:p>
        </w:tc>
        <w:tc>
          <w:tcPr>
            <w:tcW w:w="18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26,</w:t>
            </w:r>
          </w:p>
        </w:tc>
        <w:tc>
          <w:tcPr>
            <w:tcW w:w="1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b w:val="1"/>
                <w:bCs w:val="1"/>
                <w:color w:val="auto"/>
                <w:w w:val="89"/>
              </w:rPr>
              <w:t>(In thousands, except per share data)</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1,922,690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1,707,568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3,815,166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3,350,486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1,968,918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1,575,077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3,914,504</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132,491</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(99,338)</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106,144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Administrative restructuring charges,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16,882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(98,706)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51,891</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(205,482)</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54,933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Miscellaneous,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(4,504)</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(5,198)</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Income (loss) before reorganization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items and income 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(124,462)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30,907</w:t>
            </w: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(254,229)</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(27,042)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(2,178)</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33,085</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(254,229)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(6,402)</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(127,932)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34,588</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(247,827)</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w:t>
            </w: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1,670</w:t>
            </w: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Pilgrim’s Pride Corporation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(128,141)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(248,901)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shares of common stock</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214,282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214,282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214,282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214,282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214,282</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(loss) per share of common stock</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(0.60)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PILGRIM’S PRIDE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8"/>
              </w:rPr>
              <w:t>June 26,</w:t>
            </w:r>
          </w:p>
        </w:tc>
        <w:tc>
          <w:tcPr>
            <w:tcW w:w="8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December 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40" w:type="dxa"/>
            <w:vAlign w:val="bottom"/>
            <w:gridSpan w:val="6"/>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34,564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61,483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60,953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available-for-sale securities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Trade accounts and other receivables, less allowance</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for doubtful accounts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364,995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321,300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 receivable from JBS USA, LLC</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967,067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1,029,254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deferred tax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96,289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48,162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1,648,539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1,710,465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Investment in available-for-sale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12,224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long-lived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64,804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1,358,378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1,358,136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3,163,202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3,218,898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335,009</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329,780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 payable to JBS USA, LLC</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315,123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297,940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deferred tax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38,744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719,848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1,448,280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Note payable to JBS USA Holdings, Inc.</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113,765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2,335,505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2,140,302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1,443,186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1,442,810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(596,074)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(348,653)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Pilgrim’s Pride Corporation stockholders’ equity</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824,887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827,697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3,163,202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3,218,898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PILGRIM'S PRIDE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Note: “EBITDA” is defined as the sum of income (loss) from continuing operations plus interest, taxes, depreciation and amortization. “Adjusted EBITDA” is defined as the sum of EBITDA plus restructuring charges, reorganization items and loss on early extinguishment of debt less net income attributable to noncontrolling interests. EBITDA is presented because it is used by us and we believe it is frequently used by securities analysts, investors and other interested parties, in addition to and not in lieu of results prepared in conformity with accounting principles generally accepted in the US (“GAAP”), to compare the performance of companies. We believe investors would be interested in our Adjusted EBITDA because this is how our management analyzes EBITDA from continuing operations. The Company also believes that Adjusted EBITDA, in combination with the Company's financial results calculated in accordance with GAAP, provides investors with additional perspective regarding the impact of certain significant items on EBITDA and facilitates a more direct comparison of its performance with its competitors. EBITDA and Adjusted EBITDA are not measurements of financial performance under GAAP. They should not be considered as an alternative to cash flow from operating activities or as a measure of liquidity or an alternative to net income as indicators of our operating performance or any other measures of performance derived in accordance with GAAP.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2380" w:type="dxa"/>
            <w:vAlign w:val="bottom"/>
            <w:tcBorders>
              <w:top w:val="single" w:sz="8" w:color="auto"/>
              <w:bottom w:val="single" w:sz="8" w:color="auto"/>
            </w:tcBorders>
            <w:gridSpan w:val="5"/>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2320" w:type="dxa"/>
            <w:vAlign w:val="bottom"/>
            <w:tcBorders>
              <w:top w:val="single" w:sz="8" w:color="auto"/>
              <w:bottom w:val="single" w:sz="8" w:color="auto"/>
            </w:tcBorders>
            <w:gridSpan w:val="5"/>
            <w:shd w:val="clear" w:color="auto" w:fill="CCEEFF"/>
          </w:tcPr>
          <w:p>
            <w:pPr>
              <w:ind w:left="100"/>
              <w:spacing w:after="0"/>
              <w:rPr>
                <w:sz w:val="20"/>
                <w:szCs w:val="20"/>
                <w:color w:val="auto"/>
              </w:rPr>
            </w:pPr>
            <w:r>
              <w:rPr>
                <w:rFonts w:ascii="Arial" w:cs="Arial" w:eastAsia="Arial" w:hAnsi="Arial"/>
                <w:sz w:val="18"/>
                <w:szCs w:val="18"/>
                <w:b w:val="1"/>
                <w:bCs w:val="1"/>
                <w:color w:val="auto"/>
              </w:rPr>
              <w:t>Twenty-Six Weeks Ended</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June 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27,</w:t>
            </w: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7"/>
          </w:tcPr>
          <w:p>
            <w:pPr>
              <w:jc w:val="right"/>
              <w:ind w:right="280"/>
              <w:spacing w:after="0" w:line="198" w:lineRule="exact"/>
              <w:rPr>
                <w:sz w:val="20"/>
                <w:szCs w:val="20"/>
                <w:color w:val="auto"/>
              </w:rPr>
            </w:pPr>
            <w:r>
              <w:rPr>
                <w:rFonts w:ascii="Arial" w:cs="Arial" w:eastAsia="Arial" w:hAnsi="Arial"/>
                <w:sz w:val="18"/>
                <w:szCs w:val="18"/>
                <w:b w:val="1"/>
                <w:bCs w:val="1"/>
                <w:color w:val="auto"/>
                <w:w w:val="89"/>
              </w:rPr>
              <w:t>(In thousands, except per share</w:t>
            </w:r>
          </w:p>
        </w:tc>
        <w:tc>
          <w:tcPr>
            <w:tcW w:w="2600" w:type="dxa"/>
            <w:vAlign w:val="bottom"/>
            <w:gridSpan w:val="7"/>
          </w:tcPr>
          <w:p>
            <w:pPr>
              <w:jc w:val="right"/>
              <w:ind w:right="140"/>
              <w:spacing w:after="0" w:line="198" w:lineRule="exact"/>
              <w:rPr>
                <w:sz w:val="20"/>
                <w:szCs w:val="20"/>
                <w:color w:val="auto"/>
              </w:rPr>
            </w:pPr>
            <w:r>
              <w:rPr>
                <w:rFonts w:ascii="Arial" w:cs="Arial" w:eastAsia="Arial" w:hAnsi="Arial"/>
                <w:sz w:val="18"/>
                <w:szCs w:val="18"/>
                <w:b w:val="1"/>
                <w:bCs w:val="1"/>
                <w:color w:val="auto"/>
                <w:w w:val="89"/>
              </w:rPr>
              <w:t>(In thousands, except per share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data)</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data)</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(127,932)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34,588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(247,827)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Add:</w:t>
            </w:r>
          </w:p>
        </w:tc>
        <w:tc>
          <w:tcPr>
            <w:tcW w:w="1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expense, net</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53,945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Minus:</w:t>
            </w:r>
          </w:p>
        </w:tc>
        <w:tc>
          <w:tcPr>
            <w:tcW w:w="1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loan costs</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3,761</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114,517</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Add:</w:t>
            </w: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Restructuring charges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(2,178)</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Minus:</w:t>
            </w:r>
          </w:p>
        </w:tc>
        <w:tc>
          <w:tcPr>
            <w:tcW w:w="1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attributable to noncontrolling interest</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Adjusted EBITDA</w:t>
            </w:r>
          </w:p>
        </w:tc>
        <w:tc>
          <w:tcPr>
            <w:tcW w:w="12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(47,550)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127,551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(102,776)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q"/>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2019-12-10T07:55:21Z</dcterms:created>
  <dcterms:modified xsi:type="dcterms:W3CDTF">2019-12-10T07:55:21Z</dcterms:modified>
</cp:coreProperties>
</file>