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5" w:lineRule="exact"/>
        <w:rPr>
          <w:sz w:val="24"/>
          <w:szCs w:val="24"/>
          <w:color w:val="auto"/>
        </w:rPr>
      </w:pPr>
    </w:p>
    <w:p>
      <w:pPr>
        <w:jc w:val="center"/>
        <w:ind w:left="4620"/>
        <w:spacing w:after="0"/>
        <w:tabs>
          <w:tab w:leader="none" w:pos="440" w:val="left"/>
        </w:tabs>
        <w:rPr>
          <w:sz w:val="20"/>
          <w:szCs w:val="20"/>
          <w:color w:val="auto"/>
        </w:rPr>
      </w:pPr>
      <w:r>
        <w:rPr>
          <w:rFonts w:ascii="Times New Roman" w:cs="Times New Roman" w:eastAsia="Times New Roman" w:hAnsi="Times New Roman"/>
          <w:sz w:val="32"/>
          <w:szCs w:val="32"/>
          <w:b w:val="1"/>
          <w:bCs w:val="1"/>
          <w:color w:val="auto"/>
        </w:rPr>
        <w:t>FORM</w:t>
        <w:tab/>
        <w:t>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27940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-220345</wp:posOffset>
            </wp:positionV>
            <wp:extent cx="1543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2026</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PILGRIM'S PRIDE CORPORATION</w:t>
      </w:r>
    </w:p>
    <w:p>
      <w:pPr>
        <w:spacing w:after="0" w:line="201"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274"/>
        </w:trPr>
        <w:tc>
          <w:tcPr>
            <w:tcW w:w="2160" w:type="dxa"/>
            <w:vAlign w:val="bottom"/>
          </w:tcPr>
          <w:p>
            <w:pPr>
              <w:jc w:val="center"/>
              <w:ind w:right="2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jc w:val="right"/>
              <w:ind w:right="1007"/>
              <w:spacing w:after="0"/>
              <w:rPr>
                <w:sz w:val="20"/>
                <w:szCs w:val="20"/>
                <w:color w:val="auto"/>
              </w:rPr>
            </w:pPr>
            <w:r>
              <w:rPr>
                <w:rFonts w:ascii="Times New Roman" w:cs="Times New Roman" w:eastAsia="Times New Roman" w:hAnsi="Times New Roman"/>
                <w:sz w:val="20"/>
                <w:szCs w:val="20"/>
                <w:b w:val="1"/>
                <w:bCs w:val="1"/>
                <w:color w:val="auto"/>
              </w:rPr>
              <w:t>1-9273</w:t>
            </w:r>
          </w:p>
        </w:tc>
        <w:tc>
          <w:tcPr>
            <w:tcW w:w="2860" w:type="dxa"/>
            <w:vAlign w:val="bottom"/>
          </w:tcPr>
          <w:p>
            <w:pPr>
              <w:jc w:val="right"/>
              <w:ind w:right="666"/>
              <w:spacing w:after="0"/>
              <w:rPr>
                <w:sz w:val="20"/>
                <w:szCs w:val="20"/>
                <w:color w:val="auto"/>
              </w:rPr>
            </w:pPr>
            <w:r>
              <w:rPr>
                <w:rFonts w:ascii="Times New Roman" w:cs="Times New Roman" w:eastAsia="Times New Roman" w:hAnsi="Times New Roman"/>
                <w:sz w:val="20"/>
                <w:szCs w:val="20"/>
                <w:b w:val="1"/>
                <w:bCs w:val="1"/>
                <w:color w:val="auto"/>
              </w:rPr>
              <w:t>75-1285071</w:t>
            </w:r>
          </w:p>
        </w:tc>
        <w:tc>
          <w:tcPr>
            <w:tcW w:w="0" w:type="dxa"/>
            <w:vAlign w:val="bottom"/>
          </w:tcPr>
          <w:p>
            <w:pPr>
              <w:spacing w:after="0"/>
              <w:rPr>
                <w:sz w:val="1"/>
                <w:szCs w:val="1"/>
                <w:color w:val="auto"/>
              </w:rPr>
            </w:pPr>
          </w:p>
        </w:tc>
      </w:tr>
      <w:tr>
        <w:trPr>
          <w:trHeight w:val="144"/>
        </w:trPr>
        <w:tc>
          <w:tcPr>
            <w:tcW w:w="2160" w:type="dxa"/>
            <w:vAlign w:val="bottom"/>
          </w:tcPr>
          <w:p>
            <w:pPr>
              <w:jc w:val="center"/>
              <w:ind w:right="237"/>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520" w:type="dxa"/>
            <w:vAlign w:val="bottom"/>
            <w:vMerge w:val="restart"/>
          </w:tcPr>
          <w:p>
            <w:pPr>
              <w:jc w:val="center"/>
              <w:ind w:left="667"/>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vMerge w:val="restart"/>
          </w:tcPr>
          <w:p>
            <w:pPr>
              <w:jc w:val="center"/>
              <w:ind w:left="28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03"/>
        </w:trPr>
        <w:tc>
          <w:tcPr>
            <w:tcW w:w="2160" w:type="dxa"/>
            <w:vAlign w:val="bottom"/>
          </w:tcPr>
          <w:p>
            <w:pPr>
              <w:jc w:val="center"/>
              <w:ind w:right="237"/>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20" w:type="dxa"/>
            <w:vAlign w:val="bottom"/>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2160" w:type="dxa"/>
            <w:vAlign w:val="bottom"/>
          </w:tcPr>
          <w:p>
            <w:pPr>
              <w:jc w:val="center"/>
              <w:ind w:right="237"/>
              <w:spacing w:after="0"/>
              <w:rPr>
                <w:sz w:val="20"/>
                <w:szCs w:val="20"/>
                <w:color w:val="auto"/>
              </w:rPr>
            </w:pPr>
            <w:r>
              <w:rPr>
                <w:rFonts w:ascii="Times New Roman" w:cs="Times New Roman" w:eastAsia="Times New Roman" w:hAnsi="Times New Roman"/>
                <w:sz w:val="18"/>
                <w:szCs w:val="18"/>
                <w:b w:val="1"/>
                <w:bCs w:val="1"/>
                <w:color w:val="auto"/>
                <w:w w:val="98"/>
              </w:rPr>
              <w:t>1770 Promontory Circle</w:t>
            </w:r>
          </w:p>
        </w:tc>
        <w:tc>
          <w:tcPr>
            <w:tcW w:w="3520" w:type="dxa"/>
            <w:vAlign w:val="bottom"/>
          </w:tcPr>
          <w:p>
            <w:pPr>
              <w:spacing w:after="0"/>
              <w:rPr>
                <w:sz w:val="24"/>
                <w:szCs w:val="24"/>
                <w:color w:val="auto"/>
              </w:rPr>
            </w:pPr>
          </w:p>
        </w:tc>
        <w:tc>
          <w:tcPr>
            <w:tcW w:w="2860" w:type="dxa"/>
            <w:vAlign w:val="bottom"/>
          </w:tcPr>
          <w:p>
            <w:pPr>
              <w:jc w:val="right"/>
              <w:ind w:right="1266"/>
              <w:spacing w:after="0"/>
              <w:rPr>
                <w:sz w:val="20"/>
                <w:szCs w:val="20"/>
                <w:color w:val="auto"/>
              </w:rPr>
            </w:pPr>
            <w:r>
              <w:rPr>
                <w:rFonts w:ascii="Times New Roman" w:cs="Times New Roman" w:eastAsia="Times New Roman" w:hAnsi="Times New Roman"/>
                <w:sz w:val="20"/>
                <w:szCs w:val="20"/>
                <w:b w:val="1"/>
                <w:bCs w:val="1"/>
                <w:color w:val="auto"/>
              </w:rPr>
              <w:t>80634-9038</w:t>
            </w:r>
          </w:p>
        </w:tc>
        <w:tc>
          <w:tcPr>
            <w:tcW w:w="0" w:type="dxa"/>
            <w:vAlign w:val="bottom"/>
          </w:tcPr>
          <w:p>
            <w:pPr>
              <w:spacing w:after="0"/>
              <w:rPr>
                <w:sz w:val="1"/>
                <w:szCs w:val="1"/>
                <w:color w:val="auto"/>
              </w:rPr>
            </w:pPr>
          </w:p>
        </w:tc>
      </w:tr>
      <w:tr>
        <w:trPr>
          <w:trHeight w:val="238"/>
        </w:trPr>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Greeley CO</w:t>
            </w:r>
          </w:p>
        </w:tc>
        <w:tc>
          <w:tcPr>
            <w:tcW w:w="3520" w:type="dxa"/>
            <w:vAlign w:val="bottom"/>
          </w:tcPr>
          <w:p>
            <w:pPr>
              <w:spacing w:after="0"/>
              <w:rPr>
                <w:sz w:val="20"/>
                <w:szCs w:val="20"/>
                <w:color w:val="auto"/>
              </w:rPr>
            </w:pPr>
          </w:p>
        </w:tc>
        <w:tc>
          <w:tcPr>
            <w:tcW w:w="2860" w:type="dxa"/>
            <w:vAlign w:val="bottom"/>
          </w:tcPr>
          <w:p>
            <w:pPr>
              <w:jc w:val="center"/>
              <w:ind w:right="726"/>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ind w:left="10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2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(970) 506-8000</w:t>
      </w:r>
    </w:p>
    <w:p>
      <w:pPr>
        <w:spacing w:after="0" w:line="17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1539240</wp:posOffset>
            </wp:positionH>
            <wp:positionV relativeFrom="paragraph">
              <wp:posOffset>160020</wp:posOffset>
            </wp:positionV>
            <wp:extent cx="4071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3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60" w:firstLine="8"/>
        <w:spacing w:after="0" w:line="46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3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84"/>
        </w:trPr>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tc>
        <w:tc>
          <w:tcPr>
            <w:tcW w:w="18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PPC</w:t>
            </w:r>
          </w:p>
        </w:tc>
        <w:tc>
          <w:tcPr>
            <w:tcW w:w="220" w:type="dxa"/>
            <w:vAlign w:val="bottom"/>
          </w:tcPr>
          <w:p>
            <w:pPr>
              <w:spacing w:after="0"/>
              <w:rPr>
                <w:sz w:val="15"/>
                <w:szCs w:val="15"/>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83"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2060"/>
        <w:spacing w:after="0" w:line="207" w:lineRule="exact"/>
        <w:tabs>
          <w:tab w:leader="none" w:pos="4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April 29, 2026, the Company held its annual meeting of stockholders (the “Annual Meeting”). The following proposals were submitted to a vote of the stockholders of the Company at the Annual Meeting:</w:t>
      </w:r>
    </w:p>
    <w:p>
      <w:pPr>
        <w:spacing w:after="0" w:line="10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eight JBS Directors to the board of directors (the “Board”).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Equity Directors to the Board.</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advisory vote on executive compensation (“Say on Pay”).</w:t>
      </w:r>
    </w:p>
    <w:p>
      <w:pPr>
        <w:spacing w:after="0" w:line="27"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the independent registered public accounting firm of the Company for the fiscal year ending December 27, 2026.</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proposal to provide a report regarding internal diversity and inclusion policies and practices.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proposal to provide a political spending disclosure.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JBS Directors to the Board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stockholders of the Company elected all of the Company’s eight nominees for JBS Director at the Annual Meeting pursuant 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Gilberto Tomazoni</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204,922,965</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23,394,700</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Wesley Mendonça Batista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202,350,729</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25,966,936</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Joesley Mendonça Batista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210,074,808</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18,242,857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 Nogueira de Souza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207,904,873</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20,412,792</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Farha Aslam</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224,144,242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4,173,423</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Raul Padilla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227,825,028</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492,637</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Joanita Karoleski</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215,907,484</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12,410,181</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r>
        <w:trPr>
          <w:trHeight w:val="23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Wesley Mendonça Batista Filho</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215,795,863</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12,521,802</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Election of Equity Directors to the Board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stockholders of the Company elected all of the Company’s two nominees for Equity Director at the Annual Meeting pursuant 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217,866,692</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10,450,973</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r>
        <w:trPr>
          <w:trHeight w:val="23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Arquimedes A. Celis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224,067,393</w:t>
            </w:r>
          </w:p>
        </w:tc>
        <w:tc>
          <w:tcPr>
            <w:tcW w:w="100" w:type="dxa"/>
            <w:vAlign w:val="bottom"/>
          </w:tcPr>
          <w:p>
            <w:pPr>
              <w:spacing w:after="0"/>
              <w:rPr>
                <w:sz w:val="20"/>
                <w:szCs w:val="20"/>
                <w:color w:val="auto"/>
              </w:rPr>
            </w:pPr>
          </w:p>
        </w:tc>
        <w:tc>
          <w:tcPr>
            <w:tcW w:w="22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4,250,272</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3,524,646</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Say on Pay</w:t>
      </w:r>
    </w:p>
    <w:p>
      <w:pPr>
        <w:spacing w:after="0" w:line="175"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18"/>
          <w:szCs w:val="18"/>
          <w:color w:val="auto"/>
        </w:rPr>
        <w:t>The stockholders approved, on an advisory basis, the compensation paid to the Company’s named executive officers, as disclosed in the Company’s proxy statement for the Annual Meeting, including the compensation discussion and analysis, compensation tables and narrative discussion.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2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227,280,964</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1,012,847</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23,854</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3,524,646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Ratification of KPMG LLP as the Company’s Independent Registered Public Accounting Firm</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appointment of KPMG LLP to serve as the independent registered public accounting firm of the Company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27, 2026 was ratified at the Annual Meeting. The votes were cast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6580" w:type="dxa"/>
            <w:vAlign w:val="bottom"/>
            <w:gridSpan w:val="2"/>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3"/>
        </w:trPr>
        <w:tc>
          <w:tcPr>
            <w:tcW w:w="22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231,705,153</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109,149</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28,009</w:t>
            </w:r>
          </w:p>
        </w:tc>
        <w:tc>
          <w:tcPr>
            <w:tcW w:w="4380" w:type="dxa"/>
            <w:vAlign w:val="bottom"/>
          </w:tcPr>
          <w:p>
            <w:pPr>
              <w:spacing w:after="0"/>
              <w:rPr>
                <w:sz w:val="19"/>
                <w:szCs w:val="19"/>
                <w:color w:val="auto"/>
              </w:rPr>
            </w:pPr>
          </w:p>
        </w:tc>
      </w:tr>
      <w:tr>
        <w:trPr>
          <w:trHeight w:val="965"/>
        </w:trPr>
        <w:tc>
          <w:tcPr>
            <w:tcW w:w="2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5: Proposal to provide a report regarding internal diversity and inclusion policies and practices.</w:t>
      </w:r>
    </w:p>
    <w:p>
      <w:pPr>
        <w:spacing w:after="0" w:line="175"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18"/>
          <w:szCs w:val="18"/>
          <w:color w:val="auto"/>
        </w:rPr>
        <w:t>The stockholders voted against the proposal to provide a report regarding internal diversity and inclusion policies and practices. The votes were cast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20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2,245,060</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225,948,275</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124,330</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3,524,646</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6: Proposal to provide a political spending disclosure.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stockholders voted against the proposal to provide a political spending disclosure at the Annual Meeting pursuant to the following votes: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428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2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14,482,172</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213,727,686</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107,807</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3,524,646</w:t>
            </w:r>
          </w:p>
        </w:tc>
        <w:tc>
          <w:tcPr>
            <w:tcW w:w="2060" w:type="dxa"/>
            <w:vAlign w:val="bottom"/>
          </w:tcPr>
          <w:p>
            <w:pPr>
              <w:spacing w:after="0"/>
              <w:rPr>
                <w:sz w:val="19"/>
                <w:szCs w:val="19"/>
                <w:color w:val="auto"/>
              </w:rPr>
            </w:pPr>
          </w:p>
        </w:tc>
      </w:tr>
      <w:tr>
        <w:trPr>
          <w:trHeight w:val="1370"/>
        </w:trPr>
        <w:tc>
          <w:tcPr>
            <w:tcW w:w="2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ind w:left="50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PILGRIM’S PRIDE CORPORATION</w:t>
      </w:r>
    </w:p>
    <w:p>
      <w:pPr>
        <w:spacing w:after="0" w:line="225" w:lineRule="exact"/>
        <w:rPr>
          <w:sz w:val="20"/>
          <w:szCs w:val="20"/>
          <w:color w:val="auto"/>
        </w:rPr>
      </w:pPr>
    </w:p>
    <w:p>
      <w:pPr>
        <w:ind w:left="80"/>
        <w:spacing w:after="0"/>
        <w:tabs>
          <w:tab w:leader="none" w:pos="760" w:val="left"/>
          <w:tab w:leader="none" w:pos="6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7"/>
          <w:szCs w:val="17"/>
          <w:color w:val="auto"/>
        </w:rPr>
        <w:t>/s/ Matthew Galvanoni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077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17145</wp:posOffset>
            </wp:positionV>
            <wp:extent cx="1191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Matthew Galvanoni</w:t>
      </w:r>
    </w:p>
    <w:p>
      <w:pPr>
        <w:spacing w:after="0" w:line="3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sectPr>
      <w:pgSz w:w="11900" w:h="16838" w:orient="portrait"/>
      <w:cols w:equalWidth="0" w:num="1">
        <w:col w:w="10600"/>
      </w:cols>
      <w:pgMar w:left="320" w:top="88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2026-05-01T09:11:17Z</dcterms:created>
  <dcterms:modified xsi:type="dcterms:W3CDTF">2026-05-01T09:11:17Z</dcterms:modified>
</cp:coreProperties>
</file>